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AA5F5C" w14:textId="77777777" w:rsidR="00A67D92" w:rsidRDefault="00A67D92" w:rsidP="00A67D92">
      <w:pPr>
        <w:spacing w:after="0" w:line="276" w:lineRule="auto"/>
        <w:jc w:val="center"/>
        <w:rPr>
          <w:rFonts w:ascii="Gill Sans MT" w:hAnsi="Gill Sans MT" w:cs="Times New Roman"/>
          <w:b/>
          <w:bCs/>
          <w:sz w:val="28"/>
          <w:szCs w:val="28"/>
        </w:rPr>
      </w:pPr>
      <w:r w:rsidRPr="00A67D92">
        <w:rPr>
          <w:rFonts w:ascii="Gill Sans MT" w:hAnsi="Gill Sans MT" w:cs="Times New Roman"/>
          <w:b/>
          <w:bCs/>
          <w:sz w:val="28"/>
          <w:szCs w:val="28"/>
        </w:rPr>
        <w:t xml:space="preserve">The Black British Racial Trauma Questionnaire (BBRTQ): </w:t>
      </w:r>
    </w:p>
    <w:p w14:paraId="7FD2F37B" w14:textId="3275FE52" w:rsidR="00A67D92" w:rsidRDefault="00A67D92" w:rsidP="00A67D92">
      <w:pPr>
        <w:spacing w:after="0" w:line="276" w:lineRule="auto"/>
        <w:jc w:val="center"/>
        <w:rPr>
          <w:rFonts w:ascii="Gill Sans MT" w:hAnsi="Gill Sans MT" w:cs="Times New Roman"/>
          <w:b/>
          <w:bCs/>
          <w:sz w:val="28"/>
          <w:szCs w:val="28"/>
        </w:rPr>
      </w:pPr>
      <w:r w:rsidRPr="00A67D92">
        <w:rPr>
          <w:rFonts w:ascii="Gill Sans MT" w:hAnsi="Gill Sans MT" w:cs="Times New Roman"/>
          <w:b/>
          <w:bCs/>
          <w:sz w:val="28"/>
          <w:szCs w:val="28"/>
        </w:rPr>
        <w:t>A Culturally Grounded Framework for Assessing Racial Trauma Among Black People in the UK</w:t>
      </w:r>
    </w:p>
    <w:p w14:paraId="0F0D71BA" w14:textId="77777777" w:rsidR="00A67D92" w:rsidRPr="00A67D92" w:rsidRDefault="00A67D92" w:rsidP="00A67D92">
      <w:pPr>
        <w:spacing w:after="0" w:line="276" w:lineRule="auto"/>
        <w:jc w:val="center"/>
        <w:rPr>
          <w:rFonts w:ascii="Gill Sans MT" w:hAnsi="Gill Sans MT" w:cs="Times New Roman"/>
          <w:b/>
          <w:bCs/>
          <w:sz w:val="28"/>
          <w:szCs w:val="28"/>
        </w:rPr>
      </w:pPr>
    </w:p>
    <w:p w14:paraId="78F05D58" w14:textId="00A8BA1D" w:rsidR="002149EB" w:rsidRPr="00F22B39" w:rsidRDefault="002149EB" w:rsidP="00FB4E81">
      <w:pPr>
        <w:spacing w:line="276" w:lineRule="auto"/>
        <w:jc w:val="center"/>
        <w:rPr>
          <w:rFonts w:ascii="Gill Sans MT" w:hAnsi="Gill Sans MT" w:cs="Times New Roman"/>
        </w:rPr>
      </w:pPr>
      <w:r w:rsidRPr="00F22B39">
        <w:rPr>
          <w:rFonts w:ascii="Gill Sans MT" w:hAnsi="Gill Sans MT" w:cs="Times New Roman"/>
        </w:rPr>
        <w:t>Delroy Constantine-Simms</w:t>
      </w:r>
      <w:r w:rsidR="00C80EFD">
        <w:rPr>
          <w:rFonts w:ascii="Gill Sans MT" w:hAnsi="Gill Sans MT" w:cs="Times New Roman"/>
        </w:rPr>
        <w:t xml:space="preserve"> </w:t>
      </w:r>
      <w:proofErr w:type="spellStart"/>
      <w:proofErr w:type="gramStart"/>
      <w:r w:rsidR="007272CC">
        <w:rPr>
          <w:rFonts w:ascii="Gill Sans MT" w:hAnsi="Gill Sans MT" w:cs="Times New Roman"/>
        </w:rPr>
        <w:t>C.Psych</w:t>
      </w:r>
      <w:proofErr w:type="spellEnd"/>
      <w:proofErr w:type="gramEnd"/>
      <w:r w:rsidR="00C80EFD">
        <w:rPr>
          <w:rFonts w:ascii="Gill Sans MT" w:hAnsi="Gill Sans MT" w:cs="Times New Roman"/>
        </w:rPr>
        <w:t xml:space="preserve"> </w:t>
      </w:r>
    </w:p>
    <w:p w14:paraId="3839DF52" w14:textId="77777777" w:rsidR="002149EB" w:rsidRPr="00F22B39" w:rsidRDefault="002149EB" w:rsidP="00FB4E81">
      <w:pPr>
        <w:spacing w:line="276" w:lineRule="auto"/>
        <w:jc w:val="center"/>
        <w:rPr>
          <w:rFonts w:ascii="Gill Sans MT" w:hAnsi="Gill Sans MT" w:cs="Times New Roman"/>
        </w:rPr>
      </w:pPr>
      <w:r w:rsidRPr="00F22B39">
        <w:rPr>
          <w:rFonts w:ascii="Gill Sans MT" w:hAnsi="Gill Sans MT" w:cs="Times New Roman"/>
        </w:rPr>
        <w:t>Think Doctor Psychological Assessments (Dubai)</w:t>
      </w:r>
      <w:r w:rsidRPr="00F22B39">
        <w:rPr>
          <w:rStyle w:val="FootnoteReference"/>
          <w:rFonts w:ascii="Gill Sans MT" w:hAnsi="Gill Sans MT" w:cs="Times New Roman"/>
        </w:rPr>
        <w:footnoteReference w:id="1"/>
      </w:r>
    </w:p>
    <w:p w14:paraId="055D452D" w14:textId="466853E6" w:rsidR="005B4896" w:rsidRPr="005B4896" w:rsidRDefault="005B4896" w:rsidP="005B4896">
      <w:pPr>
        <w:spacing w:line="276" w:lineRule="auto"/>
        <w:rPr>
          <w:rFonts w:ascii="Gill Sans MT" w:hAnsi="Gill Sans MT"/>
        </w:rPr>
      </w:pPr>
    </w:p>
    <w:p w14:paraId="663373D6" w14:textId="1A4FA52D" w:rsidR="005B4896" w:rsidRPr="005B4896" w:rsidRDefault="005B4896" w:rsidP="005B4896">
      <w:pPr>
        <w:spacing w:line="276" w:lineRule="auto"/>
        <w:jc w:val="center"/>
        <w:rPr>
          <w:rFonts w:ascii="Gill Sans MT" w:hAnsi="Gill Sans MT"/>
          <w:b/>
          <w:bCs/>
        </w:rPr>
      </w:pPr>
      <w:r w:rsidRPr="005B4896">
        <w:rPr>
          <w:rFonts w:ascii="Gill Sans MT" w:hAnsi="Gill Sans MT"/>
          <w:b/>
          <w:bCs/>
        </w:rPr>
        <w:t>Abstract</w:t>
      </w:r>
    </w:p>
    <w:p w14:paraId="37ADF92B" w14:textId="750CE76D" w:rsidR="005B4896" w:rsidRPr="005B4896" w:rsidRDefault="005B4896" w:rsidP="005B4896">
      <w:pPr>
        <w:spacing w:line="276" w:lineRule="auto"/>
        <w:rPr>
          <w:rFonts w:ascii="Gill Sans MT" w:hAnsi="Gill Sans MT"/>
        </w:rPr>
      </w:pPr>
      <w:r w:rsidRPr="005B4896">
        <w:rPr>
          <w:rFonts w:ascii="Gill Sans MT" w:hAnsi="Gill Sans MT"/>
        </w:rPr>
        <w:t xml:space="preserve">Racial trauma remains under-assessed in UK mental health practice, particularly among Black British individuals facing systemic, interpersonal, and historical racism. Standard diagnostic tools—such as the PCL-5, DASS-21, and ACE Questionnaire—fail to recognise racism as a distinct trauma source. U.S.-centric instruments like the RBTSSS and </w:t>
      </w:r>
      <w:proofErr w:type="spellStart"/>
      <w:r w:rsidRPr="005B4896">
        <w:rPr>
          <w:rFonts w:ascii="Gill Sans MT" w:hAnsi="Gill Sans MT"/>
        </w:rPr>
        <w:t>UnRESTS</w:t>
      </w:r>
      <w:proofErr w:type="spellEnd"/>
      <w:r w:rsidRPr="005B4896">
        <w:rPr>
          <w:rFonts w:ascii="Gill Sans MT" w:hAnsi="Gill Sans MT"/>
        </w:rPr>
        <w:t xml:space="preserve"> offer targeted assessments but lack cultural relevance in British contexts. This study introduces the Black British Racial Trauma Questionnaire (BBRTQ), a 60-item instrument designed to assess racialised distress within UK-specific institutional and historical frameworks.</w:t>
      </w:r>
      <w:r>
        <w:rPr>
          <w:rFonts w:ascii="Gill Sans MT" w:hAnsi="Gill Sans MT"/>
        </w:rPr>
        <w:t xml:space="preserve"> </w:t>
      </w:r>
      <w:r w:rsidRPr="005B4896">
        <w:rPr>
          <w:rFonts w:ascii="Gill Sans MT" w:hAnsi="Gill Sans MT"/>
        </w:rPr>
        <w:t xml:space="preserve">Forty-five Black British adults (aged 18–55) completed the BBRTQ online. Items were rated on a 5-point Likert scale, developed through qualitative interviews and expert review. Grounded in Helms’ racial identity theory, DeGruy’s post-traumatic slave syndrome, and Fricker’s epistemic injustice framework, exploratory factor analysis revealed a six-factor structure: Emotional Impact, Identity Conflict, Intergenerational Transmission, Systemic Exclusion, Resilience, and Survival Stress. These accounted for 71.2% of variance, with subscale reliability ranging from </w:t>
      </w:r>
      <w:r w:rsidRPr="005B4896">
        <w:rPr>
          <w:rFonts w:ascii="Calibri" w:hAnsi="Calibri" w:cs="Calibri"/>
        </w:rPr>
        <w:t>α</w:t>
      </w:r>
      <w:r w:rsidRPr="005B4896">
        <w:rPr>
          <w:rFonts w:ascii="Gill Sans MT" w:hAnsi="Gill Sans MT"/>
        </w:rPr>
        <w:t xml:space="preserve"> = .84 to .</w:t>
      </w:r>
      <w:r w:rsidR="00712620" w:rsidRPr="005B4896">
        <w:rPr>
          <w:rFonts w:ascii="Gill Sans MT" w:hAnsi="Gill Sans MT"/>
        </w:rPr>
        <w:t>91. Scoring</w:t>
      </w:r>
      <w:r w:rsidRPr="005B4896">
        <w:rPr>
          <w:rFonts w:ascii="Gill Sans MT" w:hAnsi="Gill Sans MT"/>
        </w:rPr>
        <w:t xml:space="preserve"> yields a Total Trauma Index (TTI) and a Resilience Score, interpreted independently to distinguish trauma burden from culturally grounded coping. Their negative correlation (r = –.42, p &lt; .001) supports the BBRTQ’s non-</w:t>
      </w:r>
      <w:proofErr w:type="spellStart"/>
      <w:r w:rsidRPr="005B4896">
        <w:rPr>
          <w:rFonts w:ascii="Gill Sans MT" w:hAnsi="Gill Sans MT"/>
        </w:rPr>
        <w:t>pathologising</w:t>
      </w:r>
      <w:proofErr w:type="spellEnd"/>
      <w:r w:rsidRPr="005B4896">
        <w:rPr>
          <w:rFonts w:ascii="Gill Sans MT" w:hAnsi="Gill Sans MT"/>
        </w:rPr>
        <w:t xml:space="preserve"> design. The BBRTQ demonstrates strong cultural specificity and psychometric robustness, supporting trauma-informed care and systemic reform in UK mental health services.</w:t>
      </w:r>
    </w:p>
    <w:p w14:paraId="4B46E8CE" w14:textId="77777777" w:rsidR="00BF405E" w:rsidRPr="000616C4" w:rsidRDefault="00BF405E" w:rsidP="00BB43CE">
      <w:pPr>
        <w:pStyle w:val="NoSpacing"/>
      </w:pPr>
    </w:p>
    <w:p w14:paraId="25C0732B" w14:textId="77777777" w:rsidR="00FB4E81" w:rsidRPr="00FB4E81" w:rsidRDefault="00FB4E81" w:rsidP="00FB4E81">
      <w:pPr>
        <w:spacing w:line="276" w:lineRule="auto"/>
        <w:rPr>
          <w:rFonts w:ascii="Gill Sans MT" w:hAnsi="Gill Sans MT"/>
          <w:b/>
          <w:bCs/>
          <w:sz w:val="28"/>
          <w:szCs w:val="28"/>
        </w:rPr>
      </w:pPr>
      <w:r w:rsidRPr="00FB4E81">
        <w:rPr>
          <w:rFonts w:ascii="Gill Sans MT" w:hAnsi="Gill Sans MT"/>
          <w:b/>
          <w:bCs/>
          <w:sz w:val="28"/>
          <w:szCs w:val="28"/>
        </w:rPr>
        <w:t>1. The Origins of Racial Trauma in Black British Communities</w:t>
      </w:r>
    </w:p>
    <w:p w14:paraId="54246BF6" w14:textId="39C05897" w:rsidR="00FB4E81" w:rsidRPr="00FB4E81" w:rsidRDefault="00FB4E81" w:rsidP="00BB43CE">
      <w:pPr>
        <w:spacing w:line="276" w:lineRule="auto"/>
        <w:rPr>
          <w:rFonts w:ascii="Gill Sans MT" w:hAnsi="Gill Sans MT"/>
        </w:rPr>
      </w:pPr>
      <w:r w:rsidRPr="00FB4E81">
        <w:rPr>
          <w:rFonts w:ascii="Gill Sans MT" w:hAnsi="Gill Sans MT"/>
        </w:rPr>
        <w:t>Racial trauma in Black British communities is not incidental—it is historically embedded, structurally reinforced, and culturally perpetuated. It arises from cumulative exposure to racialised harm across multiple domains of British life, including education, healthcare, housing, employment, policing, and media. This trauma is identity-linked, intergenerational, and socially patterned, shaped by Britain’s colonial legacy and sustained through contemporary institutional practices.</w:t>
      </w:r>
      <w:r w:rsidR="00BB43CE">
        <w:rPr>
          <w:rFonts w:ascii="Gill Sans MT" w:hAnsi="Gill Sans MT"/>
        </w:rPr>
        <w:t xml:space="preserve"> </w:t>
      </w:r>
      <w:r w:rsidRPr="00FB4E81">
        <w:rPr>
          <w:rFonts w:ascii="Gill Sans MT" w:hAnsi="Gill Sans MT"/>
        </w:rPr>
        <w:t>The British Empire’s involvement in the transatlantic slave trade and imperial governance established a racialised social order that persists in modern institutions (</w:t>
      </w:r>
      <w:proofErr w:type="spellStart"/>
      <w:r w:rsidRPr="00FB4E81">
        <w:rPr>
          <w:rFonts w:ascii="Gill Sans MT" w:hAnsi="Gill Sans MT"/>
        </w:rPr>
        <w:t>Olusoga</w:t>
      </w:r>
      <w:proofErr w:type="spellEnd"/>
      <w:r w:rsidRPr="00FB4E81">
        <w:rPr>
          <w:rFonts w:ascii="Gill Sans MT" w:hAnsi="Gill Sans MT"/>
        </w:rPr>
        <w:t xml:space="preserve">, 2016). These legacies were not dismantled with decolonisation but reconfigured through post-war immigration policies. The Windrush generation, invited to support Britain’s post-war recovery, faced systemic exclusion in housing, employment, </w:t>
      </w:r>
      <w:r w:rsidRPr="00FB4E81">
        <w:rPr>
          <w:rFonts w:ascii="Gill Sans MT" w:hAnsi="Gill Sans MT"/>
        </w:rPr>
        <w:lastRenderedPageBreak/>
        <w:t>and education (Gentleman, 2019). These early betrayals seeded intergenerational mistrust and a collective memory of institutional abandonment (Phillips &amp; Phillips, 1998).</w:t>
      </w:r>
    </w:p>
    <w:p w14:paraId="144E9CBA" w14:textId="77777777" w:rsidR="00FB4E81" w:rsidRPr="00FB4E81" w:rsidRDefault="00FB4E81" w:rsidP="00FB4E81">
      <w:pPr>
        <w:spacing w:line="276" w:lineRule="auto"/>
        <w:rPr>
          <w:rFonts w:ascii="Gill Sans MT" w:hAnsi="Gill Sans MT"/>
        </w:rPr>
      </w:pPr>
      <w:r w:rsidRPr="00FB4E81">
        <w:rPr>
          <w:rFonts w:ascii="Gill Sans MT" w:hAnsi="Gill Sans MT"/>
        </w:rPr>
        <w:t>Institutional racism remains a defining feature of British society. The Macpherson Report (1999), following the murder of Stephen Lawrence, defined it as “the collective failure of an organisation to provide an appropriate and professional service to people because of their colour, culture, or ethnic origin.” This affirmed what many Black Britons had long experienced: racism embedded in the structures of public life (Williams, 2020).</w:t>
      </w:r>
    </w:p>
    <w:p w14:paraId="26DF55AD" w14:textId="77777777" w:rsidR="00FB4E81" w:rsidRPr="00FB4E81" w:rsidRDefault="00FB4E81" w:rsidP="00FB4E81">
      <w:pPr>
        <w:spacing w:line="276" w:lineRule="auto"/>
        <w:rPr>
          <w:rFonts w:ascii="Gill Sans MT" w:hAnsi="Gill Sans MT"/>
        </w:rPr>
      </w:pPr>
      <w:r w:rsidRPr="00FB4E81">
        <w:rPr>
          <w:rFonts w:ascii="Gill Sans MT" w:hAnsi="Gill Sans MT"/>
        </w:rPr>
        <w:t>In education, Black students—particularly those of Caribbean heritage—are disproportionately excluded, underrepresented in higher education, and subjected to deficit-based narratives (Gillborn, 2008; Arday, 2021). These experiences contribute to “educational trauma,” where racialised students internalise negative expectations and experience chronic stress (Chakraborty et al., 2016). In healthcare, Black individuals are more likely to be misdiagnosed with psychosis, detained under the Mental Health Act, and denied access to talking therapies (Fernando, 2017; Keating, 2007). These disparities reflect not only clinical bias but also epistemic injustice—the systematic devaluation of Black suffering and knowledge (Fricker, 2007; Kline, 2020).</w:t>
      </w:r>
    </w:p>
    <w:p w14:paraId="60E699F9" w14:textId="77777777" w:rsidR="00FB4E81" w:rsidRPr="00FB4E81" w:rsidRDefault="00FB4E81" w:rsidP="00FB4E81">
      <w:pPr>
        <w:spacing w:line="276" w:lineRule="auto"/>
        <w:rPr>
          <w:rFonts w:ascii="Gill Sans MT" w:hAnsi="Gill Sans MT"/>
        </w:rPr>
      </w:pPr>
      <w:r w:rsidRPr="00FB4E81">
        <w:rPr>
          <w:rFonts w:ascii="Gill Sans MT" w:hAnsi="Gill Sans MT"/>
        </w:rPr>
        <w:t>Housing has long been a site of racial exclusion and structural violence. From the post-Windrush era to the present, Black Britons have faced discriminatory letting practices, redlining, and disproportionate placement in substandard or overcrowded housing (Bowes et al., 1997; Finney &amp; Harries, 2013). These conditions contribute to chronic stress, environmental insecurity, and intergenerational disadvantage. In employment, Black British workers are overrepresented in precarious, low-paid sectors and underrepresented in leadership roles. They face higher unemployment rates, wage disparities, and routine workplace discrimination (Joseph Rowntree Foundation, 2020; TUC, 2022), which erodes psychological wellbeing through repeated experiences of marginalisation and blocked opportunity.</w:t>
      </w:r>
    </w:p>
    <w:p w14:paraId="09ADD448" w14:textId="77777777" w:rsidR="00FB4E81" w:rsidRPr="00FB4E81" w:rsidRDefault="00FB4E81" w:rsidP="00FB4E81">
      <w:pPr>
        <w:spacing w:line="276" w:lineRule="auto"/>
        <w:rPr>
          <w:rFonts w:ascii="Gill Sans MT" w:hAnsi="Gill Sans MT"/>
        </w:rPr>
      </w:pPr>
      <w:r w:rsidRPr="00FB4E81">
        <w:rPr>
          <w:rFonts w:ascii="Gill Sans MT" w:hAnsi="Gill Sans MT"/>
        </w:rPr>
        <w:t>Policing and criminal justice systems are also key sites of racial trauma. Black Britons are disproportionately stopped and searched, arrested, and incarcerated (Lammy, 2017). Encounters with police are often experienced as existential threats, reinforcing racial hypervigilance—a chronic state of alertness and anticipatory stress (Carter, 2007; Joseph-Salisbury, 2020). Media representation compounds these harms. Sensationalist reporting, underrepresentation, and stereotypical portrayals of Black communities contribute to symbolic violence—subtle yet pervasive harm that reinforces racial hierarchies and undermines psychological wellbeing (Hall, 1997; Malik, 2002).</w:t>
      </w:r>
    </w:p>
    <w:p w14:paraId="0832ACEF" w14:textId="40712723" w:rsidR="00FB4E81" w:rsidRPr="00FB4E81" w:rsidRDefault="00FB4E81" w:rsidP="005C26B3">
      <w:pPr>
        <w:spacing w:line="276" w:lineRule="auto"/>
        <w:rPr>
          <w:rFonts w:ascii="Gill Sans MT" w:hAnsi="Gill Sans MT"/>
        </w:rPr>
      </w:pPr>
      <w:r w:rsidRPr="00FB4E81">
        <w:rPr>
          <w:rFonts w:ascii="Gill Sans MT" w:hAnsi="Gill Sans MT"/>
        </w:rPr>
        <w:t>Racial trauma is also transmitted across generations. Stories of migration, exclusion, and resistance are passed down through families and communities, shaping collective identity and memory (Daniel, 2021). This transmission is embodied in parenting, community organising, and cultural expression. While it can perpetuate trauma, it also fosters resilience, solidarity, and political consciousness (DeGruy, 2005).</w:t>
      </w:r>
      <w:r w:rsidR="005C26B3">
        <w:rPr>
          <w:rFonts w:ascii="Gill Sans MT" w:hAnsi="Gill Sans MT"/>
        </w:rPr>
        <w:t xml:space="preserve"> </w:t>
      </w:r>
      <w:r w:rsidRPr="00FB4E81">
        <w:rPr>
          <w:rFonts w:ascii="Gill Sans MT" w:hAnsi="Gill Sans MT"/>
        </w:rPr>
        <w:t>Mainstream psychological frameworks have historically marginalised Black voices, interpreting their experiences through Eurocentric lenses (Patel, 2021). This mismatch between lived experience and diagnostic criteria contributes to misdiagnosis, under-treatment, and disengagement from services. The lack of culturally grounded instruments has hindered accurate assessment and reinforced alienation from mental health systems (Kline, 2020).</w:t>
      </w:r>
    </w:p>
    <w:p w14:paraId="1B2110F0" w14:textId="77777777" w:rsidR="00FB4E81" w:rsidRPr="00FB4E81" w:rsidRDefault="00FB4E81" w:rsidP="00FB4E81">
      <w:pPr>
        <w:spacing w:line="276" w:lineRule="auto"/>
        <w:rPr>
          <w:rFonts w:ascii="Gill Sans MT" w:hAnsi="Gill Sans MT"/>
        </w:rPr>
      </w:pPr>
      <w:r w:rsidRPr="00FB4E81">
        <w:rPr>
          <w:rFonts w:ascii="Gill Sans MT" w:hAnsi="Gill Sans MT"/>
        </w:rPr>
        <w:lastRenderedPageBreak/>
        <w:t xml:space="preserve">These intersecting domains of harm—colonial, institutional, cultural, and epistemic—do not merely contextualise racial trauma; they actively shape its psychological contours. In racial trauma research, such origins are not background—they are foundational. They inform the conceptual frameworks, guide item generation, and determine the thematic structure of assessment tools. In the development of the </w:t>
      </w:r>
      <w:r w:rsidRPr="00FB4E81">
        <w:rPr>
          <w:rFonts w:ascii="Gill Sans MT" w:hAnsi="Gill Sans MT"/>
          <w:i/>
          <w:iCs/>
        </w:rPr>
        <w:t>Black British Racial Trauma Questionnaire (BBRTQ)</w:t>
      </w:r>
      <w:r w:rsidRPr="00FB4E81">
        <w:rPr>
          <w:rFonts w:ascii="Gill Sans MT" w:hAnsi="Gill Sans MT"/>
        </w:rPr>
        <w:t>, these domains were translated into measurable constructs that reflect UK-specific lived experience. The BBRTQ was designed to capture the psychological impact of systemic racism as it manifests across education, healthcare, housing, employment, policing, media, and intergenerational transmission—offering a culturally valid framework for recognition, measurement, and intervention.</w:t>
      </w:r>
    </w:p>
    <w:p w14:paraId="409CE72B" w14:textId="281F427A" w:rsidR="003B1562" w:rsidRPr="00BF405E" w:rsidRDefault="003B1562" w:rsidP="00FB4E81">
      <w:pPr>
        <w:pStyle w:val="ListParagraph"/>
        <w:numPr>
          <w:ilvl w:val="1"/>
          <w:numId w:val="70"/>
        </w:numPr>
        <w:spacing w:line="276" w:lineRule="auto"/>
        <w:ind w:left="426" w:hanging="426"/>
        <w:rPr>
          <w:b/>
          <w:bCs/>
        </w:rPr>
      </w:pPr>
      <w:r w:rsidRPr="00BF405E">
        <w:rPr>
          <w:b/>
          <w:bCs/>
        </w:rPr>
        <w:t>Development, Theoretical Foundations, and Design of the BBRTQ</w:t>
      </w:r>
    </w:p>
    <w:p w14:paraId="2FA3BBA8" w14:textId="77777777" w:rsidR="006B4840" w:rsidRPr="006B4840" w:rsidRDefault="006B4840" w:rsidP="005B4896">
      <w:pPr>
        <w:pStyle w:val="NormalWeb"/>
        <w:spacing w:line="276" w:lineRule="auto"/>
        <w:rPr>
          <w:rFonts w:ascii="Gill Sans MT" w:hAnsi="Gill Sans MT"/>
        </w:rPr>
      </w:pPr>
      <w:r w:rsidRPr="006B4840">
        <w:rPr>
          <w:rFonts w:ascii="Gill Sans MT" w:hAnsi="Gill Sans MT"/>
        </w:rPr>
        <w:t>The Black British Racial Trauma Questionnaire (BBRTQ) was developed to address the absence of culturally valid tools for assessing racial trauma in UK contexts. Existing instruments—often adapted from U.S. frameworks—fail to capture the historical, institutional, and cultural specificities of Black British experience. The BBRTQ responds to this gap by integrating disaggregated identity markers and rejecting homogenising labels such as “BAME,” which obscure the distinctiveness of anti-Black racism and flatten diverse experiences into reductive categories (Aspinall, 2021; Bakare, 2024).</w:t>
      </w:r>
    </w:p>
    <w:p w14:paraId="3762DAF9" w14:textId="77777777" w:rsidR="006B4840" w:rsidRPr="006B4840" w:rsidRDefault="006B4840" w:rsidP="00712620">
      <w:pPr>
        <w:pStyle w:val="NormalWeb"/>
        <w:spacing w:line="276" w:lineRule="auto"/>
        <w:rPr>
          <w:rFonts w:ascii="Gill Sans MT" w:hAnsi="Gill Sans MT"/>
        </w:rPr>
      </w:pPr>
      <w:r w:rsidRPr="006B4840">
        <w:rPr>
          <w:rFonts w:ascii="Gill Sans MT" w:hAnsi="Gill Sans MT"/>
        </w:rPr>
        <w:t xml:space="preserve">The questionnaire incorporates UK-specific content, referencing events, policies, and institutional practices that shape racial trauma in Britain (Williams, 2020; UK Trauma Council, 2021). It is designed to be modular and adaptable, supporting use in clinical, educational, and policy settings. The BBRTQ moves beyond symptom checklists by embedding cultural specificity, historical consciousness, and community-informed constructs. It challenges the </w:t>
      </w:r>
      <w:proofErr w:type="spellStart"/>
      <w:r w:rsidRPr="006B4840">
        <w:rPr>
          <w:rFonts w:ascii="Gill Sans MT" w:hAnsi="Gill Sans MT"/>
        </w:rPr>
        <w:t>pathologising</w:t>
      </w:r>
      <w:proofErr w:type="spellEnd"/>
      <w:r w:rsidRPr="006B4840">
        <w:rPr>
          <w:rFonts w:ascii="Gill Sans MT" w:hAnsi="Gill Sans MT"/>
        </w:rPr>
        <w:t xml:space="preserve"> tendencies of mainstream psychology by recognising resilience, resistance, and cultural healing as integral to the racial trauma experience.</w:t>
      </w:r>
    </w:p>
    <w:p w14:paraId="15B92EAC" w14:textId="77777777" w:rsidR="00712620" w:rsidRDefault="006B4840" w:rsidP="005B4896">
      <w:pPr>
        <w:pStyle w:val="NormalWeb"/>
        <w:spacing w:line="276" w:lineRule="auto"/>
        <w:rPr>
          <w:rFonts w:ascii="Gill Sans MT" w:hAnsi="Gill Sans MT"/>
        </w:rPr>
      </w:pPr>
      <w:r w:rsidRPr="006B4840">
        <w:rPr>
          <w:rFonts w:ascii="Gill Sans MT" w:hAnsi="Gill Sans MT"/>
        </w:rPr>
        <w:t xml:space="preserve">To operationalise this dual emphasis on harm and healing, the BBRTQ introduces two distinct scoring constructs: the </w:t>
      </w:r>
      <w:r w:rsidRPr="006B4840">
        <w:rPr>
          <w:rStyle w:val="Strong"/>
          <w:rFonts w:ascii="Gill Sans MT" w:eastAsiaTheme="majorEastAsia" w:hAnsi="Gill Sans MT"/>
        </w:rPr>
        <w:t>Total Trauma Index (TTI)</w:t>
      </w:r>
      <w:r w:rsidRPr="006B4840">
        <w:rPr>
          <w:rFonts w:ascii="Gill Sans MT" w:hAnsi="Gill Sans MT"/>
        </w:rPr>
        <w:t xml:space="preserve"> and the </w:t>
      </w:r>
      <w:r w:rsidRPr="006B4840">
        <w:rPr>
          <w:rStyle w:val="Strong"/>
          <w:rFonts w:ascii="Gill Sans MT" w:eastAsiaTheme="majorEastAsia" w:hAnsi="Gill Sans MT"/>
        </w:rPr>
        <w:t>Resilience, Resistance, and Healing Practices Score</w:t>
      </w:r>
      <w:r w:rsidRPr="006B4840">
        <w:rPr>
          <w:rFonts w:ascii="Gill Sans MT" w:hAnsi="Gill Sans MT"/>
        </w:rPr>
        <w:t xml:space="preserve">. The TTI aggregates scores from five trauma-related domains—emotional impact, identity conflict, intergenerational transmission, systemic exclusion, and survival stress—while intentionally excluding resilience. This separation ensures that trauma burden is not artificially moderated by coping strength, allowing for clearer identification of individuals experiencing elevated racial distress. </w:t>
      </w:r>
    </w:p>
    <w:p w14:paraId="66774C1C" w14:textId="0B173E2E" w:rsidR="006B4840" w:rsidRPr="006B4840" w:rsidRDefault="006B4840" w:rsidP="005B4896">
      <w:pPr>
        <w:pStyle w:val="NormalWeb"/>
        <w:spacing w:line="276" w:lineRule="auto"/>
        <w:rPr>
          <w:rFonts w:ascii="Gill Sans MT" w:hAnsi="Gill Sans MT"/>
        </w:rPr>
      </w:pPr>
      <w:r w:rsidRPr="006B4840">
        <w:rPr>
          <w:rFonts w:ascii="Gill Sans MT" w:hAnsi="Gill Sans MT"/>
        </w:rPr>
        <w:t>In contrast, the Resilience Score is calculated independently from a dedicated domain that captures culturally grounded healing practices, such as ancestral connection, community solidarity, and spiritual resistance. This structure affirms that resilience is not the absence of trauma but a response to it, and that healing and harm can coexist. Together, these scores reflect the BBRTQ’s commitment to non-</w:t>
      </w:r>
      <w:proofErr w:type="spellStart"/>
      <w:r w:rsidRPr="006B4840">
        <w:rPr>
          <w:rFonts w:ascii="Gill Sans MT" w:hAnsi="Gill Sans MT"/>
        </w:rPr>
        <w:t>pathologising</w:t>
      </w:r>
      <w:proofErr w:type="spellEnd"/>
      <w:r w:rsidRPr="006B4840">
        <w:rPr>
          <w:rFonts w:ascii="Gill Sans MT" w:hAnsi="Gill Sans MT"/>
        </w:rPr>
        <w:t>, culturally affirming assessment.</w:t>
      </w:r>
    </w:p>
    <w:p w14:paraId="09AFBD38" w14:textId="77777777" w:rsidR="006B4840" w:rsidRPr="006B4840" w:rsidRDefault="006B4840" w:rsidP="006B4840">
      <w:pPr>
        <w:pStyle w:val="NormalWeb"/>
        <w:spacing w:line="276" w:lineRule="auto"/>
        <w:rPr>
          <w:rFonts w:ascii="Gill Sans MT" w:hAnsi="Gill Sans MT"/>
        </w:rPr>
      </w:pPr>
      <w:r w:rsidRPr="006B4840">
        <w:rPr>
          <w:rFonts w:ascii="Gill Sans MT" w:hAnsi="Gill Sans MT"/>
        </w:rPr>
        <w:t xml:space="preserve">The theoretical foundation of the BBRTQ draws on interdisciplinary scholarship. Helms’ (1990) racial identity development model highlights the psychological impact of navigating racialised </w:t>
      </w:r>
      <w:r w:rsidRPr="006B4840">
        <w:rPr>
          <w:rFonts w:ascii="Gill Sans MT" w:hAnsi="Gill Sans MT"/>
        </w:rPr>
        <w:lastRenderedPageBreak/>
        <w:t>environments. DeGruy’s (2005) post-traumatic slave syndrome situates racial trauma within a historical continuum of oppression. Fricker’s (2007) concept of epistemic injustice underscores the denial of interpretive authority and credibility to Black British individuals in clinical and institutional settings. Together, these frameworks support a model of racial trauma that is both historically situated and clinically actionable.</w:t>
      </w:r>
    </w:p>
    <w:p w14:paraId="35FAC82A" w14:textId="77777777" w:rsidR="006B4840" w:rsidRPr="006B4840" w:rsidRDefault="006B4840" w:rsidP="006B4840">
      <w:pPr>
        <w:pStyle w:val="NormalWeb"/>
        <w:spacing w:line="276" w:lineRule="auto"/>
        <w:rPr>
          <w:rFonts w:ascii="Gill Sans MT" w:hAnsi="Gill Sans MT"/>
        </w:rPr>
      </w:pPr>
      <w:r w:rsidRPr="006B4840">
        <w:rPr>
          <w:rFonts w:ascii="Gill Sans MT" w:hAnsi="Gill Sans MT"/>
        </w:rPr>
        <w:t>Methodologically, the BBRTQ was developed through a multi-phase process involving qualitative item generation, expert panel review, and quantitative validation. This approach ensures both theoretical coherence and psychometric robustness. The pilot phase involved 45 Black British participants who completed the BBRTQ alongside established psychological instruments. This enabled comparative analysis and benchmarking through exploratory factor analysis and reliability testing. Results demonstrated strong internal consistency and a coherent factor structure, affirming the BBRTQ’s validity as a racial trauma assessment tool. Importantly, the TTI and Resilience Score showed an expected inverse correlation, supporting the hypothesis that culturally grounded healing practices may buffer—but not erase—the psychological impact of racialised harm.</w:t>
      </w:r>
    </w:p>
    <w:p w14:paraId="70DDBD49" w14:textId="77777777" w:rsidR="006B4840" w:rsidRPr="006B4840" w:rsidRDefault="006B4840" w:rsidP="006B4840">
      <w:pPr>
        <w:pStyle w:val="NormalWeb"/>
        <w:spacing w:line="276" w:lineRule="auto"/>
        <w:rPr>
          <w:rFonts w:ascii="Gill Sans MT" w:hAnsi="Gill Sans MT"/>
        </w:rPr>
      </w:pPr>
      <w:r w:rsidRPr="006B4840">
        <w:rPr>
          <w:rFonts w:ascii="Gill Sans MT" w:hAnsi="Gill Sans MT"/>
        </w:rPr>
        <w:t>Importantly, the BBRTQ reframes racial trauma as a structural and political phenomenon rather than an individual pathology. Black distress is understood as a rational response to systemic harm—embedded in institutions, cultural narratives, and historical legacies. This framing supports trauma-informed practice while also demanding systemic transformation. Future validation will include Measurement Invariance and Equivalence Modelling (MIEM) to ensure the tool functions consistently across demographic subgroups and supports equitable interpretation.</w:t>
      </w:r>
    </w:p>
    <w:p w14:paraId="4682FC48" w14:textId="26D30AC2" w:rsidR="00737154" w:rsidRPr="00536B49" w:rsidRDefault="00396CDA" w:rsidP="00FB4E81">
      <w:pPr>
        <w:pStyle w:val="NoSpacing"/>
        <w:spacing w:line="276" w:lineRule="auto"/>
        <w:rPr>
          <w:rStyle w:val="Heading1Char"/>
          <w:b/>
          <w:bCs/>
          <w:color w:val="auto"/>
          <w:sz w:val="28"/>
          <w:szCs w:val="28"/>
        </w:rPr>
      </w:pPr>
      <w:r w:rsidRPr="00536B49">
        <w:rPr>
          <w:b/>
          <w:bCs/>
          <w:sz w:val="28"/>
          <w:szCs w:val="28"/>
        </w:rPr>
        <w:t xml:space="preserve">2. </w:t>
      </w:r>
      <w:r w:rsidR="00737154" w:rsidRPr="00536B49">
        <w:rPr>
          <w:rStyle w:val="Heading1Char"/>
          <w:b/>
          <w:bCs/>
          <w:color w:val="auto"/>
          <w:sz w:val="28"/>
          <w:szCs w:val="28"/>
        </w:rPr>
        <w:t>Literature Review of Racial Trauma Measures</w:t>
      </w:r>
    </w:p>
    <w:p w14:paraId="032E5513" w14:textId="77777777" w:rsidR="00655A74" w:rsidRPr="002149EB" w:rsidRDefault="00655A74" w:rsidP="00FB4E81">
      <w:pPr>
        <w:pStyle w:val="NoSpacing"/>
        <w:spacing w:line="276" w:lineRule="auto"/>
      </w:pPr>
    </w:p>
    <w:p w14:paraId="2A152775" w14:textId="6E05A10A" w:rsidR="00737154" w:rsidRPr="00737154" w:rsidRDefault="00307662" w:rsidP="00FB4E81">
      <w:pPr>
        <w:spacing w:line="276" w:lineRule="auto"/>
        <w:rPr>
          <w:rFonts w:ascii="Gill Sans MT" w:hAnsi="Gill Sans MT"/>
          <w:b/>
          <w:bCs/>
        </w:rPr>
      </w:pPr>
      <w:r>
        <w:rPr>
          <w:rFonts w:ascii="Gill Sans MT" w:hAnsi="Gill Sans MT"/>
          <w:b/>
          <w:bCs/>
        </w:rPr>
        <w:t xml:space="preserve">2.1 </w:t>
      </w:r>
      <w:r w:rsidR="00737154" w:rsidRPr="00737154">
        <w:rPr>
          <w:rFonts w:ascii="Gill Sans MT" w:hAnsi="Gill Sans MT"/>
          <w:b/>
          <w:bCs/>
        </w:rPr>
        <w:t>Conceptual Framework</w:t>
      </w:r>
    </w:p>
    <w:p w14:paraId="08976A0E" w14:textId="77777777" w:rsidR="00737154" w:rsidRPr="00737154" w:rsidRDefault="00737154" w:rsidP="00FB4E81">
      <w:pPr>
        <w:spacing w:line="276" w:lineRule="auto"/>
        <w:rPr>
          <w:rFonts w:ascii="Gill Sans MT" w:hAnsi="Gill Sans MT"/>
        </w:rPr>
      </w:pPr>
      <w:r w:rsidRPr="00737154">
        <w:rPr>
          <w:rFonts w:ascii="Gill Sans MT" w:hAnsi="Gill Sans MT"/>
        </w:rPr>
        <w:t>Racial trauma is increasingly recognised as a distinct form of psychological injury, arising from exposure to racism, discrimination, and systemic exclusion. Unlike conventional trauma, which typically involves discrete, life-threatening events, racial trauma is cumulative, anticipatory, and often symbolic (Carter, 2007; Cénat, 2023). It manifests through emotional distress, hypervigilance, identity disruption, and mistrust of institutions. For African and African Caribbean communities in the UK, racial trauma is shaped by historical legacies such as the Windrush scandal, contemporary policing practices, educational exclusion, and media misrepresentation. These experiences are often misdiagnosed or overlooked by mainstream psychological tools, necessitating culturally responsive instruments that explicitly recognise racism as a trauma source.</w:t>
      </w:r>
    </w:p>
    <w:p w14:paraId="33CC578E" w14:textId="77777777" w:rsidR="00737154" w:rsidRDefault="00737154" w:rsidP="00FB4E81">
      <w:pPr>
        <w:spacing w:line="276" w:lineRule="auto"/>
        <w:rPr>
          <w:rFonts w:ascii="Gill Sans MT" w:hAnsi="Gill Sans MT"/>
        </w:rPr>
      </w:pPr>
      <w:r w:rsidRPr="00737154">
        <w:rPr>
          <w:rFonts w:ascii="Gill Sans MT" w:hAnsi="Gill Sans MT"/>
        </w:rPr>
        <w:t xml:space="preserve">Theoretical frameworks such as Carter’s Race-Based Traumatic Stress Injury (RBTSI) model (Carter, 2007), Helms’ racial identity theory (Helms et al., 2010), and Cénat’s Complex Racial Trauma (CoRT) model (Cénat, 2023) have laid the groundwork for understanding how racism functions as a chronic, identity-based stressor. These models emphasise that racial trauma is not merely a reaction to isolated incidents but a response to the cumulative burden of navigating racialised environments. This includes interpersonal microaggressions, institutional betrayal, and </w:t>
      </w:r>
      <w:r w:rsidRPr="00737154">
        <w:rPr>
          <w:rFonts w:ascii="Gill Sans MT" w:hAnsi="Gill Sans MT"/>
        </w:rPr>
        <w:lastRenderedPageBreak/>
        <w:t>systemic exclusion—factors that are particularly salient in the UK, where racism is often covert, bureaucratised, and embedded in public systems (Devonport et al., 2023).</w:t>
      </w:r>
    </w:p>
    <w:p w14:paraId="4147AC77" w14:textId="77777777" w:rsidR="00737154" w:rsidRDefault="00737154" w:rsidP="00FB4E81">
      <w:pPr>
        <w:spacing w:line="276" w:lineRule="auto"/>
        <w:rPr>
          <w:rFonts w:ascii="Gill Sans MT" w:hAnsi="Gill Sans MT"/>
        </w:rPr>
      </w:pPr>
      <w:r w:rsidRPr="00737154">
        <w:rPr>
          <w:rFonts w:ascii="Gill Sans MT" w:hAnsi="Gill Sans MT"/>
        </w:rPr>
        <w:t>Despite growing theoretical clarity, the psychometric landscape remains dominated by tools developed in the United States. These instruments, while foundational, often reflect U.S.-centric racial dynamics and may not generalise to the British context. The need for a UK-specific racial trauma measure—such as the Black British Racial Trauma Questionnaire (BBRTQ)—is therefore both empirical and ethical. The BBRTQ aims to capture the unique institutional, symbolic, and intergenerational dimensions of racial trauma as experienced by African and African Caribbean communities in Britain.</w:t>
      </w:r>
    </w:p>
    <w:p w14:paraId="0300DCC0" w14:textId="68FFFEDB" w:rsidR="00737154" w:rsidRPr="00737154" w:rsidRDefault="00307662" w:rsidP="00FB4E81">
      <w:pPr>
        <w:spacing w:line="276" w:lineRule="auto"/>
        <w:rPr>
          <w:rFonts w:ascii="Gill Sans MT" w:hAnsi="Gill Sans MT"/>
          <w:b/>
          <w:bCs/>
        </w:rPr>
      </w:pPr>
      <w:r>
        <w:rPr>
          <w:rFonts w:ascii="Gill Sans MT" w:hAnsi="Gill Sans MT"/>
          <w:b/>
          <w:bCs/>
        </w:rPr>
        <w:t>2.2</w:t>
      </w:r>
      <w:r w:rsidR="00737154" w:rsidRPr="00737154">
        <w:rPr>
          <w:rFonts w:ascii="Gill Sans MT" w:hAnsi="Gill Sans MT"/>
          <w:b/>
          <w:bCs/>
        </w:rPr>
        <w:t xml:space="preserve"> Tool Overview and Purpose</w:t>
      </w:r>
    </w:p>
    <w:p w14:paraId="3CB4C514" w14:textId="7031FBBF" w:rsidR="001B4245" w:rsidRPr="001B4245" w:rsidRDefault="001B4245" w:rsidP="00FB4E81">
      <w:pPr>
        <w:spacing w:line="276" w:lineRule="auto"/>
        <w:rPr>
          <w:rFonts w:ascii="Gill Sans MT" w:hAnsi="Gill Sans MT"/>
        </w:rPr>
      </w:pPr>
      <w:r w:rsidRPr="001B4245">
        <w:rPr>
          <w:rFonts w:ascii="Gill Sans MT" w:hAnsi="Gill Sans MT"/>
        </w:rPr>
        <w:t xml:space="preserve">Racial trauma assessment has evolved from symptom-focused screening tools to multidimensional instruments that incorporate environmental, affective, and developmental factors. This shift reflects a growing recognition that racial trauma is not merely an individual psychological </w:t>
      </w:r>
      <w:r w:rsidR="002149EB" w:rsidRPr="001B4245">
        <w:rPr>
          <w:rFonts w:ascii="Gill Sans MT" w:hAnsi="Gill Sans MT"/>
        </w:rPr>
        <w:t>response,</w:t>
      </w:r>
      <w:r w:rsidRPr="001B4245">
        <w:rPr>
          <w:rFonts w:ascii="Gill Sans MT" w:hAnsi="Gill Sans MT"/>
        </w:rPr>
        <w:t xml:space="preserve"> but a systemic and intergenerational phenomenon shaped by institutional betrayal, cultural invalidation, and anticipatory stress. A critical review of existing tools reveals both their contributions and limitations—particularly in relation to their applicability within the UK context.</w:t>
      </w:r>
    </w:p>
    <w:p w14:paraId="7DF9550C" w14:textId="77777777" w:rsidR="001B4245" w:rsidRPr="001B4245" w:rsidRDefault="001B4245" w:rsidP="00FB4E81">
      <w:pPr>
        <w:spacing w:line="276" w:lineRule="auto"/>
        <w:rPr>
          <w:rFonts w:ascii="Gill Sans MT" w:hAnsi="Gill Sans MT"/>
        </w:rPr>
      </w:pPr>
      <w:r w:rsidRPr="001B4245">
        <w:rPr>
          <w:rFonts w:ascii="Gill Sans MT" w:hAnsi="Gill Sans MT"/>
        </w:rPr>
        <w:t xml:space="preserve">Among the earliest and most influential instruments is the </w:t>
      </w:r>
      <w:r w:rsidRPr="001B4245">
        <w:rPr>
          <w:rFonts w:ascii="Gill Sans MT" w:hAnsi="Gill Sans MT"/>
          <w:b/>
          <w:bCs/>
        </w:rPr>
        <w:t>Race-Based Traumatic Stress Symptom Scale (RBTSSS)</w:t>
      </w:r>
      <w:r w:rsidRPr="001B4245">
        <w:rPr>
          <w:rFonts w:ascii="Gill Sans MT" w:hAnsi="Gill Sans MT"/>
        </w:rPr>
        <w:t>, developed by Carter et al. (2013). Grounded in the Race-Based Traumatic Stress Injury (RBTSI) model, the RBTSSS was one of the first tools to explicitly frame racism as a trauma source. It comprises 52 items across seven domains—depression, anger, physical reactions, avoidance, intrusion, hypervigilance/arousal, and low self-esteem—each designed to reflect the emotional and physiological consequences of racial discrimination. The scale uses a Likert-type format to assess symptom frequency and intensity, enabling nuanced differentiation between acute and chronic racial stress. While the RBTSSS was groundbreaking, it omits key dimensions such as institutional betrayal (Smith &amp; Freyd, 2014), symbolic trauma (Bryant-Davis &amp; Ocampo, 2005), and intergenerational transmission—factors especially salient in postcolonial British contexts.</w:t>
      </w:r>
    </w:p>
    <w:p w14:paraId="6140A3D2" w14:textId="77777777" w:rsidR="001B4245" w:rsidRPr="001B4245" w:rsidRDefault="001B4245" w:rsidP="00FB4E81">
      <w:pPr>
        <w:spacing w:line="276" w:lineRule="auto"/>
        <w:rPr>
          <w:rFonts w:ascii="Gill Sans MT" w:hAnsi="Gill Sans MT"/>
        </w:rPr>
      </w:pPr>
      <w:r w:rsidRPr="001B4245">
        <w:rPr>
          <w:rFonts w:ascii="Gill Sans MT" w:hAnsi="Gill Sans MT"/>
        </w:rPr>
        <w:t xml:space="preserve">Building on Carter’s foundational work, Anderson, McKenny, and Stevenson (2015) introduced the </w:t>
      </w:r>
      <w:r w:rsidRPr="001B4245">
        <w:rPr>
          <w:rFonts w:ascii="Gill Sans MT" w:hAnsi="Gill Sans MT"/>
          <w:b/>
          <w:bCs/>
        </w:rPr>
        <w:t>UConn Racial/Ethnic Stress and Trauma Survey (</w:t>
      </w:r>
      <w:proofErr w:type="spellStart"/>
      <w:r w:rsidRPr="001B4245">
        <w:rPr>
          <w:rFonts w:ascii="Gill Sans MT" w:hAnsi="Gill Sans MT"/>
          <w:b/>
          <w:bCs/>
        </w:rPr>
        <w:t>UnRESTS</w:t>
      </w:r>
      <w:proofErr w:type="spellEnd"/>
      <w:r w:rsidRPr="001B4245">
        <w:rPr>
          <w:rFonts w:ascii="Gill Sans MT" w:hAnsi="Gill Sans MT"/>
          <w:b/>
          <w:bCs/>
        </w:rPr>
        <w:t>)</w:t>
      </w:r>
      <w:r w:rsidRPr="001B4245">
        <w:rPr>
          <w:rFonts w:ascii="Gill Sans MT" w:hAnsi="Gill Sans MT"/>
        </w:rPr>
        <w:t xml:space="preserve"> to expand the scope of assessment to include developmental and contextual variables. The </w:t>
      </w:r>
      <w:proofErr w:type="spellStart"/>
      <w:r w:rsidRPr="001B4245">
        <w:rPr>
          <w:rFonts w:ascii="Gill Sans MT" w:hAnsi="Gill Sans MT"/>
        </w:rPr>
        <w:t>UnRESTS</w:t>
      </w:r>
      <w:proofErr w:type="spellEnd"/>
      <w:r w:rsidRPr="001B4245">
        <w:rPr>
          <w:rFonts w:ascii="Gill Sans MT" w:hAnsi="Gill Sans MT"/>
        </w:rPr>
        <w:t xml:space="preserve"> adopts a hybrid structure, combining a 24-item symptom checklist with open-ended narrative prompts. It is organised around four conceptual domains: racial socialisation, anticipatory stress, vicarious trauma, and coping strategies. This format allows clinicians to explore both the severity and the narrative context of racial trauma, particularly among adolescents and young adults. Racial socialisation is treated as both a protective and stress-inducing factor, while anticipatory stress captures the psychological toll of expecting future discrimination. Vicarious trauma addresses the impact of witnessing racial violence through media or community narratives, and the inclusion of coping strategies allows for the assessment of resilience. However, the </w:t>
      </w:r>
      <w:proofErr w:type="spellStart"/>
      <w:r w:rsidRPr="001B4245">
        <w:rPr>
          <w:rFonts w:ascii="Gill Sans MT" w:hAnsi="Gill Sans MT"/>
        </w:rPr>
        <w:t>UnRESTS</w:t>
      </w:r>
      <w:proofErr w:type="spellEnd"/>
      <w:r w:rsidRPr="001B4245">
        <w:rPr>
          <w:rFonts w:ascii="Gill Sans MT" w:hAnsi="Gill Sans MT"/>
        </w:rPr>
        <w:t xml:space="preserve"> lacks formal subscale scoring and has not been adapted to reflect UK-specific institutional structures such as the NHS, British policing, or educational tracking systems. Its qualitative richness may also limit its scalability in large-scale assessments (Anderson et al., 2015).</w:t>
      </w:r>
    </w:p>
    <w:p w14:paraId="07D98FE0" w14:textId="77777777" w:rsidR="001B4245" w:rsidRPr="001B4245" w:rsidRDefault="001B4245" w:rsidP="00FB4E81">
      <w:pPr>
        <w:spacing w:line="276" w:lineRule="auto"/>
        <w:rPr>
          <w:rFonts w:ascii="Gill Sans MT" w:hAnsi="Gill Sans MT"/>
        </w:rPr>
      </w:pPr>
      <w:r w:rsidRPr="001B4245">
        <w:rPr>
          <w:rFonts w:ascii="Gill Sans MT" w:hAnsi="Gill Sans MT"/>
        </w:rPr>
        <w:lastRenderedPageBreak/>
        <w:t xml:space="preserve">The </w:t>
      </w:r>
      <w:r w:rsidRPr="001B4245">
        <w:rPr>
          <w:rFonts w:ascii="Gill Sans MT" w:hAnsi="Gill Sans MT"/>
          <w:b/>
          <w:bCs/>
        </w:rPr>
        <w:t>Racial Trauma Scale (RTS)</w:t>
      </w:r>
      <w:r w:rsidRPr="001B4245">
        <w:rPr>
          <w:rFonts w:ascii="Gill Sans MT" w:hAnsi="Gill Sans MT"/>
        </w:rPr>
        <w:t>, developed by Williams et al. (2022), represents a methodological advance by aligning racial trauma assessment with DSM-5 criteria for PTSD. This 30-item self-report measure is structured into four domains—negative cognitions and mood, hyperarousal, avoidance, and re-experiencing—each reframed through a racial lens. Items such as “I feel unsafe in predominantly white spaces” or “I avoid places where I’ve experienced racism” allow for direct clinical integration. The RTS uses a 5-point Likert scale to assess symptom frequency over the past month, facilitating comparison with conventional PTSD measures. However, like its predecessors, the RTS does not include domains for institutional betrayal, symbolic violence, or cultural invalidation. It also omits developmental and intergenerational dimensions of racial trauma, which are especially relevant in the UK, where historical legacies such as colonial education and the Windrush scandal continue to shape contemporary experiences of racial harm (Williams et al., 2022).</w:t>
      </w:r>
    </w:p>
    <w:p w14:paraId="6C05CAA4" w14:textId="77777777" w:rsidR="005C26B3" w:rsidRDefault="001B4245" w:rsidP="005B4896">
      <w:pPr>
        <w:spacing w:line="276" w:lineRule="auto"/>
        <w:rPr>
          <w:rFonts w:ascii="Gill Sans MT" w:hAnsi="Gill Sans MT"/>
        </w:rPr>
      </w:pPr>
      <w:r w:rsidRPr="001B4245">
        <w:rPr>
          <w:rFonts w:ascii="Gill Sans MT" w:hAnsi="Gill Sans MT"/>
        </w:rPr>
        <w:t xml:space="preserve">Beyond these core trauma tools, a broader ecosystem of psychometric instruments has emerged to capture the environmental and affective dimensions of racialised experience. The </w:t>
      </w:r>
      <w:r w:rsidRPr="001B4245">
        <w:rPr>
          <w:rFonts w:ascii="Gill Sans MT" w:hAnsi="Gill Sans MT"/>
          <w:b/>
          <w:bCs/>
        </w:rPr>
        <w:t>Index of Race-Related Stress (IRRS)</w:t>
      </w:r>
      <w:r w:rsidRPr="001B4245">
        <w:rPr>
          <w:rFonts w:ascii="Gill Sans MT" w:hAnsi="Gill Sans MT"/>
        </w:rPr>
        <w:t xml:space="preserve">, developed by Utsey and </w:t>
      </w:r>
      <w:proofErr w:type="spellStart"/>
      <w:r w:rsidRPr="001B4245">
        <w:rPr>
          <w:rFonts w:ascii="Gill Sans MT" w:hAnsi="Gill Sans MT"/>
        </w:rPr>
        <w:t>Ponterotto</w:t>
      </w:r>
      <w:proofErr w:type="spellEnd"/>
      <w:r w:rsidRPr="001B4245">
        <w:rPr>
          <w:rFonts w:ascii="Gill Sans MT" w:hAnsi="Gill Sans MT"/>
        </w:rPr>
        <w:t xml:space="preserve"> (1996), offers a tripartite model of individual, institutional, and cultural racism. Its 46 items are scored on a 5-point Likert scale and include experiences such as being followed in stores, receiving poor service, or encountering media stereotypes. While conceptually robust, the IRRS reflects American racial dynamics and requires adaptation for UK use. The </w:t>
      </w:r>
      <w:r w:rsidRPr="001B4245">
        <w:rPr>
          <w:rFonts w:ascii="Gill Sans MT" w:hAnsi="Gill Sans MT"/>
          <w:b/>
          <w:bCs/>
        </w:rPr>
        <w:t>Trauma Symptoms of Discrimination Scale (TSDS)</w:t>
      </w:r>
      <w:r w:rsidRPr="001B4245">
        <w:rPr>
          <w:rFonts w:ascii="Gill Sans MT" w:hAnsi="Gill Sans MT"/>
        </w:rPr>
        <w:t>, developed by Williams, Printz, and DeLapp (2018), focuses on anxiety-related trauma symptoms such as panic, insomnia, and intrusive thoughts. It is particularly useful for identifying racial anxiety, a construct gaining recognition in both clinical and community settings. However, the TSDS is limited to symptomatology and does not account for environmental or systemic contributors to trauma.</w:t>
      </w:r>
      <w:r w:rsidR="005B4896">
        <w:rPr>
          <w:rFonts w:ascii="Gill Sans MT" w:hAnsi="Gill Sans MT"/>
        </w:rPr>
        <w:t xml:space="preserve"> </w:t>
      </w:r>
    </w:p>
    <w:p w14:paraId="533ECEF1" w14:textId="4E4FF20D" w:rsidR="001B4245" w:rsidRPr="001B4245" w:rsidRDefault="001B4245" w:rsidP="005B4896">
      <w:pPr>
        <w:spacing w:line="276" w:lineRule="auto"/>
        <w:rPr>
          <w:rFonts w:ascii="Gill Sans MT" w:hAnsi="Gill Sans MT"/>
        </w:rPr>
      </w:pPr>
      <w:r w:rsidRPr="001B4245">
        <w:rPr>
          <w:rFonts w:ascii="Gill Sans MT" w:hAnsi="Gill Sans MT"/>
        </w:rPr>
        <w:t xml:space="preserve">The </w:t>
      </w:r>
      <w:r w:rsidRPr="001B4245">
        <w:rPr>
          <w:rFonts w:ascii="Gill Sans MT" w:hAnsi="Gill Sans MT"/>
          <w:b/>
          <w:bCs/>
        </w:rPr>
        <w:t>Race-Related Events Scale (RES)</w:t>
      </w:r>
      <w:r w:rsidRPr="001B4245">
        <w:rPr>
          <w:rFonts w:ascii="Gill Sans MT" w:hAnsi="Gill Sans MT"/>
        </w:rPr>
        <w:t xml:space="preserve">, introduced by Waelde et al. (2010), is a brief screening tool that measures exposure to race-related stressors and their psychological impact. It includes items on hypervigilance, avoidance, and emotional reactivity, and is suitable for initial screening. However, its brevity limits its diagnostic depth and domain coverage. Complementing these symptom-focused tools are racial climate measures such as the </w:t>
      </w:r>
      <w:r w:rsidRPr="001B4245">
        <w:rPr>
          <w:rFonts w:ascii="Gill Sans MT" w:hAnsi="Gill Sans MT"/>
          <w:b/>
          <w:bCs/>
        </w:rPr>
        <w:t>Racial Climate Scale for Higher Education</w:t>
      </w:r>
      <w:r w:rsidRPr="001B4245">
        <w:rPr>
          <w:rFonts w:ascii="Gill Sans MT" w:hAnsi="Gill Sans MT"/>
        </w:rPr>
        <w:t xml:space="preserve"> (Reid &amp; Radhakrishnan, 2003) and the </w:t>
      </w:r>
      <w:r w:rsidRPr="001B4245">
        <w:rPr>
          <w:rFonts w:ascii="Gill Sans MT" w:hAnsi="Gill Sans MT"/>
          <w:b/>
          <w:bCs/>
        </w:rPr>
        <w:t>Academic Coping to Racial Climate Scale</w:t>
      </w:r>
      <w:r w:rsidRPr="001B4245">
        <w:rPr>
          <w:rFonts w:ascii="Gill Sans MT" w:hAnsi="Gill Sans MT"/>
        </w:rPr>
        <w:t xml:space="preserve"> (</w:t>
      </w:r>
      <w:proofErr w:type="spellStart"/>
      <w:r w:rsidRPr="001B4245">
        <w:rPr>
          <w:rFonts w:ascii="Gill Sans MT" w:hAnsi="Gill Sans MT"/>
        </w:rPr>
        <w:t>Valdiviejas</w:t>
      </w:r>
      <w:proofErr w:type="spellEnd"/>
      <w:r w:rsidRPr="001B4245">
        <w:rPr>
          <w:rFonts w:ascii="Gill Sans MT" w:hAnsi="Gill Sans MT"/>
        </w:rPr>
        <w:t xml:space="preserve"> Cohn et al., 2025). These instruments assess perceived inclusivity, hostility, and stereotype threat within institutional settings. Grounded in Critical Race Theory and </w:t>
      </w:r>
      <w:proofErr w:type="spellStart"/>
      <w:r w:rsidRPr="001B4245">
        <w:rPr>
          <w:rFonts w:ascii="Gill Sans MT" w:hAnsi="Gill Sans MT"/>
        </w:rPr>
        <w:t>QuantCrit</w:t>
      </w:r>
      <w:proofErr w:type="spellEnd"/>
      <w:r w:rsidRPr="001B4245">
        <w:rPr>
          <w:rFonts w:ascii="Gill Sans MT" w:hAnsi="Gill Sans MT"/>
        </w:rPr>
        <w:t xml:space="preserve"> methodology, they capture the psychological toll of navigating predominantly white institutions. Items such as “I feel I must work twice as hard to be seen as competent” reflect internalised coping strategies under racialised scrutiny. While these scales offer valuable insights into environmental contributors to racial trauma, they do not assess symptomatology directly and are limited to educational contexts.</w:t>
      </w:r>
    </w:p>
    <w:p w14:paraId="5A4C62C0" w14:textId="77777777" w:rsidR="005C26B3" w:rsidRDefault="001B4245" w:rsidP="00FB4E81">
      <w:pPr>
        <w:spacing w:line="276" w:lineRule="auto"/>
        <w:rPr>
          <w:rFonts w:ascii="Gill Sans MT" w:hAnsi="Gill Sans MT"/>
        </w:rPr>
      </w:pPr>
      <w:r w:rsidRPr="001B4245">
        <w:rPr>
          <w:rFonts w:ascii="Gill Sans MT" w:hAnsi="Gill Sans MT"/>
        </w:rPr>
        <w:t xml:space="preserve">Collectively, these tools have advanced the field of racial trauma assessment by legitimising the psychological impact of racism and offering clinicians structured ways to explore racialised distress. However, they share a common limitation: </w:t>
      </w:r>
      <w:r w:rsidRPr="001B4245">
        <w:rPr>
          <w:rFonts w:ascii="Gill Sans MT" w:hAnsi="Gill Sans MT"/>
          <w:i/>
          <w:iCs/>
        </w:rPr>
        <w:t>none have been validated within UK populations</w:t>
      </w:r>
      <w:r w:rsidRPr="001B4245">
        <w:rPr>
          <w:rFonts w:ascii="Gill Sans MT" w:hAnsi="Gill Sans MT"/>
        </w:rPr>
        <w:t xml:space="preserve">, nor do they reflect the institutional configurations, historical legacies, and cultural idioms that shape racial trauma in Britain. Most are rooted in U.S. racial dynamics and omit critical domains such as </w:t>
      </w:r>
      <w:r w:rsidRPr="001B4245">
        <w:rPr>
          <w:rFonts w:ascii="Gill Sans MT" w:hAnsi="Gill Sans MT"/>
        </w:rPr>
        <w:lastRenderedPageBreak/>
        <w:t xml:space="preserve">institutional betrayal, symbolic trauma, and intergenerational transmission—dimensions that are central to the lived experiences of African and African Caribbean communities in the UK. </w:t>
      </w:r>
    </w:p>
    <w:p w14:paraId="2B95E37F" w14:textId="4FF738D7" w:rsidR="001B4245" w:rsidRDefault="001B4245" w:rsidP="00FB4E81">
      <w:pPr>
        <w:spacing w:line="276" w:lineRule="auto"/>
        <w:rPr>
          <w:rFonts w:ascii="Gill Sans MT" w:hAnsi="Gill Sans MT"/>
        </w:rPr>
      </w:pPr>
      <w:r w:rsidRPr="001B4245">
        <w:rPr>
          <w:rFonts w:ascii="Gill Sans MT" w:hAnsi="Gill Sans MT"/>
        </w:rPr>
        <w:t>This gap underscores the need for a culturally grounded, psychometrically robust instrument capable of capturing both individual symptomatology and systemic exposure in a British context.</w:t>
      </w:r>
    </w:p>
    <w:p w14:paraId="046A849E" w14:textId="083B32F0" w:rsidR="00737154" w:rsidRPr="00737154" w:rsidRDefault="00307662" w:rsidP="00FB4E81">
      <w:pPr>
        <w:spacing w:line="276" w:lineRule="auto"/>
        <w:rPr>
          <w:rFonts w:ascii="Gill Sans MT" w:hAnsi="Gill Sans MT"/>
          <w:b/>
          <w:bCs/>
        </w:rPr>
      </w:pPr>
      <w:r>
        <w:rPr>
          <w:rFonts w:ascii="Gill Sans MT" w:hAnsi="Gill Sans MT"/>
          <w:b/>
          <w:bCs/>
        </w:rPr>
        <w:t>2.3</w:t>
      </w:r>
      <w:r w:rsidR="00737154" w:rsidRPr="00737154">
        <w:rPr>
          <w:rFonts w:ascii="Gill Sans MT" w:hAnsi="Gill Sans MT"/>
          <w:b/>
          <w:bCs/>
        </w:rPr>
        <w:t xml:space="preserve"> Psychometric Properties</w:t>
      </w:r>
    </w:p>
    <w:p w14:paraId="056962AF" w14:textId="77777777" w:rsidR="00FD39C9" w:rsidRPr="00FD39C9" w:rsidRDefault="00FD39C9" w:rsidP="00FB4E81">
      <w:pPr>
        <w:spacing w:line="276" w:lineRule="auto"/>
        <w:rPr>
          <w:rFonts w:ascii="Gill Sans MT" w:hAnsi="Gill Sans MT"/>
        </w:rPr>
      </w:pPr>
      <w:r w:rsidRPr="00FD39C9">
        <w:rPr>
          <w:rFonts w:ascii="Gill Sans MT" w:hAnsi="Gill Sans MT"/>
        </w:rPr>
        <w:t>The psychometric integrity of racial trauma measures is central to their reliability, validity, and clinical utility. While many of the existing instruments demonstrate strong internal consistency and construct validity within U.S. samples, their applicability to UK populations remains untested, raising important concerns about cross-cultural generalisability and ecological relevance.</w:t>
      </w:r>
    </w:p>
    <w:p w14:paraId="36FB7FA2" w14:textId="77777777" w:rsidR="00FD39C9" w:rsidRPr="00FD39C9" w:rsidRDefault="00FD39C9" w:rsidP="00FB4E81">
      <w:pPr>
        <w:spacing w:line="276" w:lineRule="auto"/>
        <w:rPr>
          <w:rFonts w:ascii="Gill Sans MT" w:hAnsi="Gill Sans MT"/>
        </w:rPr>
      </w:pPr>
      <w:r w:rsidRPr="00FD39C9">
        <w:rPr>
          <w:rFonts w:ascii="Gill Sans MT" w:hAnsi="Gill Sans MT"/>
        </w:rPr>
        <w:t xml:space="preserve">The </w:t>
      </w:r>
      <w:r w:rsidRPr="00FD39C9">
        <w:rPr>
          <w:rFonts w:ascii="Gill Sans MT" w:hAnsi="Gill Sans MT"/>
          <w:b/>
          <w:bCs/>
        </w:rPr>
        <w:t>Race-Based Traumatic Stress Symptom Scale (RBTSSS)</w:t>
      </w:r>
      <w:r w:rsidRPr="00FD39C9">
        <w:rPr>
          <w:rFonts w:ascii="Gill Sans MT" w:hAnsi="Gill Sans MT"/>
        </w:rPr>
        <w:t xml:space="preserve"> stands out as one of the most extensively validated tools in the U.S., particularly among racially minoritised adult populations. Carter et al. (2013) reported Cronbach’s alpha coefficients ranging from .78 to .91 across its subscales, indicating high internal consistency. Construct validity was supported through significant correlations with general trauma indices, depression inventories, and perceived discrimination scales. Despite its psychometric strength, the </w:t>
      </w:r>
      <w:r w:rsidRPr="00FD39C9">
        <w:rPr>
          <w:rFonts w:ascii="Gill Sans MT" w:hAnsi="Gill Sans MT"/>
          <w:b/>
          <w:bCs/>
        </w:rPr>
        <w:t>RBTSSS</w:t>
      </w:r>
      <w:r w:rsidRPr="00FD39C9">
        <w:rPr>
          <w:rFonts w:ascii="Gill Sans MT" w:hAnsi="Gill Sans MT"/>
        </w:rPr>
        <w:t xml:space="preserve"> has not been normed on African or African Caribbean populations in the UK. Its factor structure may not translate across cultural contexts, and the absence of UK-specific institutional domains—such as those reflecting the NHS, British policing, or educational tracking—limits its ecological validity in British settings.</w:t>
      </w:r>
    </w:p>
    <w:p w14:paraId="695C3C32" w14:textId="77777777" w:rsidR="00FD39C9" w:rsidRPr="00FD39C9" w:rsidRDefault="00FD39C9" w:rsidP="00FB4E81">
      <w:pPr>
        <w:spacing w:line="276" w:lineRule="auto"/>
        <w:rPr>
          <w:rFonts w:ascii="Gill Sans MT" w:hAnsi="Gill Sans MT"/>
        </w:rPr>
      </w:pPr>
      <w:r w:rsidRPr="00FD39C9">
        <w:rPr>
          <w:rFonts w:ascii="Gill Sans MT" w:hAnsi="Gill Sans MT"/>
        </w:rPr>
        <w:t xml:space="preserve">In contrast, the </w:t>
      </w:r>
      <w:r w:rsidRPr="00FD39C9">
        <w:rPr>
          <w:rFonts w:ascii="Gill Sans MT" w:hAnsi="Gill Sans MT"/>
          <w:b/>
          <w:bCs/>
        </w:rPr>
        <w:t>UConn Racial/Ethnic Stress and Trauma Survey (</w:t>
      </w:r>
      <w:proofErr w:type="spellStart"/>
      <w:r w:rsidRPr="00FD39C9">
        <w:rPr>
          <w:rFonts w:ascii="Gill Sans MT" w:hAnsi="Gill Sans MT"/>
          <w:b/>
          <w:bCs/>
        </w:rPr>
        <w:t>UnRESTS</w:t>
      </w:r>
      <w:proofErr w:type="spellEnd"/>
      <w:r w:rsidRPr="00FD39C9">
        <w:rPr>
          <w:rFonts w:ascii="Gill Sans MT" w:hAnsi="Gill Sans MT"/>
          <w:b/>
          <w:bCs/>
        </w:rPr>
        <w:t>)</w:t>
      </w:r>
      <w:r w:rsidRPr="00FD39C9">
        <w:rPr>
          <w:rFonts w:ascii="Gill Sans MT" w:hAnsi="Gill Sans MT"/>
        </w:rPr>
        <w:t xml:space="preserve"> </w:t>
      </w:r>
      <w:proofErr w:type="gramStart"/>
      <w:r w:rsidRPr="00FD39C9">
        <w:rPr>
          <w:rFonts w:ascii="Gill Sans MT" w:hAnsi="Gill Sans MT"/>
        </w:rPr>
        <w:t>offers</w:t>
      </w:r>
      <w:proofErr w:type="gramEnd"/>
      <w:r w:rsidRPr="00FD39C9">
        <w:rPr>
          <w:rFonts w:ascii="Gill Sans MT" w:hAnsi="Gill Sans MT"/>
        </w:rPr>
        <w:t xml:space="preserve"> conceptual richness through its hybrid format, combining a symptom checklist with open-ended narrative prompts. Anderson et al. (2015) reported preliminary reliability estimates for the checklist, with alpha coefficients exceeding .80. However, the qualitative components have not undergone rigorous psychometric analysis, and the tool lacks formal subscale scoring, which complicates its use in comparative research and standardised clinical settings. While its open-ended design is valuable for therapeutic exploration, it poses challenges for scalability and statistical benchmarking. Moreover, the </w:t>
      </w:r>
      <w:proofErr w:type="spellStart"/>
      <w:r w:rsidRPr="00FD39C9">
        <w:rPr>
          <w:rFonts w:ascii="Gill Sans MT" w:hAnsi="Gill Sans MT"/>
          <w:b/>
          <w:bCs/>
        </w:rPr>
        <w:t>UnRESTS</w:t>
      </w:r>
      <w:proofErr w:type="spellEnd"/>
      <w:r w:rsidRPr="00FD39C9">
        <w:rPr>
          <w:rFonts w:ascii="Gill Sans MT" w:hAnsi="Gill Sans MT"/>
        </w:rPr>
        <w:t xml:space="preserve"> has not been validated in UK samples, and its cultural references—rooted in U.S. racial dynamics—may reduce its relevance for Black British youth navigating distinct institutional landscapes.</w:t>
      </w:r>
    </w:p>
    <w:p w14:paraId="127E3BE9" w14:textId="77777777" w:rsidR="00FD39C9" w:rsidRPr="00FD39C9" w:rsidRDefault="00FD39C9" w:rsidP="00FB4E81">
      <w:pPr>
        <w:spacing w:line="276" w:lineRule="auto"/>
        <w:rPr>
          <w:rFonts w:ascii="Gill Sans MT" w:hAnsi="Gill Sans MT"/>
        </w:rPr>
      </w:pPr>
      <w:r w:rsidRPr="00FD39C9">
        <w:rPr>
          <w:rFonts w:ascii="Gill Sans MT" w:hAnsi="Gill Sans MT"/>
        </w:rPr>
        <w:t xml:space="preserve">The </w:t>
      </w:r>
      <w:r w:rsidRPr="00FD39C9">
        <w:rPr>
          <w:rFonts w:ascii="Gill Sans MT" w:hAnsi="Gill Sans MT"/>
          <w:b/>
          <w:bCs/>
        </w:rPr>
        <w:t>Racial Trauma Scale (RTS)</w:t>
      </w:r>
      <w:r w:rsidRPr="00FD39C9">
        <w:rPr>
          <w:rFonts w:ascii="Gill Sans MT" w:hAnsi="Gill Sans MT"/>
        </w:rPr>
        <w:t xml:space="preserve">, developed by Williams et al. (2022), demonstrates robust psychometric properties. Cronbach’s alpha values exceed .90 for the total scale and .85 for each subscale, and confirmatory factor analysis supports its four-factor structure aligned with DSM-5 PTSD criteria. Convergent validity has been established through correlations with general PTSD measures and racial stress indices. Yet, despite its methodological rigour, the </w:t>
      </w:r>
      <w:r w:rsidRPr="00FD39C9">
        <w:rPr>
          <w:rFonts w:ascii="Gill Sans MT" w:hAnsi="Gill Sans MT"/>
          <w:b/>
          <w:bCs/>
        </w:rPr>
        <w:t>RTS</w:t>
      </w:r>
      <w:r w:rsidRPr="00FD39C9">
        <w:rPr>
          <w:rFonts w:ascii="Gill Sans MT" w:hAnsi="Gill Sans MT"/>
        </w:rPr>
        <w:t xml:space="preserve"> has not been normed on UK populations. Its item content may not fully capture the nuances of British racial trauma, such as the psychological impact of misrepresentation in UK media or the denial of access to culturally competent healthcare services.</w:t>
      </w:r>
    </w:p>
    <w:p w14:paraId="0FCD02C9" w14:textId="458B3E3F" w:rsidR="00FD39C9" w:rsidRPr="00FD39C9" w:rsidRDefault="00FD39C9" w:rsidP="00960482">
      <w:pPr>
        <w:spacing w:line="276" w:lineRule="auto"/>
        <w:rPr>
          <w:rFonts w:ascii="Gill Sans MT" w:hAnsi="Gill Sans MT"/>
        </w:rPr>
      </w:pPr>
      <w:r w:rsidRPr="00FD39C9">
        <w:rPr>
          <w:rFonts w:ascii="Gill Sans MT" w:hAnsi="Gill Sans MT"/>
        </w:rPr>
        <w:t xml:space="preserve">The </w:t>
      </w:r>
      <w:r w:rsidRPr="00FD39C9">
        <w:rPr>
          <w:rFonts w:ascii="Gill Sans MT" w:hAnsi="Gill Sans MT"/>
          <w:b/>
          <w:bCs/>
        </w:rPr>
        <w:t>Index of Race-Related Stress (IRRS)</w:t>
      </w:r>
      <w:r w:rsidRPr="00FD39C9">
        <w:rPr>
          <w:rFonts w:ascii="Gill Sans MT" w:hAnsi="Gill Sans MT"/>
        </w:rPr>
        <w:t xml:space="preserve">, developed by Utsey and </w:t>
      </w:r>
      <w:proofErr w:type="spellStart"/>
      <w:r w:rsidRPr="00FD39C9">
        <w:rPr>
          <w:rFonts w:ascii="Gill Sans MT" w:hAnsi="Gill Sans MT"/>
        </w:rPr>
        <w:t>Ponterotto</w:t>
      </w:r>
      <w:proofErr w:type="spellEnd"/>
      <w:r w:rsidRPr="00FD39C9">
        <w:rPr>
          <w:rFonts w:ascii="Gill Sans MT" w:hAnsi="Gill Sans MT"/>
        </w:rPr>
        <w:t xml:space="preserve"> (1996), also demonstrates high internal consistency (</w:t>
      </w:r>
      <w:r w:rsidRPr="00FD39C9">
        <w:rPr>
          <w:rFonts w:ascii="Calibri" w:hAnsi="Calibri" w:cs="Calibri"/>
        </w:rPr>
        <w:t>α</w:t>
      </w:r>
      <w:r w:rsidRPr="00FD39C9">
        <w:rPr>
          <w:rFonts w:ascii="Gill Sans MT" w:hAnsi="Gill Sans MT"/>
        </w:rPr>
        <w:t xml:space="preserve"> = .92) and strong construct validity in African American samples. Its tripartite structure</w:t>
      </w:r>
      <w:r w:rsidRPr="00FD39C9">
        <w:rPr>
          <w:rFonts w:ascii="Gill Sans MT" w:hAnsi="Gill Sans MT" w:cs="Gill Sans MT"/>
        </w:rPr>
        <w:t>—</w:t>
      </w:r>
      <w:r w:rsidRPr="00FD39C9">
        <w:rPr>
          <w:rFonts w:ascii="Gill Sans MT" w:hAnsi="Gill Sans MT"/>
        </w:rPr>
        <w:t>distinguishing individual, institutional, and cultural racism</w:t>
      </w:r>
      <w:r w:rsidRPr="00FD39C9">
        <w:rPr>
          <w:rFonts w:ascii="Gill Sans MT" w:hAnsi="Gill Sans MT" w:cs="Gill Sans MT"/>
        </w:rPr>
        <w:t>—</w:t>
      </w:r>
      <w:r w:rsidRPr="00FD39C9">
        <w:rPr>
          <w:rFonts w:ascii="Gill Sans MT" w:hAnsi="Gill Sans MT"/>
        </w:rPr>
        <w:t xml:space="preserve">has been replicated across multiple studies and correlates well with measures of psychological distress </w:t>
      </w:r>
      <w:r w:rsidRPr="00FD39C9">
        <w:rPr>
          <w:rFonts w:ascii="Gill Sans MT" w:hAnsi="Gill Sans MT"/>
        </w:rPr>
        <w:lastRenderedPageBreak/>
        <w:t>and racial identity conflict. However, its item content reflects U.S.-centric examples, such as interactions with American law enforcement or media stereotypes, which may not resonate with UK-specific experiences without adaptation.</w:t>
      </w:r>
    </w:p>
    <w:p w14:paraId="46F081C8" w14:textId="77777777" w:rsidR="00FD39C9" w:rsidRPr="00FD39C9" w:rsidRDefault="00FD39C9" w:rsidP="00FB4E81">
      <w:pPr>
        <w:spacing w:line="276" w:lineRule="auto"/>
        <w:rPr>
          <w:rFonts w:ascii="Gill Sans MT" w:hAnsi="Gill Sans MT"/>
        </w:rPr>
      </w:pPr>
      <w:r w:rsidRPr="00FD39C9">
        <w:rPr>
          <w:rFonts w:ascii="Gill Sans MT" w:hAnsi="Gill Sans MT"/>
        </w:rPr>
        <w:t xml:space="preserve">Similarly, the </w:t>
      </w:r>
      <w:r w:rsidRPr="00FD39C9">
        <w:rPr>
          <w:rFonts w:ascii="Gill Sans MT" w:hAnsi="Gill Sans MT"/>
          <w:b/>
          <w:bCs/>
        </w:rPr>
        <w:t>Trauma Symptoms of Discrimination Scale (TSDS)</w:t>
      </w:r>
      <w:r w:rsidRPr="00FD39C9">
        <w:rPr>
          <w:rFonts w:ascii="Gill Sans MT" w:hAnsi="Gill Sans MT"/>
        </w:rPr>
        <w:t>, developed by Williams, Printz, and DeLapp (2018), has shown high internal consistency (</w:t>
      </w:r>
      <w:r w:rsidRPr="00FD39C9">
        <w:rPr>
          <w:rFonts w:ascii="Calibri" w:hAnsi="Calibri" w:cs="Calibri"/>
        </w:rPr>
        <w:t>α</w:t>
      </w:r>
      <w:r w:rsidRPr="00FD39C9">
        <w:rPr>
          <w:rFonts w:ascii="Gill Sans MT" w:hAnsi="Gill Sans MT"/>
        </w:rPr>
        <w:t xml:space="preserve"> = .91) and convergent validity with general anxiety and PTSD measures. It is particularly effective in identifying emotional dysregulation following discriminatory events, including symptoms such as panic, insomnia, and intrusive thoughts. Despite its clinical utility, the </w:t>
      </w:r>
      <w:r w:rsidRPr="00FD39C9">
        <w:rPr>
          <w:rFonts w:ascii="Gill Sans MT" w:hAnsi="Gill Sans MT"/>
          <w:b/>
          <w:bCs/>
        </w:rPr>
        <w:t>TSDS</w:t>
      </w:r>
      <w:r w:rsidRPr="00FD39C9">
        <w:rPr>
          <w:rFonts w:ascii="Gill Sans MT" w:hAnsi="Gill Sans MT"/>
        </w:rPr>
        <w:t xml:space="preserve"> lacks environmental domains and has not been validated outside the U.S., limiting its relevance for assessing systemic contributors to racial trauma in Britain.</w:t>
      </w:r>
    </w:p>
    <w:p w14:paraId="13AFA84E" w14:textId="77777777" w:rsidR="00FD39C9" w:rsidRPr="00FD39C9" w:rsidRDefault="00FD39C9" w:rsidP="00FB4E81">
      <w:pPr>
        <w:spacing w:line="276" w:lineRule="auto"/>
        <w:rPr>
          <w:rFonts w:ascii="Gill Sans MT" w:hAnsi="Gill Sans MT"/>
        </w:rPr>
      </w:pPr>
      <w:r w:rsidRPr="00FD39C9">
        <w:rPr>
          <w:rFonts w:ascii="Gill Sans MT" w:hAnsi="Gill Sans MT"/>
        </w:rPr>
        <w:t xml:space="preserve">The </w:t>
      </w:r>
      <w:r w:rsidRPr="00FD39C9">
        <w:rPr>
          <w:rFonts w:ascii="Gill Sans MT" w:hAnsi="Gill Sans MT"/>
          <w:b/>
          <w:bCs/>
        </w:rPr>
        <w:t>Race-Related Events Scale (RES)</w:t>
      </w:r>
      <w:r w:rsidRPr="00FD39C9">
        <w:rPr>
          <w:rFonts w:ascii="Gill Sans MT" w:hAnsi="Gill Sans MT"/>
        </w:rPr>
        <w:t>, introduced by Waelde et al. (2010), offers a brief screening format with acceptable reliability and validity in U.S. samples. It includes items on hypervigilance, avoidance, and emotional reactivity, making it suitable for initial trauma screening. However, its brevity restricts its diagnostic depth, and its item pool does not adequately capture symbolic or institutional dimensions of racial trauma—such as those related to curriculum erasure, housing discrimination, or media misrepresentation—that are central to the British context.</w:t>
      </w:r>
    </w:p>
    <w:p w14:paraId="54D87939" w14:textId="77777777" w:rsidR="00FD39C9" w:rsidRDefault="00FD39C9" w:rsidP="00FB4E81">
      <w:pPr>
        <w:spacing w:line="276" w:lineRule="auto"/>
        <w:rPr>
          <w:rFonts w:ascii="Gill Sans MT" w:hAnsi="Gill Sans MT"/>
        </w:rPr>
      </w:pPr>
      <w:r w:rsidRPr="00FD39C9">
        <w:rPr>
          <w:rFonts w:ascii="Gill Sans MT" w:hAnsi="Gill Sans MT"/>
        </w:rPr>
        <w:t xml:space="preserve">Racial climate measures, including the </w:t>
      </w:r>
      <w:r w:rsidRPr="00FD39C9">
        <w:rPr>
          <w:rFonts w:ascii="Gill Sans MT" w:hAnsi="Gill Sans MT"/>
          <w:b/>
          <w:bCs/>
        </w:rPr>
        <w:t>Racial Climate Scale for Higher Education</w:t>
      </w:r>
      <w:r w:rsidRPr="00FD39C9">
        <w:rPr>
          <w:rFonts w:ascii="Gill Sans MT" w:hAnsi="Gill Sans MT"/>
        </w:rPr>
        <w:t xml:space="preserve"> (Reid &amp; Radhakrishnan, 2003) and the </w:t>
      </w:r>
      <w:r w:rsidRPr="00FD39C9">
        <w:rPr>
          <w:rFonts w:ascii="Gill Sans MT" w:hAnsi="Gill Sans MT"/>
          <w:b/>
          <w:bCs/>
        </w:rPr>
        <w:t>Academic Coping to Racial Climate Scale</w:t>
      </w:r>
      <w:r w:rsidRPr="00FD39C9">
        <w:rPr>
          <w:rFonts w:ascii="Gill Sans MT" w:hAnsi="Gill Sans MT"/>
        </w:rPr>
        <w:t xml:space="preserve"> (</w:t>
      </w:r>
      <w:proofErr w:type="spellStart"/>
      <w:r w:rsidRPr="00FD39C9">
        <w:rPr>
          <w:rFonts w:ascii="Gill Sans MT" w:hAnsi="Gill Sans MT"/>
        </w:rPr>
        <w:t>Valdiviejas</w:t>
      </w:r>
      <w:proofErr w:type="spellEnd"/>
      <w:r w:rsidRPr="00FD39C9">
        <w:rPr>
          <w:rFonts w:ascii="Gill Sans MT" w:hAnsi="Gill Sans MT"/>
        </w:rPr>
        <w:t xml:space="preserve"> Cohn et al., 2025), have demonstrated strong internal consistency (</w:t>
      </w:r>
      <w:r w:rsidRPr="00FD39C9">
        <w:rPr>
          <w:rFonts w:ascii="Calibri" w:hAnsi="Calibri" w:cs="Calibri"/>
        </w:rPr>
        <w:t>α</w:t>
      </w:r>
      <w:r w:rsidRPr="00FD39C9">
        <w:rPr>
          <w:rFonts w:ascii="Gill Sans MT" w:hAnsi="Gill Sans MT"/>
        </w:rPr>
        <w:t xml:space="preserve"> &gt; .85) and construct validity through factor analysis. These instruments are grounded in Critical Race Theory and </w:t>
      </w:r>
      <w:proofErr w:type="spellStart"/>
      <w:r w:rsidRPr="00FD39C9">
        <w:rPr>
          <w:rFonts w:ascii="Gill Sans MT" w:hAnsi="Gill Sans MT"/>
        </w:rPr>
        <w:t>QuantCrit</w:t>
      </w:r>
      <w:proofErr w:type="spellEnd"/>
      <w:r w:rsidRPr="00FD39C9">
        <w:rPr>
          <w:rFonts w:ascii="Gill Sans MT" w:hAnsi="Gill Sans MT"/>
        </w:rPr>
        <w:t xml:space="preserve"> methodology and offer valuable insights into perceived inclusivity, hostility, and stereotype threat within educational institutions. Items such as </w:t>
      </w:r>
      <w:r w:rsidRPr="00FD39C9">
        <w:rPr>
          <w:rFonts w:ascii="Gill Sans MT" w:hAnsi="Gill Sans MT" w:cs="Gill Sans MT"/>
        </w:rPr>
        <w:t>“</w:t>
      </w:r>
      <w:r w:rsidRPr="00FD39C9">
        <w:rPr>
          <w:rFonts w:ascii="Gill Sans MT" w:hAnsi="Gill Sans MT"/>
        </w:rPr>
        <w:t>I feel I must work twice as hard to be seen as competent</w:t>
      </w:r>
      <w:r w:rsidRPr="00FD39C9">
        <w:rPr>
          <w:rFonts w:ascii="Gill Sans MT" w:hAnsi="Gill Sans MT" w:cs="Gill Sans MT"/>
        </w:rPr>
        <w:t>”</w:t>
      </w:r>
      <w:r w:rsidRPr="00FD39C9">
        <w:rPr>
          <w:rFonts w:ascii="Gill Sans MT" w:hAnsi="Gill Sans MT"/>
        </w:rPr>
        <w:t xml:space="preserve"> reflect internalised coping strategies under racialised scrutiny. While these scales offer valuable insights into environmental contributors to racial trauma, they do not assess symptomatology directly and are limited to educational contexts.</w:t>
      </w:r>
    </w:p>
    <w:p w14:paraId="0FAF6517" w14:textId="77777777" w:rsidR="00FD39C9" w:rsidRDefault="00FD39C9" w:rsidP="00FB4E81">
      <w:pPr>
        <w:spacing w:line="276" w:lineRule="auto"/>
        <w:rPr>
          <w:rFonts w:ascii="Gill Sans MT" w:hAnsi="Gill Sans MT"/>
        </w:rPr>
      </w:pPr>
      <w:r w:rsidRPr="00FD39C9">
        <w:rPr>
          <w:rFonts w:ascii="Gill Sans MT" w:hAnsi="Gill Sans MT"/>
        </w:rPr>
        <w:t>Taken together, these instruments have advanced the field of racial trauma assessment by legitimising the psychological impact of racism and offering clinicians structured ways to explore racialised distress. However, they share a critical limitation: none have been psychometrically validated within UK populations. Their theoretical models, item content, and scoring structures are grounded in U.S. racial dynamics and institutional configurations, which may not translate effectively to British settings. This lack of cross-cultural validation undermines their clinical utility and risks misrepresenting the lived experiences of African and African Caribbean communities in the UK. Addressing this gap requires the development of tools that are not only psychometrically rigorous but also culturally and institutionally responsive—capable of capturing both individual symptomatology and systemic exposure within the British racial landscape.</w:t>
      </w:r>
    </w:p>
    <w:p w14:paraId="71EC6C84" w14:textId="3798F9B0" w:rsidR="00737154" w:rsidRPr="00737154" w:rsidRDefault="004E7641" w:rsidP="00FB4E81">
      <w:pPr>
        <w:spacing w:line="276" w:lineRule="auto"/>
        <w:rPr>
          <w:rFonts w:ascii="Gill Sans MT" w:hAnsi="Gill Sans MT"/>
          <w:b/>
          <w:bCs/>
        </w:rPr>
      </w:pPr>
      <w:r>
        <w:rPr>
          <w:rFonts w:ascii="Gill Sans MT" w:hAnsi="Gill Sans MT"/>
          <w:b/>
          <w:bCs/>
        </w:rPr>
        <w:t>2.4</w:t>
      </w:r>
      <w:r w:rsidR="00737154" w:rsidRPr="00737154">
        <w:rPr>
          <w:rFonts w:ascii="Gill Sans MT" w:hAnsi="Gill Sans MT"/>
          <w:b/>
          <w:bCs/>
        </w:rPr>
        <w:t xml:space="preserve"> Clinical and Research Utility</w:t>
      </w:r>
    </w:p>
    <w:p w14:paraId="6F5F25DD" w14:textId="77777777" w:rsidR="00E735D5" w:rsidRDefault="00737154" w:rsidP="00FB4E81">
      <w:pPr>
        <w:spacing w:line="276" w:lineRule="auto"/>
        <w:rPr>
          <w:rFonts w:ascii="Gill Sans MT" w:hAnsi="Gill Sans MT"/>
        </w:rPr>
      </w:pPr>
      <w:r w:rsidRPr="00737154">
        <w:rPr>
          <w:rFonts w:ascii="Gill Sans MT" w:hAnsi="Gill Sans MT"/>
        </w:rPr>
        <w:t xml:space="preserve">The clinical and research utility of racial trauma measures depends on their ability to inform diagnosis, guide treatment, and generate actionable data. In U.S. settings, tools such as the RBTSSS, UnRESTS, RTS, IRRS, TSDS, and RES have been used to screen for race-related distress, evaluate </w:t>
      </w:r>
      <w:r w:rsidRPr="00737154">
        <w:rPr>
          <w:rFonts w:ascii="Gill Sans MT" w:hAnsi="Gill Sans MT"/>
        </w:rPr>
        <w:lastRenderedPageBreak/>
        <w:t>therapeutic outcomes, and support epidemiological studies. However, their utility in UK contexts is constrained by cultural misalignment, lack of validation, and limited institutional relevance.</w:t>
      </w:r>
      <w:r w:rsidR="008556B7">
        <w:rPr>
          <w:rFonts w:ascii="Gill Sans MT" w:hAnsi="Gill Sans MT"/>
        </w:rPr>
        <w:t xml:space="preserve"> </w:t>
      </w:r>
    </w:p>
    <w:p w14:paraId="626D8DDD" w14:textId="303C9449" w:rsidR="00737154" w:rsidRDefault="00737154" w:rsidP="00E735D5">
      <w:pPr>
        <w:spacing w:line="276" w:lineRule="auto"/>
        <w:rPr>
          <w:rFonts w:ascii="Gill Sans MT" w:hAnsi="Gill Sans MT"/>
        </w:rPr>
      </w:pPr>
      <w:r w:rsidRPr="00737154">
        <w:rPr>
          <w:rFonts w:ascii="Gill Sans MT" w:hAnsi="Gill Sans MT"/>
        </w:rPr>
        <w:t>In clinical practice, the RBTSSS has been used to identify clients experiencing race-based stress and to tailor trauma-informed interventions (Carter et al., 2013). Its symptom domains align with common therapeutic targets, such as emotional regulation and cognitive restructuring. However, UK clinicians often rely on general distress tools—such as the PCL-5 (Weathers et al., 2013), DASS-21 (Lovibond &amp; Lovibond, 1995), GHQ (Goldberg, 1972), and ACE Questionnaire (Felitti et al., 1998)</w:t>
      </w:r>
      <w:r w:rsidR="008556B7">
        <w:rPr>
          <w:rFonts w:ascii="Gill Sans MT" w:hAnsi="Gill Sans MT"/>
        </w:rPr>
        <w:t xml:space="preserve"> </w:t>
      </w:r>
      <w:r w:rsidRPr="00737154">
        <w:rPr>
          <w:rFonts w:ascii="Gill Sans MT" w:hAnsi="Gill Sans MT"/>
        </w:rPr>
        <w:t xml:space="preserve">none of which include racism as a trauma source. This diagnostic gap contributes to </w:t>
      </w:r>
      <w:r w:rsidRPr="008556B7">
        <w:rPr>
          <w:rFonts w:ascii="Gill Sans MT" w:hAnsi="Gill Sans MT"/>
        </w:rPr>
        <w:t>under recognition</w:t>
      </w:r>
      <w:r w:rsidRPr="00737154">
        <w:rPr>
          <w:rFonts w:ascii="Gill Sans MT" w:hAnsi="Gill Sans MT"/>
        </w:rPr>
        <w:t xml:space="preserve"> and misdiagnosis of racial trauma in Black British populations.</w:t>
      </w:r>
      <w:r w:rsidR="007272CC">
        <w:rPr>
          <w:rStyle w:val="FootnoteReference"/>
          <w:rFonts w:ascii="Gill Sans MT" w:hAnsi="Gill Sans MT"/>
        </w:rPr>
        <w:footnoteReference w:id="2"/>
      </w:r>
    </w:p>
    <w:p w14:paraId="2E7CD313" w14:textId="271FF0BB" w:rsidR="00737154" w:rsidRPr="00737154" w:rsidRDefault="00737154" w:rsidP="00FB4E81">
      <w:pPr>
        <w:spacing w:line="276" w:lineRule="auto"/>
        <w:rPr>
          <w:rFonts w:ascii="Gill Sans MT" w:hAnsi="Gill Sans MT"/>
        </w:rPr>
      </w:pPr>
      <w:r w:rsidRPr="00737154">
        <w:rPr>
          <w:rFonts w:ascii="Gill Sans MT" w:hAnsi="Gill Sans MT"/>
        </w:rPr>
        <w:t>The UnRESTS has been used in school-based interventions and youth counselling, offering a developmental lens on racial trauma (Anderson et al., 2015). Its emphasis on racial socialisation and anticipatory stress is particularly relevant for adolescents navigating identity formation in racialised environments. However, its qualitative format may be difficult to implement in overstretched UK services, and its cultural references may not resonate with Black British youth.</w:t>
      </w:r>
      <w:r w:rsidR="007272CC">
        <w:rPr>
          <w:rFonts w:ascii="Gill Sans MT" w:hAnsi="Gill Sans MT"/>
        </w:rPr>
        <w:t xml:space="preserve"> At the same time, the </w:t>
      </w:r>
      <w:r w:rsidRPr="00737154">
        <w:rPr>
          <w:rFonts w:ascii="Gill Sans MT" w:hAnsi="Gill Sans MT"/>
        </w:rPr>
        <w:t>RTS offers a bridge between racial trauma and DSM-5 PTSD criteria, making it attractive for clinicians seeking to integrate race-related distress into standard diagnostic frameworks (Williams et al., 2022). Its structured format and symptom alignment facilitate clinical decision-making. Yet, without UK validation, its use risks cultural misinterpretation and diagnostic error.</w:t>
      </w:r>
    </w:p>
    <w:p w14:paraId="05BA5E51" w14:textId="77777777" w:rsidR="00737154" w:rsidRPr="00737154" w:rsidRDefault="00737154" w:rsidP="00FB4E81">
      <w:pPr>
        <w:spacing w:line="276" w:lineRule="auto"/>
        <w:rPr>
          <w:rFonts w:ascii="Gill Sans MT" w:hAnsi="Gill Sans MT"/>
        </w:rPr>
      </w:pPr>
      <w:r w:rsidRPr="00737154">
        <w:rPr>
          <w:rFonts w:ascii="Gill Sans MT" w:hAnsi="Gill Sans MT"/>
        </w:rPr>
        <w:t>In research settings, the IRRS has been widely used to quantify racial stress and its psychological correlates (Utsey &amp; Ponterotto, 1996). It has informed studies on racial identity, coping, and mental health disparities. The TSDS and RES have supported investigations into racial anxiety and emotional dysregulation, contributing to the literature on anticipatory trauma. Racial climate scales have been used to evaluate institutional inclusivity and stereotype threat, informing policy and diversity initiatives.</w:t>
      </w:r>
    </w:p>
    <w:p w14:paraId="5AEF8462" w14:textId="2313674F" w:rsidR="00737154" w:rsidRDefault="00737154" w:rsidP="00BB43CE">
      <w:pPr>
        <w:spacing w:line="276" w:lineRule="auto"/>
        <w:rPr>
          <w:rFonts w:ascii="Gill Sans MT" w:hAnsi="Gill Sans MT"/>
        </w:rPr>
      </w:pPr>
      <w:r w:rsidRPr="00737154">
        <w:rPr>
          <w:rFonts w:ascii="Gill Sans MT" w:hAnsi="Gill Sans MT"/>
        </w:rPr>
        <w:t>Despite their contributions, these tools have limited utility in UK research due to cultural and institutional mismatch. They do not capture the specific mechanisms of racial trauma in Britain, such as immigration enforcement, curriculum erasure, and racialised media narratives. Moreover, their psychometric properties have not been tested in UK samples, raising concerns about validity and reliability.</w:t>
      </w:r>
      <w:r w:rsidR="0009682F">
        <w:rPr>
          <w:rFonts w:ascii="Gill Sans MT" w:hAnsi="Gill Sans MT"/>
        </w:rPr>
        <w:t xml:space="preserve"> </w:t>
      </w:r>
      <w:r w:rsidRPr="00737154">
        <w:rPr>
          <w:rFonts w:ascii="Gill Sans MT" w:hAnsi="Gill Sans MT"/>
        </w:rPr>
        <w:t>The BBRTQ is designed to address these limitations. It offers a standardised, culturally grounded measure of racial trauma that can be used in clinical screening, therapeutic assessment, and research studies. Its domains align with UK-specific institutional structures, and its items reflect culturally specific expressions of distress. The BBRTQ is being validated through mixed-methods research, including qualitative interviews, exploratory factor analysis, and convergent validity testing. It is intended to support diagnosis, guide culturally competent interventions, and generate data for policy and advocacy.</w:t>
      </w:r>
    </w:p>
    <w:p w14:paraId="55400EC8" w14:textId="77777777" w:rsidR="005C26B3" w:rsidRDefault="005C26B3" w:rsidP="00BB43CE">
      <w:pPr>
        <w:spacing w:line="276" w:lineRule="auto"/>
        <w:rPr>
          <w:rFonts w:ascii="Gill Sans MT" w:hAnsi="Gill Sans MT"/>
        </w:rPr>
      </w:pPr>
    </w:p>
    <w:p w14:paraId="61001C09" w14:textId="02AFA50A" w:rsidR="00737154" w:rsidRDefault="00307662" w:rsidP="00FB4E81">
      <w:pPr>
        <w:spacing w:line="276" w:lineRule="auto"/>
        <w:rPr>
          <w:rFonts w:ascii="Gill Sans MT" w:hAnsi="Gill Sans MT"/>
          <w:b/>
          <w:bCs/>
        </w:rPr>
      </w:pPr>
      <w:r>
        <w:rPr>
          <w:rFonts w:ascii="Gill Sans MT" w:hAnsi="Gill Sans MT"/>
          <w:b/>
          <w:bCs/>
        </w:rPr>
        <w:lastRenderedPageBreak/>
        <w:t>2.5</w:t>
      </w:r>
      <w:r w:rsidR="00737154" w:rsidRPr="00737154">
        <w:rPr>
          <w:rFonts w:ascii="Gill Sans MT" w:hAnsi="Gill Sans MT"/>
          <w:b/>
          <w:bCs/>
        </w:rPr>
        <w:t xml:space="preserve"> Comparative Analysis</w:t>
      </w:r>
    </w:p>
    <w:p w14:paraId="5EC150B7" w14:textId="77777777" w:rsidR="005C1CE9" w:rsidRPr="005C1CE9" w:rsidRDefault="005C1CE9" w:rsidP="00FB4E81">
      <w:pPr>
        <w:spacing w:line="276" w:lineRule="auto"/>
        <w:rPr>
          <w:rFonts w:ascii="Gill Sans MT" w:hAnsi="Gill Sans MT"/>
        </w:rPr>
      </w:pPr>
      <w:r w:rsidRPr="005C1CE9">
        <w:rPr>
          <w:rFonts w:ascii="Gill Sans MT" w:hAnsi="Gill Sans MT"/>
        </w:rPr>
        <w:t>A comparative analysis of racial trauma measures reveals both conceptual convergence and critical divergence, particularly when examined through the lenses of cultural specificity, domain coverage, and psychometric adaptability. Although many instruments share a foundational commitment to legitimising racism as a trauma source, their theoretical models, item structures, and validation contexts diverge in ways that significantly affect their clinical relevance—especially in the UK. This synthesis highlights the strengths and limitations of key tools in relation to the BBRTQ’s design priorities.</w:t>
      </w:r>
    </w:p>
    <w:p w14:paraId="061AAFEF" w14:textId="77777777" w:rsidR="00BB43CE" w:rsidRDefault="005C1CE9" w:rsidP="00BB43CE">
      <w:pPr>
        <w:spacing w:line="276" w:lineRule="auto"/>
        <w:rPr>
          <w:rFonts w:ascii="Gill Sans MT" w:hAnsi="Gill Sans MT"/>
        </w:rPr>
      </w:pPr>
      <w:r w:rsidRPr="005C1CE9">
        <w:rPr>
          <w:rFonts w:ascii="Gill Sans MT" w:hAnsi="Gill Sans MT"/>
        </w:rPr>
        <w:t xml:space="preserve">Among the most clinically aligned instruments are the Race-Based Traumatic Stress Symptom Scale (RBTSSS) and the Racial Trauma Scale (RTS). Both draw from established trauma </w:t>
      </w:r>
      <w:r w:rsidR="002149EB" w:rsidRPr="005C1CE9">
        <w:rPr>
          <w:rFonts w:ascii="Gill Sans MT" w:hAnsi="Gill Sans MT"/>
        </w:rPr>
        <w:t>frameworks yet</w:t>
      </w:r>
      <w:r w:rsidRPr="005C1CE9">
        <w:rPr>
          <w:rFonts w:ascii="Gill Sans MT" w:hAnsi="Gill Sans MT"/>
        </w:rPr>
        <w:t xml:space="preserve"> differ in diagnostic orientation and cultural scope. The RBTSSS, rooted in Carter’s Race-Based Traumatic Stress Injury (RBTSI) model, offers a nuanced account of emotional and physiological responses to racism (Carter et al., 2013). Its domains—anger, avoidance, somatic distress—resonate with the lived experiences of Black British individuals navigating systemic exclusion. However, the absence of institutional specificity and symbolic trauma domains limits its relevance in contexts where racial harm is often mediated through bureaucratic neglect, representational erasure, and policy-driven marginalisation.</w:t>
      </w:r>
      <w:r w:rsidR="00BB43CE">
        <w:rPr>
          <w:rFonts w:ascii="Gill Sans MT" w:hAnsi="Gill Sans MT"/>
        </w:rPr>
        <w:t xml:space="preserve"> </w:t>
      </w:r>
      <w:r w:rsidRPr="005C1CE9">
        <w:rPr>
          <w:rFonts w:ascii="Gill Sans MT" w:hAnsi="Gill Sans MT"/>
        </w:rPr>
        <w:t xml:space="preserve">In contrast, the RTS is explicitly structured around DSM-5 PTSD criteria, enabling clinicians to map racial trauma onto familiar diagnostic categories (Williams et al., 2022). This alignment facilitates clinical uptake and standardisation, but risks reducing the complexity of racial trauma to a checklist of symptoms. </w:t>
      </w:r>
    </w:p>
    <w:p w14:paraId="444EF2EC" w14:textId="228FEA42" w:rsidR="005C1CE9" w:rsidRPr="005C1CE9" w:rsidRDefault="005C1CE9" w:rsidP="00BB43CE">
      <w:pPr>
        <w:spacing w:line="276" w:lineRule="auto"/>
        <w:rPr>
          <w:rFonts w:ascii="Gill Sans MT" w:hAnsi="Gill Sans MT"/>
        </w:rPr>
      </w:pPr>
      <w:r w:rsidRPr="005C1CE9">
        <w:rPr>
          <w:rFonts w:ascii="Gill Sans MT" w:hAnsi="Gill Sans MT"/>
        </w:rPr>
        <w:t>Moreover, the RTS does not incorporate culturally specific idioms of distress or UK-relevant institutional domains—such as the NHS, British policing, or housing systems—leaving gaps in its interpretive reach. The BBRTQ addresses these omissions by embedding betrayal trauma across five institutional sectors and incorporating culturally grounded expressions like emotional suppression and spiritual disorientation.</w:t>
      </w:r>
    </w:p>
    <w:p w14:paraId="23CA20AD" w14:textId="77777777" w:rsidR="005C1CE9" w:rsidRPr="005C1CE9" w:rsidRDefault="005C1CE9" w:rsidP="00FB4E81">
      <w:pPr>
        <w:spacing w:line="276" w:lineRule="auto"/>
        <w:rPr>
          <w:rFonts w:ascii="Gill Sans MT" w:hAnsi="Gill Sans MT"/>
        </w:rPr>
      </w:pPr>
      <w:r w:rsidRPr="005C1CE9">
        <w:rPr>
          <w:rFonts w:ascii="Gill Sans MT" w:hAnsi="Gill Sans MT"/>
        </w:rPr>
        <w:t>A more narrative-driven approach is found in the UConn Racial/Ethnic Stress and Trauma Survey (</w:t>
      </w:r>
      <w:proofErr w:type="spellStart"/>
      <w:r w:rsidRPr="005C1CE9">
        <w:rPr>
          <w:rFonts w:ascii="Gill Sans MT" w:hAnsi="Gill Sans MT"/>
        </w:rPr>
        <w:t>UnRESTS</w:t>
      </w:r>
      <w:proofErr w:type="spellEnd"/>
      <w:r w:rsidRPr="005C1CE9">
        <w:rPr>
          <w:rFonts w:ascii="Gill Sans MT" w:hAnsi="Gill Sans MT"/>
        </w:rPr>
        <w:t>), which captures developmental dimensions of racial trauma through domains such as racial socialisation, anticipatory stress, and vicarious trauma (Anderson et al., 2015). Its hybrid format—combining structured items with open-ended prompts—yields rich qualitative data, making it particularly useful in youth counselling and educational settings. However, its reliance on African American cultural references, including constructs like “the talk” about police encounters, limits its transferability to Black British youth. In the UK, racial socialisation is shaped by different historical and institutional forces, including curriculum erasure, disproportionate exclusions, and surveillance in schools. The BBRTQ adapts these domains to reflect UK-specific educational harms and sociocultural dynamics.</w:t>
      </w:r>
    </w:p>
    <w:p w14:paraId="1C5457A1" w14:textId="5A094AAA" w:rsidR="005C1CE9" w:rsidRPr="005C1CE9" w:rsidRDefault="005C1CE9" w:rsidP="00703118">
      <w:pPr>
        <w:spacing w:line="276" w:lineRule="auto"/>
        <w:rPr>
          <w:rFonts w:ascii="Gill Sans MT" w:hAnsi="Gill Sans MT"/>
        </w:rPr>
      </w:pPr>
      <w:r w:rsidRPr="005C1CE9">
        <w:rPr>
          <w:rFonts w:ascii="Gill Sans MT" w:hAnsi="Gill Sans MT"/>
        </w:rPr>
        <w:t xml:space="preserve">Structural mapping is a key strength of the Index of Race-Related Stress (IRRS), which distinguishes between individual, institutional, and cultural racism (Utsey &amp; </w:t>
      </w:r>
      <w:proofErr w:type="spellStart"/>
      <w:r w:rsidRPr="005C1CE9">
        <w:rPr>
          <w:rFonts w:ascii="Gill Sans MT" w:hAnsi="Gill Sans MT"/>
        </w:rPr>
        <w:t>Ponterotto</w:t>
      </w:r>
      <w:proofErr w:type="spellEnd"/>
      <w:r w:rsidRPr="005C1CE9">
        <w:rPr>
          <w:rFonts w:ascii="Gill Sans MT" w:hAnsi="Gill Sans MT"/>
        </w:rPr>
        <w:t xml:space="preserve">, 1996). This tripartite model aligns well with the BBRTQ’s multidimensional framework, which similarly differentiates interpersonal, systemic, and symbolic trauma. </w:t>
      </w:r>
      <w:r w:rsidR="00703118">
        <w:rPr>
          <w:rFonts w:ascii="Gill Sans MT" w:hAnsi="Gill Sans MT"/>
        </w:rPr>
        <w:t xml:space="preserve"> </w:t>
      </w:r>
      <w:r w:rsidRPr="005C1CE9">
        <w:rPr>
          <w:rFonts w:ascii="Gill Sans MT" w:hAnsi="Gill Sans MT"/>
        </w:rPr>
        <w:t xml:space="preserve">Yet the IRRS’s item content remains heavily U.S.-centric, referencing overt acts such as racial slurs and police brutality. In the UK, racial trauma </w:t>
      </w:r>
      <w:r w:rsidRPr="005C1CE9">
        <w:rPr>
          <w:rFonts w:ascii="Gill Sans MT" w:hAnsi="Gill Sans MT"/>
        </w:rPr>
        <w:lastRenderedPageBreak/>
        <w:t>often manifests through covert exclusion, representational violence, and policy-based harm—dimensions that require different language, institutional mapping, and cultural nuance.</w:t>
      </w:r>
    </w:p>
    <w:p w14:paraId="6AB2799A" w14:textId="77777777" w:rsidR="005C1CE9" w:rsidRPr="005C1CE9" w:rsidRDefault="005C1CE9" w:rsidP="00FB4E81">
      <w:pPr>
        <w:spacing w:line="276" w:lineRule="auto"/>
        <w:rPr>
          <w:rFonts w:ascii="Gill Sans MT" w:hAnsi="Gill Sans MT"/>
        </w:rPr>
      </w:pPr>
      <w:r w:rsidRPr="005C1CE9">
        <w:rPr>
          <w:rFonts w:ascii="Gill Sans MT" w:hAnsi="Gill Sans MT"/>
        </w:rPr>
        <w:t>Symptom-focused tools like the Trauma Symptoms of Discrimination Scale (TSDS) and the Race-Related Events Scale (RES) offer valuable insights into anxiety-related responses and emotional dysregulation following discrimination (Williams, Printz, &amp; DeLapp, 2018; Waelde et al., 2010). These instruments are particularly effective in identifying racial anxiety and anticipatory trauma, which are common among Black Britons navigating predominantly white spaces. However, both lack structural domains and fail to assess the institutional sources of distress. The BBRTQ builds on these foundations by treating racial anxiety as a cross-cutting symptom embedded within betrayal trauma domains, thereby capturing both affective and systemic dimensions of racial harm.</w:t>
      </w:r>
    </w:p>
    <w:p w14:paraId="4011C427" w14:textId="77777777" w:rsidR="00BB43CE" w:rsidRDefault="005C1CE9" w:rsidP="00703118">
      <w:pPr>
        <w:spacing w:line="276" w:lineRule="auto"/>
        <w:rPr>
          <w:rFonts w:ascii="Gill Sans MT" w:hAnsi="Gill Sans MT"/>
        </w:rPr>
      </w:pPr>
      <w:r w:rsidRPr="005C1CE9">
        <w:rPr>
          <w:rFonts w:ascii="Gill Sans MT" w:hAnsi="Gill Sans MT"/>
        </w:rPr>
        <w:t>Environmental contributors to racial trauma are well captured by racial climate measures such as the Racial Climate Scale for Higher Education (Reid &amp; Radhakrishnan, 2003) and the Academic Coping to Racial Climate Scale (</w:t>
      </w:r>
      <w:proofErr w:type="spellStart"/>
      <w:r w:rsidRPr="005C1CE9">
        <w:rPr>
          <w:rFonts w:ascii="Gill Sans MT" w:hAnsi="Gill Sans MT"/>
        </w:rPr>
        <w:t>Valdiviejas</w:t>
      </w:r>
      <w:proofErr w:type="spellEnd"/>
      <w:r w:rsidRPr="005C1CE9">
        <w:rPr>
          <w:rFonts w:ascii="Gill Sans MT" w:hAnsi="Gill Sans MT"/>
        </w:rPr>
        <w:t xml:space="preserve"> Cohn et al., 2025). These instruments assess perceived inclusivity, stereotype threat, and institutional hostility, particularly within educational settings. Grounded in Critical Race Theory and </w:t>
      </w:r>
      <w:proofErr w:type="spellStart"/>
      <w:r w:rsidRPr="005C1CE9">
        <w:rPr>
          <w:rFonts w:ascii="Gill Sans MT" w:hAnsi="Gill Sans MT"/>
        </w:rPr>
        <w:t>QuantCrit</w:t>
      </w:r>
      <w:proofErr w:type="spellEnd"/>
      <w:r w:rsidRPr="005C1CE9">
        <w:rPr>
          <w:rFonts w:ascii="Gill Sans MT" w:hAnsi="Gill Sans MT"/>
        </w:rPr>
        <w:t xml:space="preserve"> methodology, they are conceptually aligned with the BBRTQ’s emphasis on structural harm. However, their scope is limited to perception-based metrics and does not extend to psychological symptomatology. </w:t>
      </w:r>
    </w:p>
    <w:p w14:paraId="0D738A07" w14:textId="48DC2204" w:rsidR="00703118" w:rsidRDefault="005C1CE9" w:rsidP="00703118">
      <w:pPr>
        <w:spacing w:line="276" w:lineRule="auto"/>
        <w:rPr>
          <w:rFonts w:ascii="Gill Sans MT" w:hAnsi="Gill Sans MT"/>
        </w:rPr>
      </w:pPr>
      <w:r w:rsidRPr="005C1CE9">
        <w:rPr>
          <w:rFonts w:ascii="Gill Sans MT" w:hAnsi="Gill Sans MT"/>
        </w:rPr>
        <w:t>The BBRTQ advances this work by translating racial climate perceptions into measurable trauma outcomes, bridging the gap between environmental stressors and clinical presentation.</w:t>
      </w:r>
      <w:r w:rsidR="00703118">
        <w:rPr>
          <w:rFonts w:ascii="Gill Sans MT" w:hAnsi="Gill Sans MT"/>
        </w:rPr>
        <w:t xml:space="preserve"> </w:t>
      </w:r>
      <w:r w:rsidRPr="005C1CE9">
        <w:rPr>
          <w:rFonts w:ascii="Gill Sans MT" w:hAnsi="Gill Sans MT"/>
        </w:rPr>
        <w:t xml:space="preserve">Taken together, these instruments offer valuable conceptual and methodological contributions to the field of racial trauma assessment. Yet none fully capture the complexity of racial trauma as experienced by African and African Caribbean communities in the UK. </w:t>
      </w:r>
    </w:p>
    <w:p w14:paraId="2031C449" w14:textId="508B5CCA" w:rsidR="005C1CE9" w:rsidRDefault="005C1CE9" w:rsidP="00703118">
      <w:pPr>
        <w:spacing w:line="276" w:lineRule="auto"/>
        <w:rPr>
          <w:rFonts w:ascii="Gill Sans MT" w:hAnsi="Gill Sans MT"/>
        </w:rPr>
      </w:pPr>
      <w:r w:rsidRPr="005C1CE9">
        <w:rPr>
          <w:rFonts w:ascii="Gill Sans MT" w:hAnsi="Gill Sans MT"/>
        </w:rPr>
        <w:t>Limitations in cultural specificity, institutional relevance, and psychometric adaptability persist across tools. The BBRTQ responds to these gaps by synthesising the strengths of existing measures—drawing on the RBTSI model’s symptom domains, the IRRS’s structural mapping, and racial climate theory’s environmental framing—while addressing their limitations through UK-specific validation, culturally grounded language, and multidimensional item design.</w:t>
      </w:r>
    </w:p>
    <w:p w14:paraId="2B7932C3" w14:textId="73BF828C" w:rsidR="005C1CE9" w:rsidRPr="005C1CE9" w:rsidRDefault="00307662" w:rsidP="00FB4E81">
      <w:pPr>
        <w:spacing w:line="276" w:lineRule="auto"/>
        <w:rPr>
          <w:rFonts w:ascii="Gill Sans MT" w:hAnsi="Gill Sans MT"/>
          <w:b/>
          <w:bCs/>
        </w:rPr>
      </w:pPr>
      <w:r>
        <w:rPr>
          <w:rFonts w:ascii="Gill Sans MT" w:hAnsi="Gill Sans MT"/>
          <w:b/>
          <w:bCs/>
        </w:rPr>
        <w:t xml:space="preserve">2.6 </w:t>
      </w:r>
      <w:r w:rsidR="005C1CE9" w:rsidRPr="005C1CE9">
        <w:rPr>
          <w:rFonts w:ascii="Gill Sans MT" w:hAnsi="Gill Sans MT"/>
          <w:b/>
          <w:bCs/>
        </w:rPr>
        <w:t>Critical Appraisal</w:t>
      </w:r>
    </w:p>
    <w:p w14:paraId="66CFA813" w14:textId="3A233215" w:rsidR="005C1CE9" w:rsidRPr="005C1CE9" w:rsidRDefault="005C1CE9" w:rsidP="00E735D5">
      <w:pPr>
        <w:spacing w:line="276" w:lineRule="auto"/>
        <w:rPr>
          <w:rFonts w:ascii="Gill Sans MT" w:hAnsi="Gill Sans MT"/>
        </w:rPr>
      </w:pPr>
      <w:r w:rsidRPr="005C1CE9">
        <w:rPr>
          <w:rFonts w:ascii="Gill Sans MT" w:hAnsi="Gill Sans MT"/>
        </w:rPr>
        <w:t>A critical appraisal of racial trauma measures reveals both meaningful progress in legitimising racism as a source of psychological injury and persistent shortcomings in cultural adaptability, institutional relevance, and diagnostic precision—especially outside U.S. contexts. Despite advancing the field, many instruments struggle to capture the lived realities of African and African Caribbean communities in the UK.</w:t>
      </w:r>
      <w:r w:rsidR="00E735D5">
        <w:rPr>
          <w:rFonts w:ascii="Gill Sans MT" w:hAnsi="Gill Sans MT"/>
        </w:rPr>
        <w:t xml:space="preserve"> </w:t>
      </w:r>
      <w:r w:rsidRPr="005C1CE9">
        <w:rPr>
          <w:rFonts w:ascii="Gill Sans MT" w:hAnsi="Gill Sans MT"/>
        </w:rPr>
        <w:t xml:space="preserve">Among the earliest to recognise racism as traumatic, the </w:t>
      </w:r>
      <w:r w:rsidRPr="005C1CE9">
        <w:rPr>
          <w:rFonts w:ascii="Gill Sans MT" w:hAnsi="Gill Sans MT"/>
          <w:b/>
          <w:bCs/>
        </w:rPr>
        <w:t>Race-Based Traumatic Stress Symptom Scale (RBTSSS)</w:t>
      </w:r>
      <w:r w:rsidRPr="005C1CE9">
        <w:rPr>
          <w:rFonts w:ascii="Gill Sans MT" w:hAnsi="Gill Sans MT"/>
        </w:rPr>
        <w:t xml:space="preserve"> draws on Carter’s (2007) Race-Based Traumatic Stress Injury model, offering a multidimensional structure that includes domains such as anger, avoidance, and somatic distress. This framework provides a nuanced account of race-related symptomatology and has shaped clinical discourse around racial harm. Yet its conceptual lens remains firmly rooted in American racial dynamics. Item content fails to reflect UK-specific institutional betrayals—such as immigration enforcement under the Windrush scandal or racialised </w:t>
      </w:r>
      <w:r w:rsidRPr="005C1CE9">
        <w:rPr>
          <w:rFonts w:ascii="Gill Sans MT" w:hAnsi="Gill Sans MT"/>
        </w:rPr>
        <w:lastRenderedPageBreak/>
        <w:t>detentions under the Mental Health Act—and omits symbolic trauma and representational harm, both central to Black British experiences.</w:t>
      </w:r>
    </w:p>
    <w:p w14:paraId="476FDABC" w14:textId="77777777" w:rsidR="005C1CE9" w:rsidRPr="005C1CE9" w:rsidRDefault="005C1CE9" w:rsidP="00FB4E81">
      <w:pPr>
        <w:spacing w:line="276" w:lineRule="auto"/>
        <w:rPr>
          <w:rFonts w:ascii="Gill Sans MT" w:hAnsi="Gill Sans MT"/>
        </w:rPr>
      </w:pPr>
      <w:r w:rsidRPr="005C1CE9">
        <w:rPr>
          <w:rFonts w:ascii="Gill Sans MT" w:hAnsi="Gill Sans MT"/>
        </w:rPr>
        <w:t xml:space="preserve">Structured around DSM-5 PTSD criteria, the </w:t>
      </w:r>
      <w:r w:rsidRPr="005C1CE9">
        <w:rPr>
          <w:rFonts w:ascii="Gill Sans MT" w:hAnsi="Gill Sans MT"/>
          <w:b/>
          <w:bCs/>
        </w:rPr>
        <w:t>Racial Trauma Scale (RTS)</w:t>
      </w:r>
      <w:r w:rsidRPr="005C1CE9">
        <w:rPr>
          <w:rFonts w:ascii="Gill Sans MT" w:hAnsi="Gill Sans MT"/>
        </w:rPr>
        <w:t xml:space="preserve"> represents a methodological advance (Williams et al., 2022). Its alignment with mainstream diagnostic frameworks enhances clinical legitimacy and facilitates integration into mental health services. However, this symptom-focused design risks reducing racial trauma to a checklist of distress indicators, overlooking the broader sociopolitical context in which such trauma unfolds. Culturally specific idioms of distress—emotional suppression, spiritual disorientation, ancestral grief—remain absent, despite their documentation in UK-based qualitative studies (Alleyne, 2024; Samuel &amp; Simonds, 2025). Systemic dimensions, including betrayal by public institutions and epistemic exclusion in education, also go unaddressed.</w:t>
      </w:r>
    </w:p>
    <w:p w14:paraId="2927457A" w14:textId="77777777" w:rsidR="005C1CE9" w:rsidRPr="005C1CE9" w:rsidRDefault="005C1CE9" w:rsidP="00FB4E81">
      <w:pPr>
        <w:spacing w:line="276" w:lineRule="auto"/>
        <w:rPr>
          <w:rFonts w:ascii="Gill Sans MT" w:hAnsi="Gill Sans MT"/>
        </w:rPr>
      </w:pPr>
      <w:r w:rsidRPr="005C1CE9">
        <w:rPr>
          <w:rFonts w:ascii="Gill Sans MT" w:hAnsi="Gill Sans MT"/>
        </w:rPr>
        <w:t xml:space="preserve">Offering a more contextualised approach, the </w:t>
      </w:r>
      <w:r w:rsidRPr="005C1CE9">
        <w:rPr>
          <w:rFonts w:ascii="Gill Sans MT" w:hAnsi="Gill Sans MT"/>
          <w:b/>
          <w:bCs/>
        </w:rPr>
        <w:t>UConn Racial/Ethnic Stress and Trauma Survey (</w:t>
      </w:r>
      <w:proofErr w:type="spellStart"/>
      <w:r w:rsidRPr="005C1CE9">
        <w:rPr>
          <w:rFonts w:ascii="Gill Sans MT" w:hAnsi="Gill Sans MT"/>
          <w:b/>
          <w:bCs/>
        </w:rPr>
        <w:t>UnRESTS</w:t>
      </w:r>
      <w:proofErr w:type="spellEnd"/>
      <w:r w:rsidRPr="005C1CE9">
        <w:rPr>
          <w:rFonts w:ascii="Gill Sans MT" w:hAnsi="Gill Sans MT"/>
          <w:b/>
          <w:bCs/>
        </w:rPr>
        <w:t>)</w:t>
      </w:r>
      <w:r w:rsidRPr="005C1CE9">
        <w:rPr>
          <w:rFonts w:ascii="Gill Sans MT" w:hAnsi="Gill Sans MT"/>
        </w:rPr>
        <w:t xml:space="preserve"> </w:t>
      </w:r>
      <w:proofErr w:type="gramStart"/>
      <w:r w:rsidRPr="005C1CE9">
        <w:rPr>
          <w:rFonts w:ascii="Gill Sans MT" w:hAnsi="Gill Sans MT"/>
        </w:rPr>
        <w:t>incorporates</w:t>
      </w:r>
      <w:proofErr w:type="gramEnd"/>
      <w:r w:rsidRPr="005C1CE9">
        <w:rPr>
          <w:rFonts w:ascii="Gill Sans MT" w:hAnsi="Gill Sans MT"/>
        </w:rPr>
        <w:t xml:space="preserve"> racial socialisation, anticipatory stress, and vicarious trauma (Anderson et al., 2015). Its hybrid format allows for narrative depth and developmental sensitivity, making it particularly useful in youth counselling. However, standardisation is lacking, and psychometric validation in UK populations has yet to occur. Cultural references—such as African American family structures and community institutions—may not resonate with Black British youth, whose racial socialisation is shaped by different historical and institutional forces. Absence of UK-specific educational harms, including curriculum erasure and disproportionate exclusions, further limits its applicability.</w:t>
      </w:r>
    </w:p>
    <w:p w14:paraId="00608BC8" w14:textId="77777777" w:rsidR="001D4CD5" w:rsidRDefault="005C1CE9" w:rsidP="00FB4E81">
      <w:pPr>
        <w:spacing w:line="276" w:lineRule="auto"/>
        <w:rPr>
          <w:rFonts w:ascii="Gill Sans MT" w:hAnsi="Gill Sans MT"/>
        </w:rPr>
      </w:pPr>
      <w:r w:rsidRPr="005C1CE9">
        <w:rPr>
          <w:rFonts w:ascii="Gill Sans MT" w:hAnsi="Gill Sans MT"/>
        </w:rPr>
        <w:t xml:space="preserve">Notable for its structural clarity, the </w:t>
      </w:r>
      <w:r w:rsidRPr="005C1CE9">
        <w:rPr>
          <w:rFonts w:ascii="Gill Sans MT" w:hAnsi="Gill Sans MT"/>
          <w:b/>
          <w:bCs/>
        </w:rPr>
        <w:t>Index of Race-Related Stress (IRRS)</w:t>
      </w:r>
      <w:r w:rsidRPr="005C1CE9">
        <w:rPr>
          <w:rFonts w:ascii="Gill Sans MT" w:hAnsi="Gill Sans MT"/>
        </w:rPr>
        <w:t xml:space="preserve"> presents a tripartite model of individual, institutional, and cultural racism (Utsey &amp; </w:t>
      </w:r>
      <w:proofErr w:type="spellStart"/>
      <w:r w:rsidRPr="005C1CE9">
        <w:rPr>
          <w:rFonts w:ascii="Gill Sans MT" w:hAnsi="Gill Sans MT"/>
        </w:rPr>
        <w:t>Ponterotto</w:t>
      </w:r>
      <w:proofErr w:type="spellEnd"/>
      <w:r w:rsidRPr="005C1CE9">
        <w:rPr>
          <w:rFonts w:ascii="Gill Sans MT" w:hAnsi="Gill Sans MT"/>
        </w:rPr>
        <w:t xml:space="preserve">, 1996). This framework aligns well with the multidimensional nature of racial trauma and has informed numerous studies on racial identity and mental health. Still, item content remains heavily U.S.-centric, referencing overt acts such as racial slurs and police brutality. </w:t>
      </w:r>
    </w:p>
    <w:p w14:paraId="582417E4" w14:textId="1866936E" w:rsidR="005C1CE9" w:rsidRPr="005C1CE9" w:rsidRDefault="005C1CE9" w:rsidP="001D4CD5">
      <w:pPr>
        <w:spacing w:line="276" w:lineRule="auto"/>
        <w:rPr>
          <w:rFonts w:ascii="Gill Sans MT" w:hAnsi="Gill Sans MT"/>
        </w:rPr>
      </w:pPr>
      <w:r w:rsidRPr="005C1CE9">
        <w:rPr>
          <w:rFonts w:ascii="Gill Sans MT" w:hAnsi="Gill Sans MT"/>
        </w:rPr>
        <w:t>In the UK, trauma often emerges from covert exclusion, policy-driven harm, and symbolic violence—dimensions that demand different language and institutional mapping.</w:t>
      </w:r>
      <w:r w:rsidR="001D4CD5">
        <w:rPr>
          <w:rFonts w:ascii="Gill Sans MT" w:hAnsi="Gill Sans MT"/>
        </w:rPr>
        <w:t xml:space="preserve"> </w:t>
      </w:r>
      <w:r w:rsidRPr="005C1CE9">
        <w:rPr>
          <w:rFonts w:ascii="Gill Sans MT" w:hAnsi="Gill Sans MT"/>
        </w:rPr>
        <w:t xml:space="preserve">Symptom-focused instruments like the </w:t>
      </w:r>
      <w:r w:rsidRPr="005C1CE9">
        <w:rPr>
          <w:rFonts w:ascii="Gill Sans MT" w:hAnsi="Gill Sans MT"/>
          <w:b/>
          <w:bCs/>
        </w:rPr>
        <w:t>Trauma Symptoms of Discrimination Scale (TSDS)</w:t>
      </w:r>
      <w:r w:rsidRPr="005C1CE9">
        <w:rPr>
          <w:rFonts w:ascii="Gill Sans MT" w:hAnsi="Gill Sans MT"/>
        </w:rPr>
        <w:t xml:space="preserve"> and the </w:t>
      </w:r>
      <w:r w:rsidRPr="005C1CE9">
        <w:rPr>
          <w:rFonts w:ascii="Gill Sans MT" w:hAnsi="Gill Sans MT"/>
          <w:b/>
          <w:bCs/>
        </w:rPr>
        <w:t>Race-Related Events Scale (RES)</w:t>
      </w:r>
      <w:r w:rsidRPr="005C1CE9">
        <w:rPr>
          <w:rFonts w:ascii="Gill Sans MT" w:hAnsi="Gill Sans MT"/>
        </w:rPr>
        <w:t xml:space="preserve"> concentrate on anxiety-related symptoms and emotional dysregulation following discrimination (Williams, Printz, &amp; DeLapp, 2018; Waelde et al., 2010). These tools are effective in identifying racial anxiety and anticipatory trauma, common among Black Britons navigating predominantly white spaces. However, structural domains are absent, and institutional sources of distress remain unexamined. Their brevity and narrow symptom focus limit both diagnostic depth and contextual relevance.</w:t>
      </w:r>
    </w:p>
    <w:p w14:paraId="7BB5705F" w14:textId="77777777" w:rsidR="005C1CE9" w:rsidRDefault="005C1CE9" w:rsidP="00FB4E81">
      <w:pPr>
        <w:spacing w:line="276" w:lineRule="auto"/>
        <w:rPr>
          <w:rFonts w:ascii="Gill Sans MT" w:hAnsi="Gill Sans MT"/>
        </w:rPr>
      </w:pPr>
      <w:r w:rsidRPr="005C1CE9">
        <w:rPr>
          <w:rFonts w:ascii="Gill Sans MT" w:hAnsi="Gill Sans MT"/>
        </w:rPr>
        <w:t xml:space="preserve">Environmental contributors to racial trauma are addressed by racial climate scales, including those developed by Reid and Radhakrishnan (2003) and </w:t>
      </w:r>
      <w:proofErr w:type="spellStart"/>
      <w:r w:rsidRPr="005C1CE9">
        <w:rPr>
          <w:rFonts w:ascii="Gill Sans MT" w:hAnsi="Gill Sans MT"/>
        </w:rPr>
        <w:t>Valdiviejas</w:t>
      </w:r>
      <w:proofErr w:type="spellEnd"/>
      <w:r w:rsidRPr="005C1CE9">
        <w:rPr>
          <w:rFonts w:ascii="Gill Sans MT" w:hAnsi="Gill Sans MT"/>
        </w:rPr>
        <w:t xml:space="preserve"> Cohn et al. (2025). These instruments assess perceived inclusivity, stereotype threat, and institutional hostility, particularly within educational settings. Grounded in Critical Race Theory and </w:t>
      </w:r>
      <w:proofErr w:type="spellStart"/>
      <w:r w:rsidRPr="005C1CE9">
        <w:rPr>
          <w:rFonts w:ascii="Gill Sans MT" w:hAnsi="Gill Sans MT"/>
        </w:rPr>
        <w:t>QuantCrit</w:t>
      </w:r>
      <w:proofErr w:type="spellEnd"/>
      <w:r w:rsidRPr="005C1CE9">
        <w:rPr>
          <w:rFonts w:ascii="Gill Sans MT" w:hAnsi="Gill Sans MT"/>
        </w:rPr>
        <w:t xml:space="preserve"> methodology, they offer conceptual alignment with the BBRTQ’s emphasis on structural harm. Yet their scope is confined to perception-based metrics, with no assessment of psychological symptoms. Applicability beyond academic contexts is also limited.</w:t>
      </w:r>
    </w:p>
    <w:p w14:paraId="7AA4F7F3" w14:textId="4782C0CB" w:rsidR="005C1CE9" w:rsidRPr="005C1CE9" w:rsidRDefault="0011577B" w:rsidP="00FB4E81">
      <w:pPr>
        <w:spacing w:line="276" w:lineRule="auto"/>
        <w:rPr>
          <w:rFonts w:ascii="Gill Sans MT" w:hAnsi="Gill Sans MT"/>
        </w:rPr>
      </w:pPr>
      <w:r w:rsidRPr="00536B49">
        <w:rPr>
          <w:rFonts w:ascii="Gill Sans MT" w:hAnsi="Gill Sans MT"/>
          <w:b/>
          <w:bCs/>
        </w:rPr>
        <w:lastRenderedPageBreak/>
        <w:t>2.</w:t>
      </w:r>
      <w:r w:rsidR="003B7747">
        <w:rPr>
          <w:rFonts w:ascii="Gill Sans MT" w:hAnsi="Gill Sans MT"/>
          <w:b/>
          <w:bCs/>
        </w:rPr>
        <w:t>7</w:t>
      </w:r>
      <w:r>
        <w:rPr>
          <w:rFonts w:ascii="Gill Sans MT" w:hAnsi="Gill Sans MT"/>
        </w:rPr>
        <w:t xml:space="preserve"> Across</w:t>
      </w:r>
      <w:r w:rsidR="005C1CE9" w:rsidRPr="005C1CE9">
        <w:rPr>
          <w:rFonts w:ascii="Gill Sans MT" w:hAnsi="Gill Sans MT"/>
        </w:rPr>
        <w:t xml:space="preserve"> these measures, several recurring limitations emerge:</w:t>
      </w:r>
    </w:p>
    <w:p w14:paraId="25C926D5" w14:textId="77777777" w:rsidR="005C1CE9" w:rsidRPr="005C1CE9" w:rsidRDefault="005C1CE9" w:rsidP="00FB4E81">
      <w:pPr>
        <w:numPr>
          <w:ilvl w:val="0"/>
          <w:numId w:val="59"/>
        </w:numPr>
        <w:spacing w:line="276" w:lineRule="auto"/>
        <w:rPr>
          <w:rFonts w:ascii="Gill Sans MT" w:hAnsi="Gill Sans MT"/>
        </w:rPr>
      </w:pPr>
      <w:r w:rsidRPr="005C1CE9">
        <w:rPr>
          <w:rFonts w:ascii="Gill Sans MT" w:hAnsi="Gill Sans MT"/>
          <w:b/>
          <w:bCs/>
        </w:rPr>
        <w:t>Cultural specificity</w:t>
      </w:r>
      <w:r w:rsidRPr="005C1CE9">
        <w:rPr>
          <w:rFonts w:ascii="Gill Sans MT" w:hAnsi="Gill Sans MT"/>
        </w:rPr>
        <w:t xml:space="preserve"> remains a challenge. Most tools were designed for African American populations and fail to reflect the historical, legal, and cultural contexts of Black Britons.</w:t>
      </w:r>
    </w:p>
    <w:p w14:paraId="30E36F1B" w14:textId="77777777" w:rsidR="005C1CE9" w:rsidRPr="005C1CE9" w:rsidRDefault="005C1CE9" w:rsidP="00FB4E81">
      <w:pPr>
        <w:numPr>
          <w:ilvl w:val="0"/>
          <w:numId w:val="59"/>
        </w:numPr>
        <w:spacing w:line="276" w:lineRule="auto"/>
        <w:rPr>
          <w:rFonts w:ascii="Gill Sans MT" w:hAnsi="Gill Sans MT"/>
        </w:rPr>
      </w:pPr>
      <w:r w:rsidRPr="005C1CE9">
        <w:rPr>
          <w:rFonts w:ascii="Gill Sans MT" w:hAnsi="Gill Sans MT"/>
          <w:b/>
          <w:bCs/>
        </w:rPr>
        <w:t>Institutional relevance</w:t>
      </w:r>
      <w:r w:rsidRPr="005C1CE9">
        <w:rPr>
          <w:rFonts w:ascii="Gill Sans MT" w:hAnsi="Gill Sans MT"/>
        </w:rPr>
        <w:t xml:space="preserve"> is often lacking. Key UK institutions—such as the NHS, Home Office, and British education system—are rarely represented, despite their central role in racial trauma.</w:t>
      </w:r>
    </w:p>
    <w:p w14:paraId="202A1B5A" w14:textId="77777777" w:rsidR="005C1CE9" w:rsidRPr="005C1CE9" w:rsidRDefault="005C1CE9" w:rsidP="00FB4E81">
      <w:pPr>
        <w:numPr>
          <w:ilvl w:val="0"/>
          <w:numId w:val="59"/>
        </w:numPr>
        <w:spacing w:line="276" w:lineRule="auto"/>
        <w:rPr>
          <w:rFonts w:ascii="Gill Sans MT" w:hAnsi="Gill Sans MT"/>
        </w:rPr>
      </w:pPr>
      <w:r w:rsidRPr="005C1CE9">
        <w:rPr>
          <w:rFonts w:ascii="Gill Sans MT" w:hAnsi="Gill Sans MT"/>
          <w:b/>
          <w:bCs/>
        </w:rPr>
        <w:t>Symbolic trauma</w:t>
      </w:r>
      <w:r w:rsidRPr="005C1CE9">
        <w:rPr>
          <w:rFonts w:ascii="Gill Sans MT" w:hAnsi="Gill Sans MT"/>
        </w:rPr>
        <w:t xml:space="preserve"> is underexplored. Domains addressing representational harm, media misrepresentation, and epistemic exclusion are largely absent.</w:t>
      </w:r>
    </w:p>
    <w:p w14:paraId="0A681C8C" w14:textId="77777777" w:rsidR="005C1CE9" w:rsidRPr="005C1CE9" w:rsidRDefault="005C1CE9" w:rsidP="00FB4E81">
      <w:pPr>
        <w:numPr>
          <w:ilvl w:val="0"/>
          <w:numId w:val="59"/>
        </w:numPr>
        <w:spacing w:line="276" w:lineRule="auto"/>
        <w:rPr>
          <w:rFonts w:ascii="Gill Sans MT" w:hAnsi="Gill Sans MT"/>
        </w:rPr>
      </w:pPr>
      <w:r w:rsidRPr="005C1CE9">
        <w:rPr>
          <w:rFonts w:ascii="Gill Sans MT" w:hAnsi="Gill Sans MT"/>
          <w:b/>
          <w:bCs/>
        </w:rPr>
        <w:t>Idioms of distress</w:t>
      </w:r>
      <w:r w:rsidRPr="005C1CE9">
        <w:rPr>
          <w:rFonts w:ascii="Gill Sans MT" w:hAnsi="Gill Sans MT"/>
        </w:rPr>
        <w:t xml:space="preserve"> go unmeasured. Expressions like emotional suppression, spiritual disorientation, and ancestral grief—well-documented in UK-based studies—are rarely captured.</w:t>
      </w:r>
    </w:p>
    <w:p w14:paraId="571BD9F6" w14:textId="77777777" w:rsidR="005C1CE9" w:rsidRPr="005C1CE9" w:rsidRDefault="005C1CE9" w:rsidP="00FB4E81">
      <w:pPr>
        <w:numPr>
          <w:ilvl w:val="0"/>
          <w:numId w:val="59"/>
        </w:numPr>
        <w:spacing w:line="276" w:lineRule="auto"/>
        <w:rPr>
          <w:rFonts w:ascii="Gill Sans MT" w:hAnsi="Gill Sans MT"/>
        </w:rPr>
      </w:pPr>
      <w:r w:rsidRPr="005C1CE9">
        <w:rPr>
          <w:rFonts w:ascii="Gill Sans MT" w:hAnsi="Gill Sans MT"/>
          <w:b/>
          <w:bCs/>
        </w:rPr>
        <w:t>Validation gaps</w:t>
      </w:r>
      <w:r w:rsidRPr="005C1CE9">
        <w:rPr>
          <w:rFonts w:ascii="Gill Sans MT" w:hAnsi="Gill Sans MT"/>
        </w:rPr>
        <w:t xml:space="preserve"> persist. None of the reviewed tools have undergone psychometric testing in UK populations, raising concerns about reliability and diagnostic accuracy.</w:t>
      </w:r>
    </w:p>
    <w:p w14:paraId="6285878F" w14:textId="3AADC53F" w:rsidR="005C1CE9" w:rsidRDefault="005C1CE9" w:rsidP="00FB4E81">
      <w:pPr>
        <w:spacing w:line="276" w:lineRule="auto"/>
        <w:rPr>
          <w:rFonts w:ascii="Gill Sans MT" w:hAnsi="Gill Sans MT"/>
        </w:rPr>
      </w:pPr>
      <w:r w:rsidRPr="005C1CE9">
        <w:rPr>
          <w:rFonts w:ascii="Gill Sans MT" w:hAnsi="Gill Sans MT"/>
        </w:rPr>
        <w:t xml:space="preserve">In response to these limitations, the </w:t>
      </w:r>
      <w:r w:rsidRPr="005C1CE9">
        <w:rPr>
          <w:rFonts w:ascii="Gill Sans MT" w:hAnsi="Gill Sans MT"/>
          <w:b/>
          <w:bCs/>
        </w:rPr>
        <w:t>BBRTQ</w:t>
      </w:r>
      <w:r w:rsidRPr="005C1CE9">
        <w:rPr>
          <w:rFonts w:ascii="Gill Sans MT" w:hAnsi="Gill Sans MT"/>
        </w:rPr>
        <w:t xml:space="preserve"> offers a culturally grounded, contextually specific framework for assessing racial trauma. It integrates betrayal trauma across five UK institutional sectors, includes symbolic trauma and culturally specific idioms of distress, and is undergoing validation through mixed-methods research with African and African Caribbean communities. By doing so, it affirms the lived experiences of Black Britons as valid, measurable, and clinically </w:t>
      </w:r>
      <w:r w:rsidR="002149EB" w:rsidRPr="005C1CE9">
        <w:rPr>
          <w:rFonts w:ascii="Gill Sans MT" w:hAnsi="Gill Sans MT"/>
        </w:rPr>
        <w:t>actionable bridging</w:t>
      </w:r>
      <w:r w:rsidRPr="005C1CE9">
        <w:rPr>
          <w:rFonts w:ascii="Gill Sans MT" w:hAnsi="Gill Sans MT"/>
        </w:rPr>
        <w:t xml:space="preserve"> the gap between global trauma theory and localised racial realities.</w:t>
      </w:r>
    </w:p>
    <w:p w14:paraId="1C9ECF11" w14:textId="55EF013B" w:rsidR="00A95122" w:rsidRPr="00A95122" w:rsidRDefault="00307662" w:rsidP="00FB4E81">
      <w:pPr>
        <w:spacing w:line="276" w:lineRule="auto"/>
        <w:rPr>
          <w:rFonts w:ascii="Gill Sans MT" w:hAnsi="Gill Sans MT"/>
          <w:b/>
          <w:bCs/>
        </w:rPr>
      </w:pPr>
      <w:r>
        <w:rPr>
          <w:rFonts w:ascii="Gill Sans MT" w:hAnsi="Gill Sans MT"/>
          <w:b/>
          <w:bCs/>
        </w:rPr>
        <w:t>2</w:t>
      </w:r>
      <w:r w:rsidR="00AB39F2">
        <w:rPr>
          <w:rFonts w:ascii="Gill Sans MT" w:hAnsi="Gill Sans MT"/>
          <w:b/>
          <w:bCs/>
        </w:rPr>
        <w:t>.</w:t>
      </w:r>
      <w:r w:rsidR="003B7747">
        <w:rPr>
          <w:rFonts w:ascii="Gill Sans MT" w:hAnsi="Gill Sans MT"/>
          <w:b/>
          <w:bCs/>
        </w:rPr>
        <w:t>8</w:t>
      </w:r>
      <w:r>
        <w:rPr>
          <w:rFonts w:ascii="Gill Sans MT" w:hAnsi="Gill Sans MT"/>
          <w:b/>
          <w:bCs/>
        </w:rPr>
        <w:t xml:space="preserve"> </w:t>
      </w:r>
      <w:r w:rsidR="003F0088" w:rsidRPr="003F0088">
        <w:rPr>
          <w:rFonts w:ascii="Gill Sans MT" w:hAnsi="Gill Sans MT"/>
          <w:b/>
          <w:bCs/>
        </w:rPr>
        <w:t>Placing</w:t>
      </w:r>
      <w:r w:rsidR="00A95122" w:rsidRPr="00A95122">
        <w:rPr>
          <w:rFonts w:ascii="Gill Sans MT" w:hAnsi="Gill Sans MT"/>
          <w:b/>
          <w:bCs/>
        </w:rPr>
        <w:t xml:space="preserve"> BBRTQ Within the Landscape of Racial Trauma Assessment</w:t>
      </w:r>
    </w:p>
    <w:p w14:paraId="5D284FD8" w14:textId="5CEB5EAA" w:rsidR="00A95122" w:rsidRPr="00A95122" w:rsidRDefault="00A95122" w:rsidP="00513C9A">
      <w:pPr>
        <w:spacing w:line="276" w:lineRule="auto"/>
        <w:rPr>
          <w:rFonts w:ascii="Gill Sans MT" w:hAnsi="Gill Sans MT"/>
        </w:rPr>
      </w:pPr>
      <w:r w:rsidRPr="00A95122">
        <w:rPr>
          <w:rFonts w:ascii="Gill Sans MT" w:hAnsi="Gill Sans MT"/>
        </w:rPr>
        <w:t>The emergence of the Black British Racial Trauma Questionnaire (BBRTQ) marks a significant development in the psychometric assessment of racial trauma, particularly within the UK context. While several instruments have been developed to measure race-related stress and trauma, most originate from North American frameworks and reflect cultural, historical, and institutional dynamics that do not fully translate to Black British experiences. The BBRTQ was designed to address this gap by offering a culturally specific, clinically interpretable, and developmentally grounded tool that reflects the psychological realities of African and African Caribbean populations in Britain.</w:t>
      </w:r>
      <w:r w:rsidR="00513C9A">
        <w:rPr>
          <w:rFonts w:ascii="Gill Sans MT" w:hAnsi="Gill Sans MT"/>
        </w:rPr>
        <w:t xml:space="preserve"> </w:t>
      </w:r>
      <w:r w:rsidRPr="00A95122">
        <w:rPr>
          <w:rFonts w:ascii="Gill Sans MT" w:hAnsi="Gill Sans MT"/>
        </w:rPr>
        <w:t>Among the most widely cited measures is the Racial Trauma Scale (RTS), which operationalises racial trauma through the lens of DSM-5 PTSD criteria. Structured across four domains—negative cognitions and mood, hyperarousal, avoidance, and re-experiencing—the RTS provides a symptom-based framework that facilitates integration into conventional clinical practice. Its items are framed to reflect racialised experiences, such as feeling unsafe in predominantly white spaces or avoiding locations associated with racial harm. While the RTS is valuable for identifying acute trauma responses, it does not account for the broader sociocultural and historical dimensions of racial trauma. Notably, it omits constructs such as institutional betrayal, symbolic violence, and cultural invalidation—elements that are central to the BBRTQ’s design. Furthermore, the RTS lacks developmental sensitivity; it does not assess how racial trauma is transmitted across generations or shaped by historical legacies such as colonial education or the Windrush scandal, which continue to influence Black British psychological landscapes.</w:t>
      </w:r>
    </w:p>
    <w:p w14:paraId="6E8C035B" w14:textId="77777777" w:rsidR="00A95122" w:rsidRPr="00A95122" w:rsidRDefault="00A95122" w:rsidP="00FB4E81">
      <w:pPr>
        <w:spacing w:line="276" w:lineRule="auto"/>
        <w:rPr>
          <w:rFonts w:ascii="Gill Sans MT" w:hAnsi="Gill Sans MT"/>
        </w:rPr>
      </w:pPr>
      <w:r w:rsidRPr="00A95122">
        <w:rPr>
          <w:rFonts w:ascii="Gill Sans MT" w:hAnsi="Gill Sans MT"/>
        </w:rPr>
        <w:lastRenderedPageBreak/>
        <w:t>The Index of Race-Related Stress (IRRS) offers a more systemic approach, distinguishing between individual, institutional, and cultural racism. This tripartite structure is conceptually robust and aligns with the BBRTQ’s emphasis on structural and representational harm. However, the IRRS was developed in the United States and reflects American racial dynamics, including references to African American identity and US-specific institutional contexts. Its item content requires adaptation for UK use, where racialisation operates through different historical and sociopolitical mechanisms. The BBRTQ builds on the IRRS’s systemic logic but extends it through domains such as Intergenerational Transmission of Trauma and Survival Stress Patterns, which capture the embodied and historical dimensions of racialised distress. Moreover, the BBRTQ’s six-factor structure offers greater psychometric granularity, allowing for domain-specific interpretation and clinical formulation.</w:t>
      </w:r>
    </w:p>
    <w:p w14:paraId="70F67B41" w14:textId="77777777" w:rsidR="00FB0688" w:rsidRDefault="00A95122" w:rsidP="00FB4E81">
      <w:pPr>
        <w:spacing w:line="276" w:lineRule="auto"/>
        <w:rPr>
          <w:rFonts w:ascii="Gill Sans MT" w:hAnsi="Gill Sans MT"/>
        </w:rPr>
      </w:pPr>
      <w:r w:rsidRPr="00A95122">
        <w:rPr>
          <w:rFonts w:ascii="Gill Sans MT" w:hAnsi="Gill Sans MT"/>
        </w:rPr>
        <w:t xml:space="preserve">The Trauma Symptoms of Discrimination Scale (TSDS) focuses on anxiety-related symptoms following racial discrimination, including panic, insomnia, and intrusive thoughts. It is particularly effective in identifying racial anxiety and emotional dysregulation, constructs that are increasingly recognised in both clinical and community settings. The BBRTQ incorporates similar affective dimensions within its Emotional Impact of Racial Experiences domain but expands its scope to include resilience, cultural coping, and systemic mistrust. </w:t>
      </w:r>
    </w:p>
    <w:p w14:paraId="4FA567E1" w14:textId="535DD207" w:rsidR="00A95122" w:rsidRPr="00A95122" w:rsidRDefault="00A95122" w:rsidP="00FB4E81">
      <w:pPr>
        <w:spacing w:line="276" w:lineRule="auto"/>
        <w:rPr>
          <w:rFonts w:ascii="Gill Sans MT" w:hAnsi="Gill Sans MT"/>
        </w:rPr>
      </w:pPr>
      <w:r w:rsidRPr="00A95122">
        <w:rPr>
          <w:rFonts w:ascii="Gill Sans MT" w:hAnsi="Gill Sans MT"/>
        </w:rPr>
        <w:t>This broader framing allows clinicians to contextualise symptomatology within environmental and historical frameworks, rather than treating racial trauma as an isolated psychological event.</w:t>
      </w:r>
      <w:r w:rsidR="00A425FD">
        <w:rPr>
          <w:rFonts w:ascii="Gill Sans MT" w:hAnsi="Gill Sans MT"/>
        </w:rPr>
        <w:t xml:space="preserve"> </w:t>
      </w:r>
      <w:r w:rsidRPr="00A95122">
        <w:rPr>
          <w:rFonts w:ascii="Gill Sans MT" w:hAnsi="Gill Sans MT"/>
        </w:rPr>
        <w:t>The Race-Related Events Scale (RES) offers a brief screening tool for exposure to race-related stressors and their psychological impact. Its brevity makes it suitable for initial triage, but it lacks diagnostic depth and domain coverage. The BBRTQ, by contrast, provides a comprehensive assessment across six domains and 60 items, supporting both clinical diagnosis and research applications. While both instruments assess hypervigilance and emotional reactivity, the BBRTQ situates these responses within a broader framework that includes identity disruption, intergenerational transmission, and resilience.</w:t>
      </w:r>
    </w:p>
    <w:p w14:paraId="3D242B7C" w14:textId="77777777" w:rsidR="00E735D5" w:rsidRDefault="00A95122" w:rsidP="00FB4E81">
      <w:pPr>
        <w:spacing w:line="276" w:lineRule="auto"/>
        <w:rPr>
          <w:rFonts w:ascii="Gill Sans MT" w:hAnsi="Gill Sans MT"/>
        </w:rPr>
      </w:pPr>
      <w:r w:rsidRPr="00A95122">
        <w:rPr>
          <w:rFonts w:ascii="Gill Sans MT" w:hAnsi="Gill Sans MT"/>
        </w:rPr>
        <w:t xml:space="preserve">Racial climate instruments, such as the </w:t>
      </w:r>
      <w:r w:rsidRPr="00A425FD">
        <w:rPr>
          <w:rFonts w:ascii="Gill Sans MT" w:hAnsi="Gill Sans MT"/>
          <w:i/>
          <w:iCs/>
        </w:rPr>
        <w:t>Racial Climate Scale for Higher Education</w:t>
      </w:r>
      <w:r w:rsidRPr="00A95122">
        <w:rPr>
          <w:rFonts w:ascii="Gill Sans MT" w:hAnsi="Gill Sans MT"/>
        </w:rPr>
        <w:t xml:space="preserve"> and the </w:t>
      </w:r>
      <w:r w:rsidRPr="00A425FD">
        <w:rPr>
          <w:rFonts w:ascii="Gill Sans MT" w:hAnsi="Gill Sans MT"/>
          <w:i/>
          <w:iCs/>
        </w:rPr>
        <w:t>Academic Coping to Racial Climate Scale</w:t>
      </w:r>
      <w:r w:rsidRPr="00A95122">
        <w:rPr>
          <w:rFonts w:ascii="Gill Sans MT" w:hAnsi="Gill Sans MT"/>
        </w:rPr>
        <w:t xml:space="preserve">, assess perceived inclusivity, stereotype threat, and institutional hostility within educational settings. These tools are grounded in Critical Race Theory and </w:t>
      </w:r>
      <w:proofErr w:type="spellStart"/>
      <w:r w:rsidRPr="00A95122">
        <w:rPr>
          <w:rFonts w:ascii="Gill Sans MT" w:hAnsi="Gill Sans MT"/>
        </w:rPr>
        <w:t>QuantCrit</w:t>
      </w:r>
      <w:proofErr w:type="spellEnd"/>
      <w:r w:rsidRPr="00A95122">
        <w:rPr>
          <w:rFonts w:ascii="Gill Sans MT" w:hAnsi="Gill Sans MT"/>
        </w:rPr>
        <w:t xml:space="preserve"> methodology and are particularly useful for evaluating environmental contributors to racial trauma. However, they do not assess psychological symptomatology directly and are limited in scope to institutional perception. The BBRTQ complements these instruments by assessing the emotional and behavioural consequences of racialised environments, including emotional suppression, mistrust, and identity fragmentation.</w:t>
      </w:r>
    </w:p>
    <w:p w14:paraId="255B9D54" w14:textId="77777777" w:rsidR="00BB43CE" w:rsidRDefault="00A95122" w:rsidP="00E735D5">
      <w:pPr>
        <w:spacing w:line="276" w:lineRule="auto"/>
        <w:rPr>
          <w:rFonts w:ascii="Gill Sans MT" w:hAnsi="Gill Sans MT"/>
        </w:rPr>
      </w:pPr>
      <w:r w:rsidRPr="00A95122">
        <w:rPr>
          <w:rFonts w:ascii="Gill Sans MT" w:hAnsi="Gill Sans MT"/>
        </w:rPr>
        <w:t xml:space="preserve"> Its applicability across clinical, educational, and community contexts enhances its utility as a cross-sector diagnostic tool.</w:t>
      </w:r>
      <w:r w:rsidR="00E735D5">
        <w:rPr>
          <w:rFonts w:ascii="Gill Sans MT" w:hAnsi="Gill Sans MT"/>
        </w:rPr>
        <w:t xml:space="preserve"> </w:t>
      </w:r>
      <w:r w:rsidRPr="00A95122">
        <w:rPr>
          <w:rFonts w:ascii="Gill Sans MT" w:hAnsi="Gill Sans MT"/>
        </w:rPr>
        <w:t xml:space="preserve">Importantly, the BBRTQ does not assume homogeneity within Black British populations. It recognises that racial identity is experienced and expressed in diverse ways, and that not all individuals who identify as Black British relate strongly to African or Caribbean heritage. Some may prioritise national identity, others may be racially ambivalent, and many navigate complex intersections of culture, migration, and belonging. The BBRTQ accommodates this variability by focusing on the psychological impact of racialisation rather than prescriptive notions of identity. </w:t>
      </w:r>
    </w:p>
    <w:p w14:paraId="3FEB0650" w14:textId="53D834DA" w:rsidR="00A95122" w:rsidRPr="00A95122" w:rsidRDefault="00A95122" w:rsidP="00BB43CE">
      <w:pPr>
        <w:spacing w:line="276" w:lineRule="auto"/>
        <w:rPr>
          <w:rFonts w:ascii="Gill Sans MT" w:hAnsi="Gill Sans MT"/>
        </w:rPr>
      </w:pPr>
      <w:r w:rsidRPr="00A95122">
        <w:rPr>
          <w:rFonts w:ascii="Gill Sans MT" w:hAnsi="Gill Sans MT"/>
        </w:rPr>
        <w:lastRenderedPageBreak/>
        <w:t>Its items are designed to assess responses to racialised environments and experiences, regardless of the respondent’s degree of cultural affiliation or political engagement.</w:t>
      </w:r>
      <w:r w:rsidR="00BB43CE">
        <w:rPr>
          <w:rFonts w:ascii="Gill Sans MT" w:hAnsi="Gill Sans MT"/>
        </w:rPr>
        <w:t xml:space="preserve"> </w:t>
      </w:r>
      <w:r w:rsidRPr="00A95122">
        <w:rPr>
          <w:rFonts w:ascii="Gill Sans MT" w:hAnsi="Gill Sans MT"/>
        </w:rPr>
        <w:t>In sum, the BBRTQ builds upon and extends existing racial trauma measures by integrating symptomatology with structural, symbolic, and developmental dimensions of racial harm. Its six-domain structure reflects a nuanced understanding of racial trauma as experienced in the UK, offering a culturally valid and clinically actionable framework for assessment. While other instruments provide valuable insights into race-related stress, the BBRTQ offers a more comprehensive and contextually grounded approach, making it a critical addition to the psychometric landscape.</w:t>
      </w:r>
    </w:p>
    <w:p w14:paraId="20A7857B" w14:textId="546CF311" w:rsidR="00737154" w:rsidRPr="00737154" w:rsidRDefault="00ED7D5E" w:rsidP="00FB4E81">
      <w:pPr>
        <w:spacing w:line="276" w:lineRule="auto"/>
        <w:rPr>
          <w:rFonts w:ascii="Gill Sans MT" w:hAnsi="Gill Sans MT"/>
          <w:b/>
          <w:bCs/>
        </w:rPr>
      </w:pPr>
      <w:r>
        <w:rPr>
          <w:rFonts w:ascii="Gill Sans MT" w:hAnsi="Gill Sans MT"/>
          <w:b/>
          <w:bCs/>
        </w:rPr>
        <w:t>2.</w:t>
      </w:r>
      <w:r w:rsidR="003B7747">
        <w:rPr>
          <w:rFonts w:ascii="Gill Sans MT" w:hAnsi="Gill Sans MT"/>
          <w:b/>
          <w:bCs/>
        </w:rPr>
        <w:t>9</w:t>
      </w:r>
      <w:r>
        <w:rPr>
          <w:rFonts w:ascii="Gill Sans MT" w:hAnsi="Gill Sans MT"/>
          <w:b/>
          <w:bCs/>
        </w:rPr>
        <w:t xml:space="preserve"> </w:t>
      </w:r>
      <w:r w:rsidRPr="00737154">
        <w:rPr>
          <w:rFonts w:ascii="Gill Sans MT" w:hAnsi="Gill Sans MT"/>
          <w:b/>
          <w:bCs/>
        </w:rPr>
        <w:t>Justification</w:t>
      </w:r>
      <w:r w:rsidR="00737154" w:rsidRPr="00737154">
        <w:rPr>
          <w:rFonts w:ascii="Gill Sans MT" w:hAnsi="Gill Sans MT"/>
          <w:b/>
          <w:bCs/>
        </w:rPr>
        <w:t xml:space="preserve"> for the BBRTQ</w:t>
      </w:r>
    </w:p>
    <w:p w14:paraId="08174CE2" w14:textId="77777777" w:rsidR="00502A0A" w:rsidRDefault="00737154" w:rsidP="00FB4E81">
      <w:pPr>
        <w:spacing w:line="276" w:lineRule="auto"/>
        <w:rPr>
          <w:rFonts w:ascii="Gill Sans MT" w:hAnsi="Gill Sans MT"/>
        </w:rPr>
      </w:pPr>
      <w:r w:rsidRPr="00737154">
        <w:rPr>
          <w:rFonts w:ascii="Gill Sans MT" w:hAnsi="Gill Sans MT"/>
        </w:rPr>
        <w:t xml:space="preserve">The development of the Black British Racial Trauma Questionnaire (BBRTQ) is both a conceptual and clinical imperative. As demonstrated throughout this review, existing racial trauma measures—while foundational—are insufficiently equipped to capture the lived realities of African and African Caribbean communities in the United Kingdom. Their limitations are not merely technical but structural, rooted in cultural misalignment, institutional irrelevance, and diagnostic blind spots. </w:t>
      </w:r>
    </w:p>
    <w:p w14:paraId="2109D35A" w14:textId="243FAC5B" w:rsidR="00737154" w:rsidRPr="00737154" w:rsidRDefault="00737154" w:rsidP="00502A0A">
      <w:pPr>
        <w:spacing w:line="276" w:lineRule="auto"/>
        <w:rPr>
          <w:rFonts w:ascii="Gill Sans MT" w:hAnsi="Gill Sans MT"/>
        </w:rPr>
      </w:pPr>
      <w:r w:rsidRPr="00737154">
        <w:rPr>
          <w:rFonts w:ascii="Gill Sans MT" w:hAnsi="Gill Sans MT"/>
        </w:rPr>
        <w:t>The BBRTQ responds to these gaps by offering a psychometric tool that is culturally grounded, contextually specific, and empirically robust.</w:t>
      </w:r>
      <w:r w:rsidR="00502A0A">
        <w:rPr>
          <w:rFonts w:ascii="Gill Sans MT" w:hAnsi="Gill Sans MT"/>
        </w:rPr>
        <w:t xml:space="preserve"> </w:t>
      </w:r>
      <w:r w:rsidRPr="00737154">
        <w:rPr>
          <w:rFonts w:ascii="Gill Sans MT" w:hAnsi="Gill Sans MT"/>
          <w:i/>
          <w:iCs/>
        </w:rPr>
        <w:t>First</w:t>
      </w:r>
      <w:r w:rsidRPr="00737154">
        <w:rPr>
          <w:rFonts w:ascii="Gill Sans MT" w:hAnsi="Gill Sans MT"/>
        </w:rPr>
        <w:t>, the BBRTQ addresses the absence of UK-specific institutional domains in existing tools. Measures such as the RBTSSS (Carter et al., 2013), RTS (Williams et al., 2022), and IRRS (Utsey &amp; Ponterotto, 1996) were designed in the United States and reflect American racial dynamics—such as overt police brutality, school segregation, and African American identity formation. These tools do not account for British-specific events and systems that produce racial trauma, including the Windrush scandal, Grenfell Tower, the Prevent duty, and racialised detentions under the Mental Health Act. The BBRTQ embeds betrayal trauma across five UK institutional sectors—education, policing, healthcare, housing, and media—ensuring that the structural sources of racial harm are explicitly measured.</w:t>
      </w:r>
    </w:p>
    <w:p w14:paraId="10FDEA6E" w14:textId="24E61CD0" w:rsidR="00737154" w:rsidRPr="00737154" w:rsidRDefault="00737154" w:rsidP="00FB4E81">
      <w:pPr>
        <w:spacing w:line="276" w:lineRule="auto"/>
        <w:rPr>
          <w:rFonts w:ascii="Gill Sans MT" w:hAnsi="Gill Sans MT"/>
        </w:rPr>
      </w:pPr>
      <w:r w:rsidRPr="00737154">
        <w:rPr>
          <w:rFonts w:ascii="Gill Sans MT" w:hAnsi="Gill Sans MT"/>
          <w:i/>
          <w:iCs/>
        </w:rPr>
        <w:t>Second</w:t>
      </w:r>
      <w:r w:rsidRPr="00737154">
        <w:rPr>
          <w:rFonts w:ascii="Gill Sans MT" w:hAnsi="Gill Sans MT"/>
        </w:rPr>
        <w:t xml:space="preserve">, the BBRTQ incorporates symbolic trauma and representational harm, which are largely absent from existing instruments. Symbolic trauma refers to the psychological injury caused by misrepresentation, erasure, or vilification of one’s racial identity in cultural and institutional narratives (Bryant-Davis &amp; Ocampo, 2005). In the UK, this includes the exclusion of Black British history from school curricula, the portrayal of Black youth as “gang-affiliated” in media, and the underrepresentation of Black professionals in leadership roles. These experiences contribute to identity confusion, emotional suppression, and mistrust of institutions—symptoms that are not captured by tools focused solely on interpersonal discrimination. </w:t>
      </w:r>
      <w:r w:rsidR="00D74A91">
        <w:rPr>
          <w:rFonts w:ascii="Gill Sans MT" w:hAnsi="Gill Sans MT"/>
        </w:rPr>
        <w:t xml:space="preserve"> </w:t>
      </w:r>
      <w:r w:rsidRPr="00737154">
        <w:rPr>
          <w:rFonts w:ascii="Gill Sans MT" w:hAnsi="Gill Sans MT"/>
        </w:rPr>
        <w:t>The BBRTQ includes items that assess symbolic trauma, epistemic exclusion, and cultural invalidation, offering a more comprehensive account of racialised distress.</w:t>
      </w:r>
    </w:p>
    <w:p w14:paraId="7817436B" w14:textId="62A4B742" w:rsidR="00737154" w:rsidRPr="00737154" w:rsidRDefault="00737154" w:rsidP="00FB4E81">
      <w:pPr>
        <w:spacing w:line="276" w:lineRule="auto"/>
        <w:rPr>
          <w:rFonts w:ascii="Gill Sans MT" w:hAnsi="Gill Sans MT"/>
        </w:rPr>
      </w:pPr>
      <w:r w:rsidRPr="00737154">
        <w:rPr>
          <w:rFonts w:ascii="Gill Sans MT" w:hAnsi="Gill Sans MT"/>
          <w:i/>
          <w:iCs/>
        </w:rPr>
        <w:t>Third,</w:t>
      </w:r>
      <w:r w:rsidRPr="00737154">
        <w:rPr>
          <w:rFonts w:ascii="Gill Sans MT" w:hAnsi="Gill Sans MT"/>
        </w:rPr>
        <w:t xml:space="preserve"> the BBRTQ reflects culturally specific idioms </w:t>
      </w:r>
      <w:proofErr w:type="gramStart"/>
      <w:r w:rsidRPr="00737154">
        <w:rPr>
          <w:rFonts w:ascii="Gill Sans MT" w:hAnsi="Gill Sans MT"/>
        </w:rPr>
        <w:t xml:space="preserve">of </w:t>
      </w:r>
      <w:r w:rsidR="007265E5">
        <w:rPr>
          <w:rFonts w:ascii="Gill Sans MT" w:hAnsi="Gill Sans MT"/>
        </w:rPr>
        <w:t xml:space="preserve"> trauma</w:t>
      </w:r>
      <w:proofErr w:type="gramEnd"/>
      <w:r w:rsidR="007265E5">
        <w:rPr>
          <w:rFonts w:ascii="Gill Sans MT" w:hAnsi="Gill Sans MT"/>
        </w:rPr>
        <w:t xml:space="preserve"> and </w:t>
      </w:r>
      <w:r w:rsidRPr="00737154">
        <w:rPr>
          <w:rFonts w:ascii="Gill Sans MT" w:hAnsi="Gill Sans MT"/>
        </w:rPr>
        <w:t xml:space="preserve">distress </w:t>
      </w:r>
      <w:r w:rsidR="007265E5">
        <w:rPr>
          <w:rFonts w:ascii="Gill Sans MT" w:hAnsi="Gill Sans MT"/>
        </w:rPr>
        <w:t xml:space="preserve">which </w:t>
      </w:r>
      <w:r w:rsidRPr="00737154">
        <w:rPr>
          <w:rFonts w:ascii="Gill Sans MT" w:hAnsi="Gill Sans MT"/>
        </w:rPr>
        <w:t xml:space="preserve">are often overlooked in mainstream psychological assessment. UK-based qualitative studies have documented expressions such as spiritual disorientation, ancestral grief, and emotional suppression among Black Britons (Alleyne, 2024; Samuel &amp; Simonds, 2025). These idioms are shaped by postcolonial migration histories, Caribbean and African spiritual traditions, and cultural norms around emotional resilience. Existing tools—such as the RTS and TSDS—do not include these expressions, risking </w:t>
      </w:r>
      <w:r w:rsidRPr="00737154">
        <w:rPr>
          <w:rFonts w:ascii="Gill Sans MT" w:hAnsi="Gill Sans MT"/>
        </w:rPr>
        <w:lastRenderedPageBreak/>
        <w:t>misdiagnosis or therapeutic misattunement. The BBRTQ integrates these idioms into its item pool, ensuring that culturally grounded forms of distress are recognised and validated.</w:t>
      </w:r>
    </w:p>
    <w:p w14:paraId="2F824853" w14:textId="77777777" w:rsidR="00737154" w:rsidRPr="00737154" w:rsidRDefault="00737154" w:rsidP="00FB4E81">
      <w:pPr>
        <w:spacing w:line="276" w:lineRule="auto"/>
        <w:rPr>
          <w:rFonts w:ascii="Gill Sans MT" w:hAnsi="Gill Sans MT"/>
        </w:rPr>
      </w:pPr>
      <w:r w:rsidRPr="00737154">
        <w:rPr>
          <w:rFonts w:ascii="Gill Sans MT" w:hAnsi="Gill Sans MT"/>
          <w:i/>
          <w:iCs/>
        </w:rPr>
        <w:t>Fourth,</w:t>
      </w:r>
      <w:r w:rsidRPr="00737154">
        <w:rPr>
          <w:rFonts w:ascii="Gill Sans MT" w:hAnsi="Gill Sans MT"/>
        </w:rPr>
        <w:t xml:space="preserve"> the BBRTQ is designed for psychometric rigour and clinical utility. It is being validated through mixed-methods research, including qualitative interviews, exploratory and confirmatory factor analysis, and convergent validity testing against general trauma and discrimination measures. Its structure allows for both symptom screening and institutional mapping, making it suitable for use in clinical, educational, and research settings. Unlike narrative-based tools such as the UnRESTS, the BBRTQ offers standardised scoring while retaining cultural depth. It is accessible to practitioners with varying levels of racial literacy and can be used to inform diagnosis, guide culturally competent interventions, and support policy advocacy.</w:t>
      </w:r>
    </w:p>
    <w:p w14:paraId="341D53B9" w14:textId="77777777" w:rsidR="00737154" w:rsidRPr="00737154" w:rsidRDefault="00737154" w:rsidP="00FB4E81">
      <w:pPr>
        <w:spacing w:line="276" w:lineRule="auto"/>
        <w:rPr>
          <w:rFonts w:ascii="Gill Sans MT" w:hAnsi="Gill Sans MT"/>
        </w:rPr>
      </w:pPr>
      <w:r w:rsidRPr="00737154">
        <w:rPr>
          <w:rFonts w:ascii="Gill Sans MT" w:hAnsi="Gill Sans MT"/>
          <w:i/>
          <w:iCs/>
        </w:rPr>
        <w:t>Finally</w:t>
      </w:r>
      <w:r w:rsidRPr="00737154">
        <w:rPr>
          <w:rFonts w:ascii="Gill Sans MT" w:hAnsi="Gill Sans MT"/>
        </w:rPr>
        <w:t>, the BBRTQ affirms the lived experiences of Black Britons as valid, measurable, and clinically actionable. It challenges the diagnostic invisibility that has long characterised racial trauma in the UK, offering a tool that is not only empirically sound but ethically necessary. By integrating theoretical insights from U.S. models with empirical findings from UK-based research, the BBRTQ represents a significant advancement in racial trauma assessment. It is not merely an adaptation of existing tools but a conceptual innovation—one that centres Black British voices, histories, and healing practices.</w:t>
      </w:r>
    </w:p>
    <w:p w14:paraId="6421A331" w14:textId="77777777" w:rsidR="00737154" w:rsidRDefault="00737154" w:rsidP="00FB4E81">
      <w:pPr>
        <w:spacing w:line="276" w:lineRule="auto"/>
        <w:rPr>
          <w:rFonts w:ascii="Gill Sans MT" w:hAnsi="Gill Sans MT"/>
        </w:rPr>
      </w:pPr>
      <w:r w:rsidRPr="00737154">
        <w:rPr>
          <w:rFonts w:ascii="Gill Sans MT" w:hAnsi="Gill Sans MT"/>
        </w:rPr>
        <w:t>In conclusion, the BBRTQ fills a critical gap in the psychometric landscape. It offers a multidimensional, culturally responsive framework for assessing racial trauma in the UK, grounded in both scholarly rigour and community relevance. Its development marks a pivotal step toward diagnostic equity, therapeutic justice, and the decolonisation of psychological assessment.</w:t>
      </w:r>
    </w:p>
    <w:p w14:paraId="182EBCD9" w14:textId="77777777" w:rsidR="00703118" w:rsidRDefault="00703118" w:rsidP="00703118">
      <w:pPr>
        <w:pStyle w:val="NoSpacing"/>
      </w:pPr>
    </w:p>
    <w:p w14:paraId="3B8D9A18" w14:textId="6F833901" w:rsidR="0009682F" w:rsidRDefault="0009682F" w:rsidP="00FB4E81">
      <w:pPr>
        <w:spacing w:line="276" w:lineRule="auto"/>
        <w:rPr>
          <w:rFonts w:ascii="Gill Sans MT" w:hAnsi="Gill Sans MT"/>
          <w:b/>
          <w:bCs/>
        </w:rPr>
      </w:pPr>
      <w:r w:rsidRPr="0009682F">
        <w:rPr>
          <w:rFonts w:ascii="Gill Sans MT" w:hAnsi="Gill Sans MT"/>
          <w:b/>
          <w:bCs/>
        </w:rPr>
        <w:t>2.</w:t>
      </w:r>
      <w:r w:rsidR="003B7747">
        <w:rPr>
          <w:rFonts w:ascii="Gill Sans MT" w:hAnsi="Gill Sans MT"/>
          <w:b/>
          <w:bCs/>
        </w:rPr>
        <w:t>10</w:t>
      </w:r>
      <w:r w:rsidRPr="0009682F">
        <w:rPr>
          <w:rFonts w:ascii="Gill Sans MT" w:hAnsi="Gill Sans MT"/>
          <w:b/>
          <w:bCs/>
        </w:rPr>
        <w:t xml:space="preserve"> BBRTQ Pilot Testing: Structure and Themes</w:t>
      </w:r>
    </w:p>
    <w:p w14:paraId="4B00D071" w14:textId="721C1CE6" w:rsidR="00B134F8" w:rsidRPr="00B134F8" w:rsidRDefault="00B134F8" w:rsidP="00FB4E81">
      <w:pPr>
        <w:spacing w:line="276" w:lineRule="auto"/>
        <w:rPr>
          <w:rFonts w:ascii="Gill Sans MT" w:hAnsi="Gill Sans MT"/>
        </w:rPr>
      </w:pPr>
      <w:r w:rsidRPr="00B134F8">
        <w:rPr>
          <w:rFonts w:ascii="Gill Sans MT" w:hAnsi="Gill Sans MT"/>
        </w:rPr>
        <w:t>The preliminary testing of the Black British Racial Trauma Questionnaire (BBRTQ) was designed to evaluate its internal coherence, conceptual integrity, and thematic clarity. Unlike many psychometric instruments that seek cross-cultural generalisability, the BBRTQ is unapologetically constructed for African and African Caribbean populations in the United Kingdom. It does not attempt to homogenise racialised experiences under broad pan-ethnic categories such as “BAME” (Aspinall, 2021), nor does it dilute its focus to accommodate generic diversity frameworks. Instead, it centres the specific historical, institutional, and symbolic realities of Black British communities, recognising both intra-group diversity and the shared structures of racial harm that transcend differences in migration history, cultural affiliation, or political orientation (Bakare, 2024).</w:t>
      </w:r>
    </w:p>
    <w:p w14:paraId="7949536B" w14:textId="77777777" w:rsidR="00B134F8" w:rsidRDefault="00B134F8" w:rsidP="00FB4E81">
      <w:pPr>
        <w:spacing w:line="276" w:lineRule="auto"/>
        <w:rPr>
          <w:rFonts w:ascii="Gill Sans MT" w:hAnsi="Gill Sans MT"/>
        </w:rPr>
      </w:pPr>
      <w:r w:rsidRPr="00B134F8">
        <w:rPr>
          <w:rFonts w:ascii="Gill Sans MT" w:hAnsi="Gill Sans MT"/>
        </w:rPr>
        <w:t>This design choice reflects a critical epistemological stance: racial trauma must be understood through the lens of specificity, not abstraction. While the study acknowledges that not all Black people are the same, it also recognises that African and African Caribbean individuals in Britain are routinely stereotyped, misrecognised, and pathologised in ways that flatten their complexity (Fricker, 2007; Alleyne, 2024). Whether politically radical or apolitical, racially conscious or racially ambivalent, Black Britons are subjected to a racialised gaze that imposes homogenising narratives of deviance, danger, or deficiency (Bryan, 2021; Khan, 2020). The BBRTQ is designed to capture the psychological consequences of this gaze.</w:t>
      </w:r>
    </w:p>
    <w:p w14:paraId="0D121DF2" w14:textId="33813C67" w:rsidR="00B134F8" w:rsidRPr="00B134F8" w:rsidRDefault="00307662" w:rsidP="00FB4E81">
      <w:pPr>
        <w:spacing w:line="276" w:lineRule="auto"/>
        <w:rPr>
          <w:rFonts w:ascii="Gill Sans MT" w:hAnsi="Gill Sans MT"/>
          <w:b/>
          <w:bCs/>
        </w:rPr>
      </w:pPr>
      <w:r>
        <w:rPr>
          <w:rFonts w:ascii="Gill Sans MT" w:hAnsi="Gill Sans MT"/>
          <w:b/>
          <w:bCs/>
        </w:rPr>
        <w:lastRenderedPageBreak/>
        <w:t>2.1</w:t>
      </w:r>
      <w:r w:rsidR="003B7747">
        <w:rPr>
          <w:rFonts w:ascii="Gill Sans MT" w:hAnsi="Gill Sans MT"/>
          <w:b/>
          <w:bCs/>
        </w:rPr>
        <w:t>1</w:t>
      </w:r>
      <w:r w:rsidR="00810C20">
        <w:rPr>
          <w:rFonts w:ascii="Gill Sans MT" w:hAnsi="Gill Sans MT"/>
          <w:b/>
          <w:bCs/>
        </w:rPr>
        <w:t xml:space="preserve"> </w:t>
      </w:r>
      <w:r w:rsidR="00B134F8" w:rsidRPr="00B134F8">
        <w:rPr>
          <w:rFonts w:ascii="Gill Sans MT" w:hAnsi="Gill Sans MT"/>
          <w:b/>
          <w:bCs/>
        </w:rPr>
        <w:t>Item Development and Domain Mapping</w:t>
      </w:r>
    </w:p>
    <w:p w14:paraId="0B1379F3" w14:textId="77777777" w:rsidR="00B134F8" w:rsidRPr="00B134F8" w:rsidRDefault="00B134F8" w:rsidP="00FB4E81">
      <w:pPr>
        <w:spacing w:line="276" w:lineRule="auto"/>
        <w:rPr>
          <w:rFonts w:ascii="Gill Sans MT" w:hAnsi="Gill Sans MT"/>
        </w:rPr>
      </w:pPr>
      <w:r w:rsidRPr="00B134F8">
        <w:rPr>
          <w:rFonts w:ascii="Gill Sans MT" w:hAnsi="Gill Sans MT"/>
        </w:rPr>
        <w:t>The BBRTQ was constructed around five core domains: institutional betrayal, symbolic trauma, emotional suppression, racialised vigilance, and intergenerational distress. These domains emerged from a synthesis of trauma psychology, racial identity theory, and critical race epistemology. Each domain was operationalised through a series of items designed to reflect the psychological manifestations of racial trauma in the UK context (Carter, 2007; Helms, 1990; DeGruy, 2005; Fricker, 2007).</w:t>
      </w:r>
    </w:p>
    <w:p w14:paraId="053A1920" w14:textId="77777777" w:rsidR="00B134F8" w:rsidRPr="00B134F8" w:rsidRDefault="00B134F8" w:rsidP="00FB4E81">
      <w:pPr>
        <w:spacing w:line="276" w:lineRule="auto"/>
        <w:rPr>
          <w:rFonts w:ascii="Gill Sans MT" w:hAnsi="Gill Sans MT"/>
        </w:rPr>
      </w:pPr>
      <w:r w:rsidRPr="00B134F8">
        <w:rPr>
          <w:rFonts w:ascii="Gill Sans MT" w:hAnsi="Gill Sans MT"/>
        </w:rPr>
        <w:t>Item development followed a rigorous conceptual mapping process. Drawing on Carter’s Race-Based Traumatic Injury (RBTI) model, which frames racism as a source of psychological injury distinct from generalised PTSD, the initial pool of 65 items was refined to 45 through expert review and cultural consultation (Carter et al., 2013). Helms’ racial identity development theory informed items related to identity disruption and psychological adaptation in racialised environments (Helms, 1990), while DeGruy’s post-traumatic slave syndrome provided a framework for understanding intergenerational distress rooted in historical trauma (DeGruy, 2005). Fricker’s concept of epistemic injustice guided the inclusion of items addressing therapeutic silencing and diagnostic exclusion (Fricker, 2007).</w:t>
      </w:r>
    </w:p>
    <w:p w14:paraId="20E29CCB" w14:textId="77777777" w:rsidR="00B134F8" w:rsidRPr="00B134F8" w:rsidRDefault="00B134F8" w:rsidP="00FB4E81">
      <w:pPr>
        <w:spacing w:line="276" w:lineRule="auto"/>
        <w:rPr>
          <w:rFonts w:ascii="Gill Sans MT" w:hAnsi="Gill Sans MT"/>
        </w:rPr>
      </w:pPr>
      <w:r w:rsidRPr="00B134F8">
        <w:rPr>
          <w:rFonts w:ascii="Gill Sans MT" w:hAnsi="Gill Sans MT"/>
        </w:rPr>
        <w:t>Each item was written in culturally resonant language, avoiding clinical jargon and instead reflecting everyday idioms of distress familiar to African and African Caribbean respondents (Samuel &amp; Simonds, 2025). For example, rather than referencing “microaggressions,” items described experiences of misrecognition, emotional restraint, and institutional mistrust.</w:t>
      </w:r>
    </w:p>
    <w:p w14:paraId="4CAD3AA4" w14:textId="40ED49DA" w:rsidR="00C13157" w:rsidRPr="00737154" w:rsidRDefault="00307662" w:rsidP="00FB4E81">
      <w:pPr>
        <w:spacing w:line="276" w:lineRule="auto"/>
        <w:rPr>
          <w:rFonts w:ascii="Gill Sans MT" w:hAnsi="Gill Sans MT"/>
          <w:b/>
          <w:bCs/>
          <w:sz w:val="36"/>
          <w:szCs w:val="36"/>
        </w:rPr>
      </w:pPr>
      <w:r>
        <w:rPr>
          <w:rFonts w:ascii="Gill Sans MT" w:hAnsi="Gill Sans MT"/>
          <w:b/>
          <w:bCs/>
          <w:sz w:val="36"/>
          <w:szCs w:val="36"/>
        </w:rPr>
        <w:t>3</w:t>
      </w:r>
      <w:r w:rsidR="00396CDA">
        <w:rPr>
          <w:rFonts w:ascii="Gill Sans MT" w:hAnsi="Gill Sans MT"/>
          <w:b/>
          <w:bCs/>
          <w:sz w:val="36"/>
          <w:szCs w:val="36"/>
        </w:rPr>
        <w:t xml:space="preserve">. </w:t>
      </w:r>
      <w:r w:rsidR="00C13157" w:rsidRPr="00A81585">
        <w:rPr>
          <w:rFonts w:ascii="Gill Sans MT" w:hAnsi="Gill Sans MT"/>
          <w:b/>
          <w:bCs/>
          <w:sz w:val="36"/>
          <w:szCs w:val="36"/>
        </w:rPr>
        <w:t>Methodology</w:t>
      </w:r>
    </w:p>
    <w:p w14:paraId="2F71F143" w14:textId="0E3C69D3" w:rsidR="00387728" w:rsidRPr="00387728" w:rsidRDefault="00C228EC" w:rsidP="00FB4E81">
      <w:pPr>
        <w:spacing w:line="276" w:lineRule="auto"/>
        <w:rPr>
          <w:rFonts w:ascii="Gill Sans MT" w:hAnsi="Gill Sans MT"/>
          <w:b/>
          <w:bCs/>
        </w:rPr>
      </w:pPr>
      <w:r>
        <w:rPr>
          <w:rFonts w:ascii="Gill Sans MT" w:hAnsi="Gill Sans MT"/>
          <w:b/>
          <w:bCs/>
        </w:rPr>
        <w:t>3</w:t>
      </w:r>
      <w:r w:rsidR="008139E9">
        <w:rPr>
          <w:rFonts w:ascii="Gill Sans MT" w:hAnsi="Gill Sans MT"/>
          <w:b/>
          <w:bCs/>
        </w:rPr>
        <w:t xml:space="preserve">.1 </w:t>
      </w:r>
      <w:r w:rsidR="00387728" w:rsidRPr="00387728">
        <w:rPr>
          <w:rFonts w:ascii="Gill Sans MT" w:hAnsi="Gill Sans MT"/>
          <w:b/>
          <w:bCs/>
        </w:rPr>
        <w:t>Study Design</w:t>
      </w:r>
    </w:p>
    <w:p w14:paraId="414159F4" w14:textId="77777777" w:rsidR="00387728" w:rsidRDefault="00387728" w:rsidP="00FB4E81">
      <w:pPr>
        <w:spacing w:line="276" w:lineRule="auto"/>
        <w:rPr>
          <w:rFonts w:ascii="Gill Sans MT" w:hAnsi="Gill Sans MT"/>
        </w:rPr>
      </w:pPr>
      <w:r w:rsidRPr="00387728">
        <w:rPr>
          <w:rFonts w:ascii="Gill Sans MT" w:hAnsi="Gill Sans MT"/>
        </w:rPr>
        <w:t>This study employed a mixed methods design to develop and validate the Black British Racial Trauma Questionnaire (BBRTQ). The methodology integrated qualitative item generation with quantitative psychometric testing to ensure cultural relevance, construct validity, and clinical utility. The study was conducted in three sequential phases: (1) conceptual development, (2) item generation and refinement, and (3) empirical validation. This design allowed for triangulation between lived experience, theoretical frameworks, and statistical robustness, ensuring that the BBRTQ would be both contextually grounded and psychometrically sound. The mixed methods approach was particularly suited to capturing the complexity of racial trauma as experienced by Black British individuals, whose psychological distress is often shaped by intersecting historical, institutional, and cultural forces.</w:t>
      </w:r>
    </w:p>
    <w:p w14:paraId="0324AB7A" w14:textId="2A905294" w:rsidR="00387728" w:rsidRPr="00387728" w:rsidRDefault="00C228EC" w:rsidP="00FB4E81">
      <w:pPr>
        <w:spacing w:line="276" w:lineRule="auto"/>
        <w:rPr>
          <w:rFonts w:ascii="Gill Sans MT" w:hAnsi="Gill Sans MT"/>
          <w:b/>
          <w:bCs/>
        </w:rPr>
      </w:pPr>
      <w:r>
        <w:rPr>
          <w:rFonts w:ascii="Gill Sans MT" w:hAnsi="Gill Sans MT"/>
          <w:b/>
          <w:bCs/>
        </w:rPr>
        <w:t>3</w:t>
      </w:r>
      <w:r w:rsidR="00534292">
        <w:rPr>
          <w:rFonts w:ascii="Gill Sans MT" w:hAnsi="Gill Sans MT"/>
          <w:b/>
          <w:bCs/>
        </w:rPr>
        <w:t>.2 Sample</w:t>
      </w:r>
      <w:r w:rsidR="00387728" w:rsidRPr="00387728">
        <w:rPr>
          <w:rFonts w:ascii="Gill Sans MT" w:hAnsi="Gill Sans MT"/>
          <w:b/>
          <w:bCs/>
        </w:rPr>
        <w:t xml:space="preserve"> Group</w:t>
      </w:r>
    </w:p>
    <w:p w14:paraId="751E54B2" w14:textId="77777777" w:rsidR="00C228EC" w:rsidRPr="00C228EC" w:rsidRDefault="00C228EC" w:rsidP="00FB4E81">
      <w:pPr>
        <w:spacing w:line="276" w:lineRule="auto"/>
        <w:rPr>
          <w:rFonts w:ascii="Gill Sans MT" w:hAnsi="Gill Sans MT"/>
        </w:rPr>
      </w:pPr>
      <w:r w:rsidRPr="00C228EC">
        <w:rPr>
          <w:rFonts w:ascii="Gill Sans MT" w:hAnsi="Gill Sans MT"/>
        </w:rPr>
        <w:t xml:space="preserve">The pilot sample consisted of 45 self-identified Black British adults aged 18 to 55, recruited through community organisations, professional networks, cultural advocacy groups, and targeted online outreach. Recruitment was purposive, prioritising individuals with lived experience of racialisation in the UK. Approximately 60% of participants identified as female and 40% as male, offering a modest gender balance. All participants were fluent in English and not undergoing inpatient psychiatric care at the time of the study. Geographically, the sample included individuals from major urban centres </w:t>
      </w:r>
      <w:r w:rsidRPr="00C228EC">
        <w:rPr>
          <w:rFonts w:ascii="Gill Sans MT" w:hAnsi="Gill Sans MT"/>
        </w:rPr>
        <w:lastRenderedPageBreak/>
        <w:t>such as London, Birmingham, Manchester, and Leeds, providing regional diversity in exposure to racialised environments.</w:t>
      </w:r>
    </w:p>
    <w:p w14:paraId="1D29177C" w14:textId="77777777" w:rsidR="00C228EC" w:rsidRDefault="00C228EC" w:rsidP="00FB4E81">
      <w:pPr>
        <w:spacing w:line="276" w:lineRule="auto"/>
        <w:rPr>
          <w:rFonts w:ascii="Gill Sans MT" w:hAnsi="Gill Sans MT"/>
        </w:rPr>
      </w:pPr>
      <w:r w:rsidRPr="00C228EC">
        <w:rPr>
          <w:rFonts w:ascii="Gill Sans MT" w:hAnsi="Gill Sans MT"/>
        </w:rPr>
        <w:t>Educationally, most participants held post-secondary qualifications, with representation from university students, professionals, and unemployed individuals. Socioeconomic backgrounds varied, allowing for exploration of racial trauma across class lines. While the BBRTQ was not administered in clinical settings, a small proportion of participants (5%) reported prior engagement with mental health services, typically in relation to broader wellbeing concerns. Several participants reflected on racialised experiences within institutional contexts, including education, healthcare, and policing. This sample provided a culturally grounded foundation for evaluating the BBRTQ’s thematic coherence, ecological validity, and psychometric integrity.</w:t>
      </w:r>
    </w:p>
    <w:p w14:paraId="2F6142A5" w14:textId="4D101805" w:rsidR="00387728" w:rsidRPr="00387728" w:rsidRDefault="00C228EC" w:rsidP="00FB4E81">
      <w:pPr>
        <w:spacing w:line="276" w:lineRule="auto"/>
        <w:rPr>
          <w:rFonts w:ascii="Gill Sans MT" w:hAnsi="Gill Sans MT"/>
          <w:b/>
          <w:bCs/>
        </w:rPr>
      </w:pPr>
      <w:r>
        <w:rPr>
          <w:rFonts w:ascii="Gill Sans MT" w:hAnsi="Gill Sans MT"/>
          <w:b/>
          <w:bCs/>
        </w:rPr>
        <w:t>3</w:t>
      </w:r>
      <w:r w:rsidR="00ED7D5E">
        <w:rPr>
          <w:rFonts w:ascii="Gill Sans MT" w:hAnsi="Gill Sans MT"/>
          <w:b/>
          <w:bCs/>
        </w:rPr>
        <w:t>.3 Phase</w:t>
      </w:r>
      <w:r w:rsidR="00387728" w:rsidRPr="00387728">
        <w:rPr>
          <w:rFonts w:ascii="Gill Sans MT" w:hAnsi="Gill Sans MT"/>
          <w:b/>
          <w:bCs/>
        </w:rPr>
        <w:t xml:space="preserve"> 1: Conceptual Development</w:t>
      </w:r>
    </w:p>
    <w:p w14:paraId="414681DE" w14:textId="77777777" w:rsidR="00387728" w:rsidRPr="00387728" w:rsidRDefault="00387728" w:rsidP="00FB4E81">
      <w:pPr>
        <w:spacing w:line="276" w:lineRule="auto"/>
        <w:rPr>
          <w:rFonts w:ascii="Gill Sans MT" w:hAnsi="Gill Sans MT"/>
        </w:rPr>
      </w:pPr>
      <w:r w:rsidRPr="00387728">
        <w:rPr>
          <w:rFonts w:ascii="Gill Sans MT" w:hAnsi="Gill Sans MT"/>
        </w:rPr>
        <w:t>The BBRTQ was conceptually grounded in a synthesis of foundational psychological theories and UK-specific racial trauma literature. Key frameworks included Helms’ (1990) racial identity development model, Fricker’s (2007) theory of epistemic injustice, and DeGruy’s (2005) post-traumatic slave syndrome. These were contextualised within British sociopolitical realities, drawing on contemporary sources such as Bryan (2021), Aspinall (2021), and the UK Trauma Council (2021a, 2021b). The conceptual model aimed to capture the unique manifestations of racial trauma among Black British individuals, including institutional misrecognition, cultural invalidation, intergenerational grief, and survival-based coping—domains often absent in U.S.-centric instruments. The BBRTQ was also designed to challenge homogenising racial categories such as “BAME,” instead centring disaggregated identity markers and culturally resonant language that reflects the lived realities of Black communities in the UK.</w:t>
      </w:r>
    </w:p>
    <w:p w14:paraId="48F0F7E4" w14:textId="3DD9FAB5" w:rsidR="00387728" w:rsidRPr="00387728" w:rsidRDefault="00C228EC" w:rsidP="00FB4E81">
      <w:pPr>
        <w:spacing w:line="276" w:lineRule="auto"/>
        <w:rPr>
          <w:rFonts w:ascii="Gill Sans MT" w:hAnsi="Gill Sans MT"/>
        </w:rPr>
      </w:pPr>
      <w:r>
        <w:rPr>
          <w:rFonts w:ascii="Gill Sans MT" w:hAnsi="Gill Sans MT"/>
          <w:b/>
          <w:bCs/>
        </w:rPr>
        <w:t>3</w:t>
      </w:r>
      <w:r w:rsidR="008139E9">
        <w:rPr>
          <w:rFonts w:ascii="Gill Sans MT" w:hAnsi="Gill Sans MT"/>
          <w:b/>
          <w:bCs/>
        </w:rPr>
        <w:t>.</w:t>
      </w:r>
      <w:r w:rsidR="004E7641">
        <w:rPr>
          <w:rFonts w:ascii="Gill Sans MT" w:hAnsi="Gill Sans MT"/>
          <w:b/>
          <w:bCs/>
        </w:rPr>
        <w:t>4</w:t>
      </w:r>
      <w:r w:rsidR="008139E9">
        <w:rPr>
          <w:rFonts w:ascii="Gill Sans MT" w:hAnsi="Gill Sans MT"/>
          <w:b/>
          <w:bCs/>
        </w:rPr>
        <w:t xml:space="preserve"> </w:t>
      </w:r>
      <w:r w:rsidR="00387728" w:rsidRPr="00387728">
        <w:rPr>
          <w:rFonts w:ascii="Gill Sans MT" w:hAnsi="Gill Sans MT"/>
          <w:b/>
          <w:bCs/>
        </w:rPr>
        <w:t>Instrument Overview</w:t>
      </w:r>
    </w:p>
    <w:p w14:paraId="5F62C24A" w14:textId="77777777" w:rsidR="00387728" w:rsidRPr="00387728" w:rsidRDefault="00387728" w:rsidP="00FB4E81">
      <w:pPr>
        <w:numPr>
          <w:ilvl w:val="0"/>
          <w:numId w:val="58"/>
        </w:numPr>
        <w:spacing w:after="0" w:line="276" w:lineRule="auto"/>
        <w:rPr>
          <w:rFonts w:ascii="Gill Sans MT" w:hAnsi="Gill Sans MT"/>
        </w:rPr>
      </w:pPr>
      <w:r w:rsidRPr="00387728">
        <w:rPr>
          <w:rFonts w:ascii="Gill Sans MT" w:hAnsi="Gill Sans MT"/>
          <w:b/>
          <w:bCs/>
        </w:rPr>
        <w:t>Tool</w:t>
      </w:r>
      <w:r w:rsidRPr="00387728">
        <w:rPr>
          <w:rFonts w:ascii="Gill Sans MT" w:hAnsi="Gill Sans MT"/>
        </w:rPr>
        <w:t>: Black British Racial Trauma Questionnaire (BBRTQ)</w:t>
      </w:r>
    </w:p>
    <w:p w14:paraId="6AC47044" w14:textId="77777777" w:rsidR="00387728" w:rsidRPr="00387728" w:rsidRDefault="00387728" w:rsidP="00FB4E81">
      <w:pPr>
        <w:numPr>
          <w:ilvl w:val="0"/>
          <w:numId w:val="58"/>
        </w:numPr>
        <w:spacing w:after="0" w:line="276" w:lineRule="auto"/>
        <w:rPr>
          <w:rFonts w:ascii="Gill Sans MT" w:hAnsi="Gill Sans MT"/>
        </w:rPr>
      </w:pPr>
      <w:r w:rsidRPr="00387728">
        <w:rPr>
          <w:rFonts w:ascii="Gill Sans MT" w:hAnsi="Gill Sans MT"/>
          <w:b/>
          <w:bCs/>
        </w:rPr>
        <w:t>Total Items</w:t>
      </w:r>
      <w:r w:rsidRPr="00387728">
        <w:rPr>
          <w:rFonts w:ascii="Gill Sans MT" w:hAnsi="Gill Sans MT"/>
        </w:rPr>
        <w:t>: 60</w:t>
      </w:r>
    </w:p>
    <w:p w14:paraId="0D13C350" w14:textId="77777777" w:rsidR="00387728" w:rsidRPr="00387728" w:rsidRDefault="00387728" w:rsidP="00FB4E81">
      <w:pPr>
        <w:numPr>
          <w:ilvl w:val="0"/>
          <w:numId w:val="58"/>
        </w:numPr>
        <w:spacing w:after="0" w:line="276" w:lineRule="auto"/>
        <w:rPr>
          <w:rFonts w:ascii="Gill Sans MT" w:hAnsi="Gill Sans MT"/>
        </w:rPr>
      </w:pPr>
      <w:r w:rsidRPr="00387728">
        <w:rPr>
          <w:rFonts w:ascii="Gill Sans MT" w:hAnsi="Gill Sans MT"/>
          <w:b/>
          <w:bCs/>
        </w:rPr>
        <w:t>Format</w:t>
      </w:r>
      <w:r w:rsidRPr="00387728">
        <w:rPr>
          <w:rFonts w:ascii="Gill Sans MT" w:hAnsi="Gill Sans MT"/>
        </w:rPr>
        <w:t>: 5-point Likert scale (1 = Strongly Disagree to 5 = Strongly Agree)</w:t>
      </w:r>
    </w:p>
    <w:p w14:paraId="4A388909" w14:textId="5BBABA56" w:rsidR="005B4896" w:rsidRDefault="00387728" w:rsidP="00FB4E81">
      <w:pPr>
        <w:numPr>
          <w:ilvl w:val="0"/>
          <w:numId w:val="58"/>
        </w:numPr>
        <w:spacing w:after="0" w:line="276" w:lineRule="auto"/>
        <w:rPr>
          <w:rFonts w:ascii="Gill Sans MT" w:hAnsi="Gill Sans MT"/>
        </w:rPr>
      </w:pPr>
      <w:r w:rsidRPr="00387728">
        <w:rPr>
          <w:rFonts w:ascii="Gill Sans MT" w:hAnsi="Gill Sans MT"/>
          <w:b/>
          <w:bCs/>
        </w:rPr>
        <w:t>Purpose</w:t>
      </w:r>
      <w:r w:rsidRPr="00387728">
        <w:rPr>
          <w:rFonts w:ascii="Gill Sans MT" w:hAnsi="Gill Sans MT"/>
        </w:rPr>
        <w:t>: To assess racial trauma across interpersonal, institutional, historical, and identity-based dimensions specific to Black British experiences.</w:t>
      </w:r>
    </w:p>
    <w:p w14:paraId="258B6C4E" w14:textId="77777777" w:rsidR="005B4896" w:rsidRDefault="005B4896">
      <w:pPr>
        <w:rPr>
          <w:rFonts w:ascii="Gill Sans MT" w:hAnsi="Gill Sans MT"/>
        </w:rPr>
      </w:pPr>
      <w:r>
        <w:rPr>
          <w:rFonts w:ascii="Gill Sans MT" w:hAnsi="Gill Sans MT"/>
        </w:rPr>
        <w:br w:type="page"/>
      </w:r>
    </w:p>
    <w:p w14:paraId="75EE0837" w14:textId="1377191A" w:rsidR="00387728" w:rsidRDefault="00C228EC" w:rsidP="00FB4E81">
      <w:pPr>
        <w:spacing w:line="276" w:lineRule="auto"/>
        <w:rPr>
          <w:rFonts w:ascii="Gill Sans MT" w:hAnsi="Gill Sans MT"/>
          <w:b/>
          <w:bCs/>
        </w:rPr>
      </w:pPr>
      <w:r>
        <w:rPr>
          <w:rFonts w:ascii="Gill Sans MT" w:hAnsi="Gill Sans MT"/>
          <w:b/>
          <w:bCs/>
        </w:rPr>
        <w:lastRenderedPageBreak/>
        <w:t>3</w:t>
      </w:r>
      <w:r w:rsidR="008139E9">
        <w:rPr>
          <w:rFonts w:ascii="Gill Sans MT" w:hAnsi="Gill Sans MT"/>
          <w:b/>
          <w:bCs/>
        </w:rPr>
        <w:t>.</w:t>
      </w:r>
      <w:r w:rsidR="004E7641">
        <w:rPr>
          <w:rFonts w:ascii="Gill Sans MT" w:hAnsi="Gill Sans MT"/>
          <w:b/>
          <w:bCs/>
        </w:rPr>
        <w:t>5</w:t>
      </w:r>
      <w:r w:rsidR="008139E9">
        <w:rPr>
          <w:rFonts w:ascii="Gill Sans MT" w:hAnsi="Gill Sans MT"/>
          <w:b/>
          <w:bCs/>
        </w:rPr>
        <w:t xml:space="preserve"> </w:t>
      </w:r>
      <w:r w:rsidR="00387728" w:rsidRPr="00387728">
        <w:rPr>
          <w:rFonts w:ascii="Gill Sans MT" w:hAnsi="Gill Sans MT"/>
          <w:b/>
          <w:bCs/>
        </w:rPr>
        <w:t>Factor Structure Overview</w:t>
      </w:r>
    </w:p>
    <w:p w14:paraId="0FE40A95" w14:textId="3A1D3620" w:rsidR="00F57FD8" w:rsidRDefault="00F57FD8" w:rsidP="00FB4E81">
      <w:pPr>
        <w:spacing w:line="276" w:lineRule="auto"/>
        <w:rPr>
          <w:rFonts w:ascii="Gill Sans MT" w:hAnsi="Gill Sans MT"/>
        </w:rPr>
      </w:pPr>
      <w:r w:rsidRPr="00D3219D">
        <w:rPr>
          <w:rFonts w:ascii="Gill Sans MT" w:hAnsi="Gill Sans MT"/>
          <w:b/>
          <w:bCs/>
        </w:rPr>
        <w:t>Table 3</w:t>
      </w:r>
      <w:r w:rsidRPr="00D3219D">
        <w:rPr>
          <w:rFonts w:ascii="Gill Sans MT" w:hAnsi="Gill Sans MT"/>
        </w:rPr>
        <w:t xml:space="preserve"> </w:t>
      </w:r>
      <w:r w:rsidR="009567FE" w:rsidRPr="009567FE">
        <w:rPr>
          <w:rFonts w:ascii="Gill Sans MT" w:hAnsi="Gill Sans MT"/>
        </w:rPr>
        <w:t>BBRTQ Subscales, Item Counts, and Conceptual Descriptions</w:t>
      </w:r>
    </w:p>
    <w:tbl>
      <w:tblPr>
        <w:tblStyle w:val="PlainTable1"/>
        <w:tblW w:w="0" w:type="auto"/>
        <w:tblLook w:val="04A0" w:firstRow="1" w:lastRow="0" w:firstColumn="1" w:lastColumn="0" w:noHBand="0" w:noVBand="1"/>
      </w:tblPr>
      <w:tblGrid>
        <w:gridCol w:w="2967"/>
        <w:gridCol w:w="1227"/>
        <w:gridCol w:w="5542"/>
      </w:tblGrid>
      <w:tr w:rsidR="00387728" w:rsidRPr="00387728" w14:paraId="574A6BC8" w14:textId="77777777" w:rsidTr="00AA4E6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7BE200A" w14:textId="77777777" w:rsidR="00387728" w:rsidRPr="00387728" w:rsidRDefault="00387728" w:rsidP="00FB4E81">
            <w:pPr>
              <w:spacing w:after="160" w:line="276" w:lineRule="auto"/>
              <w:jc w:val="center"/>
              <w:rPr>
                <w:rFonts w:ascii="Gill Sans MT" w:hAnsi="Gill Sans MT"/>
              </w:rPr>
            </w:pPr>
            <w:r w:rsidRPr="00387728">
              <w:rPr>
                <w:rFonts w:ascii="Gill Sans MT" w:hAnsi="Gill Sans MT"/>
              </w:rPr>
              <w:t>Subscale</w:t>
            </w:r>
          </w:p>
        </w:tc>
        <w:tc>
          <w:tcPr>
            <w:tcW w:w="0" w:type="auto"/>
            <w:hideMark/>
          </w:tcPr>
          <w:p w14:paraId="63DFF56D" w14:textId="77777777" w:rsidR="00387728" w:rsidRPr="00387728" w:rsidRDefault="00387728" w:rsidP="00FB4E81">
            <w:pPr>
              <w:spacing w:after="160" w:line="276" w:lineRule="auto"/>
              <w:jc w:val="center"/>
              <w:cnfStyle w:val="100000000000" w:firstRow="1" w:lastRow="0" w:firstColumn="0" w:lastColumn="0" w:oddVBand="0" w:evenVBand="0" w:oddHBand="0" w:evenHBand="0" w:firstRowFirstColumn="0" w:firstRowLastColumn="0" w:lastRowFirstColumn="0" w:lastRowLastColumn="0"/>
              <w:rPr>
                <w:rFonts w:ascii="Gill Sans MT" w:hAnsi="Gill Sans MT"/>
              </w:rPr>
            </w:pPr>
            <w:r w:rsidRPr="00387728">
              <w:rPr>
                <w:rFonts w:ascii="Gill Sans MT" w:hAnsi="Gill Sans MT"/>
              </w:rPr>
              <w:t>Item Count</w:t>
            </w:r>
          </w:p>
        </w:tc>
        <w:tc>
          <w:tcPr>
            <w:tcW w:w="0" w:type="auto"/>
            <w:hideMark/>
          </w:tcPr>
          <w:p w14:paraId="21D72F9D" w14:textId="77777777" w:rsidR="00387728" w:rsidRPr="00387728" w:rsidRDefault="00387728" w:rsidP="00FB4E81">
            <w:pPr>
              <w:spacing w:after="160" w:line="276" w:lineRule="auto"/>
              <w:jc w:val="center"/>
              <w:cnfStyle w:val="100000000000" w:firstRow="1" w:lastRow="0" w:firstColumn="0" w:lastColumn="0" w:oddVBand="0" w:evenVBand="0" w:oddHBand="0" w:evenHBand="0" w:firstRowFirstColumn="0" w:firstRowLastColumn="0" w:lastRowFirstColumn="0" w:lastRowLastColumn="0"/>
              <w:rPr>
                <w:rFonts w:ascii="Gill Sans MT" w:hAnsi="Gill Sans MT"/>
              </w:rPr>
            </w:pPr>
            <w:r w:rsidRPr="00387728">
              <w:rPr>
                <w:rFonts w:ascii="Gill Sans MT" w:hAnsi="Gill Sans MT"/>
              </w:rPr>
              <w:t>Description</w:t>
            </w:r>
          </w:p>
        </w:tc>
      </w:tr>
      <w:tr w:rsidR="00387728" w:rsidRPr="00387728" w14:paraId="78E12CB8" w14:textId="77777777" w:rsidTr="00AA4E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D15B803" w14:textId="77777777" w:rsidR="00387728" w:rsidRPr="0035216C" w:rsidRDefault="00387728" w:rsidP="00FB4E81">
            <w:pPr>
              <w:spacing w:after="160" w:line="276" w:lineRule="auto"/>
              <w:rPr>
                <w:rFonts w:ascii="Gill Sans MT" w:hAnsi="Gill Sans MT"/>
                <w:b w:val="0"/>
                <w:bCs w:val="0"/>
                <w:sz w:val="22"/>
                <w:szCs w:val="22"/>
              </w:rPr>
            </w:pPr>
            <w:r w:rsidRPr="0035216C">
              <w:rPr>
                <w:rFonts w:ascii="Gill Sans MT" w:hAnsi="Gill Sans MT"/>
                <w:b w:val="0"/>
                <w:bCs w:val="0"/>
                <w:sz w:val="22"/>
                <w:szCs w:val="22"/>
              </w:rPr>
              <w:t>Emotional Impact of Racial Experiences</w:t>
            </w:r>
          </w:p>
        </w:tc>
        <w:tc>
          <w:tcPr>
            <w:tcW w:w="0" w:type="auto"/>
            <w:hideMark/>
          </w:tcPr>
          <w:p w14:paraId="25413B8F" w14:textId="11E7F47C" w:rsidR="00387728" w:rsidRPr="0035216C" w:rsidRDefault="00387728" w:rsidP="00FB4E81">
            <w:pPr>
              <w:spacing w:after="160" w:line="276" w:lineRule="auto"/>
              <w:cnfStyle w:val="000000100000" w:firstRow="0" w:lastRow="0" w:firstColumn="0" w:lastColumn="0" w:oddVBand="0" w:evenVBand="0" w:oddHBand="1" w:evenHBand="0" w:firstRowFirstColumn="0" w:firstRowLastColumn="0" w:lastRowFirstColumn="0" w:lastRowLastColumn="0"/>
              <w:rPr>
                <w:rFonts w:ascii="Gill Sans MT" w:hAnsi="Gill Sans MT"/>
                <w:sz w:val="22"/>
                <w:szCs w:val="22"/>
              </w:rPr>
            </w:pPr>
            <w:r w:rsidRPr="0035216C">
              <w:rPr>
                <w:rFonts w:ascii="Gill Sans MT" w:hAnsi="Gill Sans MT"/>
                <w:sz w:val="22"/>
                <w:szCs w:val="22"/>
              </w:rPr>
              <w:t>10 items</w:t>
            </w:r>
          </w:p>
        </w:tc>
        <w:tc>
          <w:tcPr>
            <w:tcW w:w="0" w:type="auto"/>
            <w:hideMark/>
          </w:tcPr>
          <w:p w14:paraId="5296A913" w14:textId="77777777" w:rsidR="00387728" w:rsidRPr="0035216C" w:rsidRDefault="00387728" w:rsidP="00FB4E81">
            <w:pPr>
              <w:spacing w:after="160" w:line="276" w:lineRule="auto"/>
              <w:cnfStyle w:val="000000100000" w:firstRow="0" w:lastRow="0" w:firstColumn="0" w:lastColumn="0" w:oddVBand="0" w:evenVBand="0" w:oddHBand="1" w:evenHBand="0" w:firstRowFirstColumn="0" w:firstRowLastColumn="0" w:lastRowFirstColumn="0" w:lastRowLastColumn="0"/>
              <w:rPr>
                <w:rFonts w:ascii="Gill Sans MT" w:hAnsi="Gill Sans MT"/>
                <w:sz w:val="22"/>
                <w:szCs w:val="22"/>
              </w:rPr>
            </w:pPr>
            <w:r w:rsidRPr="0035216C">
              <w:rPr>
                <w:rFonts w:ascii="Gill Sans MT" w:hAnsi="Gill Sans MT"/>
                <w:sz w:val="22"/>
                <w:szCs w:val="22"/>
              </w:rPr>
              <w:t>Captures affective responses to racialised harm, including sadness, anger, fear, and emotional numbness</w:t>
            </w:r>
          </w:p>
        </w:tc>
      </w:tr>
      <w:tr w:rsidR="00387728" w:rsidRPr="00387728" w14:paraId="23E165DD" w14:textId="77777777" w:rsidTr="00AA4E6B">
        <w:tc>
          <w:tcPr>
            <w:cnfStyle w:val="001000000000" w:firstRow="0" w:lastRow="0" w:firstColumn="1" w:lastColumn="0" w:oddVBand="0" w:evenVBand="0" w:oddHBand="0" w:evenHBand="0" w:firstRowFirstColumn="0" w:firstRowLastColumn="0" w:lastRowFirstColumn="0" w:lastRowLastColumn="0"/>
            <w:tcW w:w="0" w:type="auto"/>
            <w:hideMark/>
          </w:tcPr>
          <w:p w14:paraId="717D817B" w14:textId="77777777" w:rsidR="00387728" w:rsidRPr="0035216C" w:rsidRDefault="00387728" w:rsidP="00FB4E81">
            <w:pPr>
              <w:spacing w:after="160" w:line="276" w:lineRule="auto"/>
              <w:rPr>
                <w:rFonts w:ascii="Gill Sans MT" w:hAnsi="Gill Sans MT"/>
                <w:b w:val="0"/>
                <w:bCs w:val="0"/>
                <w:sz w:val="22"/>
                <w:szCs w:val="22"/>
              </w:rPr>
            </w:pPr>
            <w:r w:rsidRPr="0035216C">
              <w:rPr>
                <w:rFonts w:ascii="Gill Sans MT" w:hAnsi="Gill Sans MT"/>
                <w:b w:val="0"/>
                <w:bCs w:val="0"/>
                <w:sz w:val="22"/>
                <w:szCs w:val="22"/>
              </w:rPr>
              <w:t>Identity Conflict and Cultural Disconnection</w:t>
            </w:r>
          </w:p>
        </w:tc>
        <w:tc>
          <w:tcPr>
            <w:tcW w:w="0" w:type="auto"/>
            <w:hideMark/>
          </w:tcPr>
          <w:p w14:paraId="76DD4896" w14:textId="77777777" w:rsidR="00387728" w:rsidRPr="0035216C" w:rsidRDefault="00387728" w:rsidP="00FB4E81">
            <w:pPr>
              <w:spacing w:after="160" w:line="276" w:lineRule="auto"/>
              <w:cnfStyle w:val="000000000000" w:firstRow="0" w:lastRow="0" w:firstColumn="0" w:lastColumn="0" w:oddVBand="0" w:evenVBand="0" w:oddHBand="0" w:evenHBand="0" w:firstRowFirstColumn="0" w:firstRowLastColumn="0" w:lastRowFirstColumn="0" w:lastRowLastColumn="0"/>
              <w:rPr>
                <w:rFonts w:ascii="Gill Sans MT" w:hAnsi="Gill Sans MT"/>
                <w:sz w:val="22"/>
                <w:szCs w:val="22"/>
              </w:rPr>
            </w:pPr>
            <w:r w:rsidRPr="0035216C">
              <w:rPr>
                <w:rFonts w:ascii="Gill Sans MT" w:hAnsi="Gill Sans MT"/>
                <w:sz w:val="22"/>
                <w:szCs w:val="22"/>
              </w:rPr>
              <w:t>10 items</w:t>
            </w:r>
          </w:p>
        </w:tc>
        <w:tc>
          <w:tcPr>
            <w:tcW w:w="0" w:type="auto"/>
            <w:hideMark/>
          </w:tcPr>
          <w:p w14:paraId="22369AE7" w14:textId="77777777" w:rsidR="00387728" w:rsidRPr="0035216C" w:rsidRDefault="00387728" w:rsidP="00FB4E81">
            <w:pPr>
              <w:spacing w:after="160" w:line="276" w:lineRule="auto"/>
              <w:cnfStyle w:val="000000000000" w:firstRow="0" w:lastRow="0" w:firstColumn="0" w:lastColumn="0" w:oddVBand="0" w:evenVBand="0" w:oddHBand="0" w:evenHBand="0" w:firstRowFirstColumn="0" w:firstRowLastColumn="0" w:lastRowFirstColumn="0" w:lastRowLastColumn="0"/>
              <w:rPr>
                <w:rFonts w:ascii="Gill Sans MT" w:hAnsi="Gill Sans MT"/>
                <w:sz w:val="22"/>
                <w:szCs w:val="22"/>
              </w:rPr>
            </w:pPr>
            <w:r w:rsidRPr="0035216C">
              <w:rPr>
                <w:rFonts w:ascii="Gill Sans MT" w:hAnsi="Gill Sans MT"/>
                <w:sz w:val="22"/>
                <w:szCs w:val="22"/>
              </w:rPr>
              <w:t>Assesses cultural invalidation, racial misrecognition, and epistemic exclusion</w:t>
            </w:r>
          </w:p>
        </w:tc>
      </w:tr>
      <w:tr w:rsidR="00387728" w:rsidRPr="00387728" w14:paraId="0D7CF4E5" w14:textId="77777777" w:rsidTr="00AA4E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90D8FE0" w14:textId="77777777" w:rsidR="00387728" w:rsidRPr="0035216C" w:rsidRDefault="00387728" w:rsidP="00FB4E81">
            <w:pPr>
              <w:spacing w:after="160" w:line="276" w:lineRule="auto"/>
              <w:rPr>
                <w:rFonts w:ascii="Gill Sans MT" w:hAnsi="Gill Sans MT"/>
                <w:b w:val="0"/>
                <w:bCs w:val="0"/>
                <w:sz w:val="22"/>
                <w:szCs w:val="22"/>
              </w:rPr>
            </w:pPr>
            <w:r w:rsidRPr="0035216C">
              <w:rPr>
                <w:rFonts w:ascii="Gill Sans MT" w:hAnsi="Gill Sans MT"/>
                <w:b w:val="0"/>
                <w:bCs w:val="0"/>
                <w:sz w:val="22"/>
                <w:szCs w:val="22"/>
              </w:rPr>
              <w:t>Intergenerational Transmission of Trauma</w:t>
            </w:r>
          </w:p>
        </w:tc>
        <w:tc>
          <w:tcPr>
            <w:tcW w:w="0" w:type="auto"/>
            <w:hideMark/>
          </w:tcPr>
          <w:p w14:paraId="38554DE1" w14:textId="77777777" w:rsidR="00387728" w:rsidRPr="0035216C" w:rsidRDefault="00387728" w:rsidP="00FB4E81">
            <w:pPr>
              <w:spacing w:after="160" w:line="276" w:lineRule="auto"/>
              <w:cnfStyle w:val="000000100000" w:firstRow="0" w:lastRow="0" w:firstColumn="0" w:lastColumn="0" w:oddVBand="0" w:evenVBand="0" w:oddHBand="1" w:evenHBand="0" w:firstRowFirstColumn="0" w:firstRowLastColumn="0" w:lastRowFirstColumn="0" w:lastRowLastColumn="0"/>
              <w:rPr>
                <w:rFonts w:ascii="Gill Sans MT" w:hAnsi="Gill Sans MT"/>
                <w:sz w:val="22"/>
                <w:szCs w:val="22"/>
              </w:rPr>
            </w:pPr>
            <w:r w:rsidRPr="0035216C">
              <w:rPr>
                <w:rFonts w:ascii="Gill Sans MT" w:hAnsi="Gill Sans MT"/>
                <w:sz w:val="22"/>
                <w:szCs w:val="22"/>
              </w:rPr>
              <w:t>10 items</w:t>
            </w:r>
          </w:p>
        </w:tc>
        <w:tc>
          <w:tcPr>
            <w:tcW w:w="0" w:type="auto"/>
            <w:hideMark/>
          </w:tcPr>
          <w:p w14:paraId="3B9991D9" w14:textId="77777777" w:rsidR="00387728" w:rsidRPr="0035216C" w:rsidRDefault="00387728" w:rsidP="00FB4E81">
            <w:pPr>
              <w:spacing w:after="160" w:line="276" w:lineRule="auto"/>
              <w:cnfStyle w:val="000000100000" w:firstRow="0" w:lastRow="0" w:firstColumn="0" w:lastColumn="0" w:oddVBand="0" w:evenVBand="0" w:oddHBand="1" w:evenHBand="0" w:firstRowFirstColumn="0" w:firstRowLastColumn="0" w:lastRowFirstColumn="0" w:lastRowLastColumn="0"/>
              <w:rPr>
                <w:rFonts w:ascii="Gill Sans MT" w:hAnsi="Gill Sans MT"/>
                <w:sz w:val="22"/>
                <w:szCs w:val="22"/>
              </w:rPr>
            </w:pPr>
            <w:r w:rsidRPr="0035216C">
              <w:rPr>
                <w:rFonts w:ascii="Gill Sans MT" w:hAnsi="Gill Sans MT"/>
                <w:sz w:val="22"/>
                <w:szCs w:val="22"/>
              </w:rPr>
              <w:t>Measures ancestral grief, historical trauma, and familial narratives of racial harm</w:t>
            </w:r>
          </w:p>
        </w:tc>
      </w:tr>
      <w:tr w:rsidR="00387728" w:rsidRPr="00387728" w14:paraId="7F9D49F1" w14:textId="77777777" w:rsidTr="00AA4E6B">
        <w:tc>
          <w:tcPr>
            <w:cnfStyle w:val="001000000000" w:firstRow="0" w:lastRow="0" w:firstColumn="1" w:lastColumn="0" w:oddVBand="0" w:evenVBand="0" w:oddHBand="0" w:evenHBand="0" w:firstRowFirstColumn="0" w:firstRowLastColumn="0" w:lastRowFirstColumn="0" w:lastRowLastColumn="0"/>
            <w:tcW w:w="0" w:type="auto"/>
            <w:hideMark/>
          </w:tcPr>
          <w:p w14:paraId="0DCBBE7A" w14:textId="77777777" w:rsidR="00387728" w:rsidRPr="0035216C" w:rsidRDefault="00387728" w:rsidP="00FB4E81">
            <w:pPr>
              <w:spacing w:after="160" w:line="276" w:lineRule="auto"/>
              <w:rPr>
                <w:rFonts w:ascii="Gill Sans MT" w:hAnsi="Gill Sans MT"/>
                <w:b w:val="0"/>
                <w:bCs w:val="0"/>
                <w:sz w:val="22"/>
                <w:szCs w:val="22"/>
              </w:rPr>
            </w:pPr>
            <w:r w:rsidRPr="0035216C">
              <w:rPr>
                <w:rFonts w:ascii="Gill Sans MT" w:hAnsi="Gill Sans MT"/>
                <w:b w:val="0"/>
                <w:bCs w:val="0"/>
                <w:sz w:val="22"/>
                <w:szCs w:val="22"/>
              </w:rPr>
              <w:t>Systemic Exclusion and Mistrust</w:t>
            </w:r>
          </w:p>
        </w:tc>
        <w:tc>
          <w:tcPr>
            <w:tcW w:w="0" w:type="auto"/>
            <w:hideMark/>
          </w:tcPr>
          <w:p w14:paraId="5C56F428" w14:textId="77777777" w:rsidR="00387728" w:rsidRPr="0035216C" w:rsidRDefault="00387728" w:rsidP="00FB4E81">
            <w:pPr>
              <w:spacing w:after="160" w:line="276" w:lineRule="auto"/>
              <w:cnfStyle w:val="000000000000" w:firstRow="0" w:lastRow="0" w:firstColumn="0" w:lastColumn="0" w:oddVBand="0" w:evenVBand="0" w:oddHBand="0" w:evenHBand="0" w:firstRowFirstColumn="0" w:firstRowLastColumn="0" w:lastRowFirstColumn="0" w:lastRowLastColumn="0"/>
              <w:rPr>
                <w:rFonts w:ascii="Gill Sans MT" w:hAnsi="Gill Sans MT"/>
                <w:sz w:val="22"/>
                <w:szCs w:val="22"/>
              </w:rPr>
            </w:pPr>
            <w:r w:rsidRPr="0035216C">
              <w:rPr>
                <w:rFonts w:ascii="Gill Sans MT" w:hAnsi="Gill Sans MT"/>
                <w:sz w:val="22"/>
                <w:szCs w:val="22"/>
              </w:rPr>
              <w:t>10 items</w:t>
            </w:r>
          </w:p>
        </w:tc>
        <w:tc>
          <w:tcPr>
            <w:tcW w:w="0" w:type="auto"/>
            <w:hideMark/>
          </w:tcPr>
          <w:p w14:paraId="0EE19852" w14:textId="77777777" w:rsidR="00387728" w:rsidRPr="0035216C" w:rsidRDefault="00387728" w:rsidP="00FB4E81">
            <w:pPr>
              <w:spacing w:after="160" w:line="276" w:lineRule="auto"/>
              <w:cnfStyle w:val="000000000000" w:firstRow="0" w:lastRow="0" w:firstColumn="0" w:lastColumn="0" w:oddVBand="0" w:evenVBand="0" w:oddHBand="0" w:evenHBand="0" w:firstRowFirstColumn="0" w:firstRowLastColumn="0" w:lastRowFirstColumn="0" w:lastRowLastColumn="0"/>
              <w:rPr>
                <w:rFonts w:ascii="Gill Sans MT" w:hAnsi="Gill Sans MT"/>
                <w:sz w:val="22"/>
                <w:szCs w:val="22"/>
              </w:rPr>
            </w:pPr>
            <w:r w:rsidRPr="0035216C">
              <w:rPr>
                <w:rFonts w:ascii="Gill Sans MT" w:hAnsi="Gill Sans MT"/>
                <w:sz w:val="22"/>
                <w:szCs w:val="22"/>
              </w:rPr>
              <w:t>Evaluates betrayal and exclusion across UK institutions (e.g., education, healthcare, policing)</w:t>
            </w:r>
          </w:p>
        </w:tc>
      </w:tr>
      <w:tr w:rsidR="00387728" w:rsidRPr="00387728" w14:paraId="3C902CD7" w14:textId="77777777" w:rsidTr="00AA4E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02A9FAE" w14:textId="77777777" w:rsidR="00387728" w:rsidRPr="0035216C" w:rsidRDefault="00387728" w:rsidP="00FB4E81">
            <w:pPr>
              <w:spacing w:after="160" w:line="276" w:lineRule="auto"/>
              <w:rPr>
                <w:rFonts w:ascii="Gill Sans MT" w:hAnsi="Gill Sans MT"/>
                <w:b w:val="0"/>
                <w:bCs w:val="0"/>
                <w:sz w:val="22"/>
                <w:szCs w:val="22"/>
              </w:rPr>
            </w:pPr>
            <w:r w:rsidRPr="0035216C">
              <w:rPr>
                <w:rFonts w:ascii="Gill Sans MT" w:hAnsi="Gill Sans MT"/>
                <w:b w:val="0"/>
                <w:bCs w:val="0"/>
                <w:sz w:val="22"/>
                <w:szCs w:val="22"/>
              </w:rPr>
              <w:t>Resilience, Resistance, and Healing</w:t>
            </w:r>
          </w:p>
        </w:tc>
        <w:tc>
          <w:tcPr>
            <w:tcW w:w="0" w:type="auto"/>
            <w:hideMark/>
          </w:tcPr>
          <w:p w14:paraId="0E3CBD3E" w14:textId="77777777" w:rsidR="00387728" w:rsidRPr="0035216C" w:rsidRDefault="00387728" w:rsidP="00FB4E81">
            <w:pPr>
              <w:spacing w:after="160" w:line="276" w:lineRule="auto"/>
              <w:cnfStyle w:val="000000100000" w:firstRow="0" w:lastRow="0" w:firstColumn="0" w:lastColumn="0" w:oddVBand="0" w:evenVBand="0" w:oddHBand="1" w:evenHBand="0" w:firstRowFirstColumn="0" w:firstRowLastColumn="0" w:lastRowFirstColumn="0" w:lastRowLastColumn="0"/>
              <w:rPr>
                <w:rFonts w:ascii="Gill Sans MT" w:hAnsi="Gill Sans MT"/>
                <w:sz w:val="22"/>
                <w:szCs w:val="22"/>
              </w:rPr>
            </w:pPr>
            <w:r w:rsidRPr="0035216C">
              <w:rPr>
                <w:rFonts w:ascii="Gill Sans MT" w:hAnsi="Gill Sans MT"/>
                <w:sz w:val="22"/>
                <w:szCs w:val="22"/>
              </w:rPr>
              <w:t>10 items</w:t>
            </w:r>
          </w:p>
        </w:tc>
        <w:tc>
          <w:tcPr>
            <w:tcW w:w="0" w:type="auto"/>
            <w:hideMark/>
          </w:tcPr>
          <w:p w14:paraId="4B349DA2" w14:textId="77777777" w:rsidR="00387728" w:rsidRPr="0035216C" w:rsidRDefault="00387728" w:rsidP="00FB4E81">
            <w:pPr>
              <w:spacing w:after="160" w:line="276" w:lineRule="auto"/>
              <w:cnfStyle w:val="000000100000" w:firstRow="0" w:lastRow="0" w:firstColumn="0" w:lastColumn="0" w:oddVBand="0" w:evenVBand="0" w:oddHBand="1" w:evenHBand="0" w:firstRowFirstColumn="0" w:firstRowLastColumn="0" w:lastRowFirstColumn="0" w:lastRowLastColumn="0"/>
              <w:rPr>
                <w:rFonts w:ascii="Gill Sans MT" w:hAnsi="Gill Sans MT"/>
                <w:sz w:val="22"/>
                <w:szCs w:val="22"/>
              </w:rPr>
            </w:pPr>
            <w:r w:rsidRPr="0035216C">
              <w:rPr>
                <w:rFonts w:ascii="Gill Sans MT" w:hAnsi="Gill Sans MT"/>
                <w:sz w:val="22"/>
                <w:szCs w:val="22"/>
              </w:rPr>
              <w:t>Captures culturally grounded coping, community solidarity, and post-traumatic growth</w:t>
            </w:r>
          </w:p>
        </w:tc>
      </w:tr>
      <w:tr w:rsidR="00387728" w:rsidRPr="00387728" w14:paraId="4FCFFBC7" w14:textId="77777777" w:rsidTr="00AA4E6B">
        <w:tc>
          <w:tcPr>
            <w:cnfStyle w:val="001000000000" w:firstRow="0" w:lastRow="0" w:firstColumn="1" w:lastColumn="0" w:oddVBand="0" w:evenVBand="0" w:oddHBand="0" w:evenHBand="0" w:firstRowFirstColumn="0" w:firstRowLastColumn="0" w:lastRowFirstColumn="0" w:lastRowLastColumn="0"/>
            <w:tcW w:w="0" w:type="auto"/>
            <w:hideMark/>
          </w:tcPr>
          <w:p w14:paraId="412A276C" w14:textId="77777777" w:rsidR="00940A5F" w:rsidRPr="0035216C" w:rsidRDefault="00940A5F" w:rsidP="00FB4E81">
            <w:pPr>
              <w:pStyle w:val="NoSpacing"/>
              <w:spacing w:line="276" w:lineRule="auto"/>
              <w:rPr>
                <w:sz w:val="22"/>
                <w:szCs w:val="22"/>
              </w:rPr>
            </w:pPr>
          </w:p>
          <w:p w14:paraId="0214F78C" w14:textId="0CD7782E" w:rsidR="00387728" w:rsidRPr="0035216C" w:rsidRDefault="00387728" w:rsidP="00FB4E81">
            <w:pPr>
              <w:spacing w:after="160" w:line="276" w:lineRule="auto"/>
              <w:rPr>
                <w:rFonts w:ascii="Gill Sans MT" w:hAnsi="Gill Sans MT"/>
                <w:b w:val="0"/>
                <w:bCs w:val="0"/>
                <w:sz w:val="22"/>
                <w:szCs w:val="22"/>
              </w:rPr>
            </w:pPr>
            <w:r w:rsidRPr="0035216C">
              <w:rPr>
                <w:rFonts w:ascii="Gill Sans MT" w:hAnsi="Gill Sans MT"/>
                <w:b w:val="0"/>
                <w:bCs w:val="0"/>
                <w:sz w:val="22"/>
                <w:szCs w:val="22"/>
              </w:rPr>
              <w:t>Survival Stress Patterns</w:t>
            </w:r>
          </w:p>
        </w:tc>
        <w:tc>
          <w:tcPr>
            <w:tcW w:w="0" w:type="auto"/>
            <w:hideMark/>
          </w:tcPr>
          <w:p w14:paraId="79695540" w14:textId="0937223E" w:rsidR="00387728" w:rsidRPr="0035216C" w:rsidRDefault="00387728" w:rsidP="00FB4E81">
            <w:pPr>
              <w:spacing w:after="160" w:line="276" w:lineRule="auto"/>
              <w:cnfStyle w:val="000000000000" w:firstRow="0" w:lastRow="0" w:firstColumn="0" w:lastColumn="0" w:oddVBand="0" w:evenVBand="0" w:oddHBand="0" w:evenHBand="0" w:firstRowFirstColumn="0" w:firstRowLastColumn="0" w:lastRowFirstColumn="0" w:lastRowLastColumn="0"/>
              <w:rPr>
                <w:rFonts w:ascii="Gill Sans MT" w:hAnsi="Gill Sans MT"/>
                <w:sz w:val="22"/>
                <w:szCs w:val="22"/>
              </w:rPr>
            </w:pPr>
            <w:r w:rsidRPr="0035216C">
              <w:rPr>
                <w:rFonts w:ascii="Gill Sans MT" w:hAnsi="Gill Sans MT"/>
                <w:sz w:val="22"/>
                <w:szCs w:val="22"/>
              </w:rPr>
              <w:t>10 items</w:t>
            </w:r>
          </w:p>
        </w:tc>
        <w:tc>
          <w:tcPr>
            <w:tcW w:w="0" w:type="auto"/>
            <w:hideMark/>
          </w:tcPr>
          <w:p w14:paraId="58F87C93" w14:textId="77777777" w:rsidR="00387728" w:rsidRPr="0035216C" w:rsidRDefault="00387728" w:rsidP="00FB4E81">
            <w:pPr>
              <w:spacing w:after="160" w:line="276" w:lineRule="auto"/>
              <w:cnfStyle w:val="000000000000" w:firstRow="0" w:lastRow="0" w:firstColumn="0" w:lastColumn="0" w:oddVBand="0" w:evenVBand="0" w:oddHBand="0" w:evenHBand="0" w:firstRowFirstColumn="0" w:firstRowLastColumn="0" w:lastRowFirstColumn="0" w:lastRowLastColumn="0"/>
              <w:rPr>
                <w:rFonts w:ascii="Gill Sans MT" w:hAnsi="Gill Sans MT"/>
                <w:sz w:val="22"/>
                <w:szCs w:val="22"/>
              </w:rPr>
            </w:pPr>
            <w:r w:rsidRPr="0035216C">
              <w:rPr>
                <w:rFonts w:ascii="Gill Sans MT" w:hAnsi="Gill Sans MT"/>
                <w:sz w:val="22"/>
                <w:szCs w:val="22"/>
              </w:rPr>
              <w:t>Assesses behavioural and physiological adaptations to racialised threat environments</w:t>
            </w:r>
          </w:p>
        </w:tc>
      </w:tr>
    </w:tbl>
    <w:p w14:paraId="5D80DDBC" w14:textId="77777777" w:rsidR="005B4896" w:rsidRDefault="005B4896" w:rsidP="00FB4E81">
      <w:pPr>
        <w:spacing w:line="276" w:lineRule="auto"/>
        <w:rPr>
          <w:rFonts w:ascii="Gill Sans MT" w:hAnsi="Gill Sans MT"/>
          <w:b/>
          <w:bCs/>
        </w:rPr>
      </w:pPr>
    </w:p>
    <w:p w14:paraId="78FADC1A" w14:textId="3CBDEED9" w:rsidR="00387728" w:rsidRPr="00387728" w:rsidRDefault="00C228EC" w:rsidP="00FB4E81">
      <w:pPr>
        <w:spacing w:line="276" w:lineRule="auto"/>
        <w:rPr>
          <w:rFonts w:ascii="Gill Sans MT" w:hAnsi="Gill Sans MT"/>
          <w:b/>
          <w:bCs/>
        </w:rPr>
      </w:pPr>
      <w:r>
        <w:rPr>
          <w:rFonts w:ascii="Gill Sans MT" w:hAnsi="Gill Sans MT"/>
          <w:b/>
          <w:bCs/>
        </w:rPr>
        <w:t>3</w:t>
      </w:r>
      <w:r w:rsidR="008139E9">
        <w:rPr>
          <w:rFonts w:ascii="Gill Sans MT" w:hAnsi="Gill Sans MT"/>
          <w:b/>
          <w:bCs/>
        </w:rPr>
        <w:t>.</w:t>
      </w:r>
      <w:r w:rsidR="004E7641">
        <w:rPr>
          <w:rFonts w:ascii="Gill Sans MT" w:hAnsi="Gill Sans MT"/>
          <w:b/>
          <w:bCs/>
        </w:rPr>
        <w:t>6</w:t>
      </w:r>
      <w:r w:rsidR="008139E9">
        <w:rPr>
          <w:rFonts w:ascii="Gill Sans MT" w:hAnsi="Gill Sans MT"/>
          <w:b/>
          <w:bCs/>
        </w:rPr>
        <w:t xml:space="preserve"> </w:t>
      </w:r>
      <w:r w:rsidR="00387728" w:rsidRPr="00387728">
        <w:rPr>
          <w:rFonts w:ascii="Gill Sans MT" w:hAnsi="Gill Sans MT"/>
          <w:b/>
          <w:bCs/>
        </w:rPr>
        <w:t>Phase 2: Item Generation and Refinement</w:t>
      </w:r>
    </w:p>
    <w:p w14:paraId="7D2ADFDD" w14:textId="77777777" w:rsidR="00B01EF0" w:rsidRDefault="00387728" w:rsidP="00FB4E81">
      <w:pPr>
        <w:spacing w:line="276" w:lineRule="auto"/>
        <w:rPr>
          <w:rFonts w:ascii="Gill Sans MT" w:hAnsi="Gill Sans MT"/>
        </w:rPr>
      </w:pPr>
      <w:r w:rsidRPr="00387728">
        <w:rPr>
          <w:rFonts w:ascii="Gill Sans MT" w:hAnsi="Gill Sans MT"/>
        </w:rPr>
        <w:t xml:space="preserve">Initial item development was informed by thematic analysis of qualitative interviews with 25 Black British adults, selected for their diverse experiences across education, healthcare, media, and policing. Interviews were transcribed and coded inductively to identify recurring themes, emotional patterns, and sociocultural references. These themes informed the preliminary item pool, which was then reviewed by an expert panel comprising psychologists, cultural theorists, and community advocates. The panel evaluated items for clarity, relevance, and cultural resonance, applying content validity indexing to refine language and structure. Items were revised to reflect UK-specific sociopolitical references, including the Windrush scandal, disproportionate school exclusions, and media erasure. </w:t>
      </w:r>
    </w:p>
    <w:p w14:paraId="4ADAD758" w14:textId="0BDB752C" w:rsidR="00387728" w:rsidRDefault="00387728" w:rsidP="00FB4E81">
      <w:pPr>
        <w:spacing w:line="276" w:lineRule="auto"/>
        <w:rPr>
          <w:rFonts w:ascii="Gill Sans MT" w:hAnsi="Gill Sans MT"/>
        </w:rPr>
      </w:pPr>
      <w:r w:rsidRPr="00387728">
        <w:rPr>
          <w:rFonts w:ascii="Gill Sans MT" w:hAnsi="Gill Sans MT"/>
        </w:rPr>
        <w:t>The resulting draft scale included items targeting emotional distress, institutional betrayal, racialised identity disruption, intergenerational trauma, and resilience. The BBRTQ was designed as a modular tool, allowing for flexible use in clinical, educational, and research settings, with potential for adaptation across age groups and regional contexts.</w:t>
      </w:r>
    </w:p>
    <w:p w14:paraId="48841539" w14:textId="78228353" w:rsidR="00387728" w:rsidRPr="00387728" w:rsidRDefault="00C228EC" w:rsidP="00FB4E81">
      <w:pPr>
        <w:spacing w:line="276" w:lineRule="auto"/>
        <w:rPr>
          <w:rFonts w:ascii="Gill Sans MT" w:hAnsi="Gill Sans MT"/>
          <w:b/>
          <w:bCs/>
        </w:rPr>
      </w:pPr>
      <w:r>
        <w:rPr>
          <w:rFonts w:ascii="Gill Sans MT" w:hAnsi="Gill Sans MT"/>
          <w:b/>
          <w:bCs/>
        </w:rPr>
        <w:t>3</w:t>
      </w:r>
      <w:r w:rsidR="008139E9">
        <w:rPr>
          <w:rFonts w:ascii="Gill Sans MT" w:hAnsi="Gill Sans MT"/>
          <w:b/>
          <w:bCs/>
        </w:rPr>
        <w:t>.</w:t>
      </w:r>
      <w:r w:rsidR="004E7641">
        <w:rPr>
          <w:rFonts w:ascii="Gill Sans MT" w:hAnsi="Gill Sans MT"/>
          <w:b/>
          <w:bCs/>
        </w:rPr>
        <w:t>7</w:t>
      </w:r>
      <w:r w:rsidR="008139E9">
        <w:rPr>
          <w:rFonts w:ascii="Gill Sans MT" w:hAnsi="Gill Sans MT"/>
          <w:b/>
          <w:bCs/>
        </w:rPr>
        <w:t xml:space="preserve"> </w:t>
      </w:r>
      <w:r w:rsidR="00387728" w:rsidRPr="00387728">
        <w:rPr>
          <w:rFonts w:ascii="Gill Sans MT" w:hAnsi="Gill Sans MT"/>
          <w:b/>
          <w:bCs/>
        </w:rPr>
        <w:t>Phase 3: Pilot Testing and Psychometric Validation</w:t>
      </w:r>
    </w:p>
    <w:p w14:paraId="7D6D0D92" w14:textId="4910D01A" w:rsidR="00AB39F2" w:rsidRDefault="00B5534C" w:rsidP="00FB4E81">
      <w:pPr>
        <w:pStyle w:val="NoSpacing"/>
        <w:spacing w:line="276" w:lineRule="auto"/>
        <w:rPr>
          <w:rFonts w:ascii="Gill Sans MT" w:hAnsi="Gill Sans MT"/>
        </w:rPr>
      </w:pPr>
      <w:r w:rsidRPr="00B5534C">
        <w:rPr>
          <w:rFonts w:ascii="Gill Sans MT" w:hAnsi="Gill Sans MT"/>
        </w:rPr>
        <w:t>In early 2025, the BBRTQ underwent pilot testing with a sample of 45 Black British participants. The objective was to evaluate the tool’s psychometric integrity and its capacity to capture racial trauma in a culturally specific and clinically meaningful way. Participants completed the BBRTQ alongside a battery of established psychological instruments to assess convergent and discriminant validity</w:t>
      </w:r>
      <w:r>
        <w:rPr>
          <w:rFonts w:ascii="Gill Sans MT" w:hAnsi="Gill Sans MT"/>
        </w:rPr>
        <w:t>.</w:t>
      </w:r>
    </w:p>
    <w:p w14:paraId="0BD4C2FA" w14:textId="77777777" w:rsidR="00BB43CE" w:rsidRDefault="00BB43CE" w:rsidP="00FB4E81">
      <w:pPr>
        <w:pStyle w:val="NoSpacing"/>
        <w:spacing w:line="276" w:lineRule="auto"/>
        <w:rPr>
          <w:rFonts w:ascii="Gill Sans MT" w:hAnsi="Gill Sans MT"/>
        </w:rPr>
      </w:pPr>
    </w:p>
    <w:p w14:paraId="5E1C3B6B" w14:textId="5EE6E23B" w:rsidR="00B5534C" w:rsidRPr="00BB43CE" w:rsidRDefault="00BB43CE" w:rsidP="00FB4E81">
      <w:pPr>
        <w:pStyle w:val="NoSpacing"/>
        <w:spacing w:line="276" w:lineRule="auto"/>
        <w:rPr>
          <w:rFonts w:ascii="Gill Sans MT" w:hAnsi="Gill Sans MT"/>
          <w:b/>
          <w:bCs/>
        </w:rPr>
      </w:pPr>
      <w:r>
        <w:rPr>
          <w:rFonts w:ascii="Gill Sans MT" w:hAnsi="Gill Sans MT"/>
          <w:b/>
          <w:bCs/>
        </w:rPr>
        <w:t xml:space="preserve">3.8 </w:t>
      </w:r>
      <w:r w:rsidRPr="0041347D">
        <w:rPr>
          <w:rFonts w:ascii="Gill Sans MT" w:hAnsi="Gill Sans MT"/>
          <w:b/>
          <w:bCs/>
        </w:rPr>
        <w:t>Comparative Instruments</w:t>
      </w:r>
    </w:p>
    <w:p w14:paraId="0F3014DB" w14:textId="77777777" w:rsidR="00BB43CE" w:rsidRDefault="00BB43CE" w:rsidP="00FB4E81">
      <w:pPr>
        <w:pStyle w:val="NoSpacing"/>
        <w:spacing w:line="276" w:lineRule="auto"/>
      </w:pPr>
    </w:p>
    <w:p w14:paraId="10F15F76" w14:textId="65A1787F" w:rsidR="0041347D" w:rsidRPr="0041347D" w:rsidRDefault="0041347D" w:rsidP="00FB4E81">
      <w:pPr>
        <w:spacing w:line="276" w:lineRule="auto"/>
        <w:rPr>
          <w:rFonts w:ascii="Gill Sans MT" w:hAnsi="Gill Sans MT"/>
          <w:b/>
          <w:bCs/>
        </w:rPr>
      </w:pPr>
      <w:r w:rsidRPr="0041347D">
        <w:rPr>
          <w:rFonts w:ascii="Gill Sans MT" w:hAnsi="Gill Sans MT"/>
          <w:b/>
          <w:bCs/>
        </w:rPr>
        <w:t xml:space="preserve">Table </w:t>
      </w:r>
      <w:r w:rsidR="009567FE">
        <w:rPr>
          <w:rFonts w:ascii="Gill Sans MT" w:hAnsi="Gill Sans MT"/>
          <w:b/>
          <w:bCs/>
        </w:rPr>
        <w:t>4</w:t>
      </w:r>
      <w:r w:rsidRPr="0041347D">
        <w:rPr>
          <w:rFonts w:ascii="Gill Sans MT" w:hAnsi="Gill Sans MT"/>
          <w:b/>
          <w:bCs/>
        </w:rPr>
        <w:t xml:space="preserve">. </w:t>
      </w:r>
      <w:r w:rsidRPr="0041347D">
        <w:rPr>
          <w:rFonts w:ascii="Gill Sans MT" w:hAnsi="Gill Sans MT"/>
        </w:rPr>
        <w:t>Comparative Instruments Used in BBRTQ Pilot Testing</w:t>
      </w:r>
    </w:p>
    <w:tbl>
      <w:tblPr>
        <w:tblStyle w:val="PlainTable1"/>
        <w:tblW w:w="0" w:type="auto"/>
        <w:tblLook w:val="04A0" w:firstRow="1" w:lastRow="0" w:firstColumn="1" w:lastColumn="0" w:noHBand="0" w:noVBand="1"/>
      </w:tblPr>
      <w:tblGrid>
        <w:gridCol w:w="3377"/>
        <w:gridCol w:w="1460"/>
        <w:gridCol w:w="709"/>
        <w:gridCol w:w="4190"/>
      </w:tblGrid>
      <w:tr w:rsidR="0041347D" w:rsidRPr="0041347D" w14:paraId="289B40D1" w14:textId="77777777" w:rsidTr="0041347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6E7E69F" w14:textId="77777777" w:rsidR="0041347D" w:rsidRPr="0041347D" w:rsidRDefault="0041347D" w:rsidP="00FB4E81">
            <w:pPr>
              <w:spacing w:after="160" w:line="276" w:lineRule="auto"/>
              <w:rPr>
                <w:rFonts w:ascii="Gill Sans MT" w:hAnsi="Gill Sans MT"/>
                <w:sz w:val="22"/>
                <w:szCs w:val="22"/>
              </w:rPr>
            </w:pPr>
            <w:r w:rsidRPr="0041347D">
              <w:rPr>
                <w:rFonts w:ascii="Gill Sans MT" w:hAnsi="Gill Sans MT"/>
                <w:sz w:val="22"/>
                <w:szCs w:val="22"/>
              </w:rPr>
              <w:t>Instrument</w:t>
            </w:r>
          </w:p>
        </w:tc>
        <w:tc>
          <w:tcPr>
            <w:tcW w:w="0" w:type="auto"/>
            <w:hideMark/>
          </w:tcPr>
          <w:p w14:paraId="59871071" w14:textId="77777777" w:rsidR="0041347D" w:rsidRPr="0041347D" w:rsidRDefault="0041347D" w:rsidP="00FB4E81">
            <w:pPr>
              <w:spacing w:after="160" w:line="276" w:lineRule="auto"/>
              <w:cnfStyle w:val="100000000000" w:firstRow="1" w:lastRow="0" w:firstColumn="0" w:lastColumn="0" w:oddVBand="0" w:evenVBand="0" w:oddHBand="0" w:evenHBand="0" w:firstRowFirstColumn="0" w:firstRowLastColumn="0" w:lastRowFirstColumn="0" w:lastRowLastColumn="0"/>
              <w:rPr>
                <w:rFonts w:ascii="Gill Sans MT" w:hAnsi="Gill Sans MT"/>
                <w:sz w:val="22"/>
                <w:szCs w:val="22"/>
              </w:rPr>
            </w:pPr>
            <w:r w:rsidRPr="0041347D">
              <w:rPr>
                <w:rFonts w:ascii="Gill Sans MT" w:hAnsi="Gill Sans MT"/>
                <w:sz w:val="22"/>
                <w:szCs w:val="22"/>
              </w:rPr>
              <w:t>Authors</w:t>
            </w:r>
          </w:p>
        </w:tc>
        <w:tc>
          <w:tcPr>
            <w:tcW w:w="0" w:type="auto"/>
            <w:hideMark/>
          </w:tcPr>
          <w:p w14:paraId="2D8E9F1C" w14:textId="77777777" w:rsidR="0041347D" w:rsidRPr="0041347D" w:rsidRDefault="0041347D" w:rsidP="00FB4E81">
            <w:pPr>
              <w:spacing w:after="160" w:line="276" w:lineRule="auto"/>
              <w:cnfStyle w:val="100000000000" w:firstRow="1" w:lastRow="0" w:firstColumn="0" w:lastColumn="0" w:oddVBand="0" w:evenVBand="0" w:oddHBand="0" w:evenHBand="0" w:firstRowFirstColumn="0" w:firstRowLastColumn="0" w:lastRowFirstColumn="0" w:lastRowLastColumn="0"/>
              <w:rPr>
                <w:rFonts w:ascii="Gill Sans MT" w:hAnsi="Gill Sans MT"/>
                <w:sz w:val="22"/>
                <w:szCs w:val="22"/>
              </w:rPr>
            </w:pPr>
            <w:r w:rsidRPr="0041347D">
              <w:rPr>
                <w:rFonts w:ascii="Gill Sans MT" w:hAnsi="Gill Sans MT"/>
                <w:sz w:val="22"/>
                <w:szCs w:val="22"/>
              </w:rPr>
              <w:t>Year</w:t>
            </w:r>
          </w:p>
        </w:tc>
        <w:tc>
          <w:tcPr>
            <w:tcW w:w="0" w:type="auto"/>
            <w:hideMark/>
          </w:tcPr>
          <w:p w14:paraId="537AC9C4" w14:textId="77777777" w:rsidR="0041347D" w:rsidRPr="0041347D" w:rsidRDefault="0041347D" w:rsidP="00FB4E81">
            <w:pPr>
              <w:spacing w:after="160" w:line="276" w:lineRule="auto"/>
              <w:cnfStyle w:val="100000000000" w:firstRow="1" w:lastRow="0" w:firstColumn="0" w:lastColumn="0" w:oddVBand="0" w:evenVBand="0" w:oddHBand="0" w:evenHBand="0" w:firstRowFirstColumn="0" w:firstRowLastColumn="0" w:lastRowFirstColumn="0" w:lastRowLastColumn="0"/>
              <w:rPr>
                <w:rFonts w:ascii="Gill Sans MT" w:hAnsi="Gill Sans MT"/>
                <w:sz w:val="22"/>
                <w:szCs w:val="22"/>
              </w:rPr>
            </w:pPr>
            <w:r w:rsidRPr="0041347D">
              <w:rPr>
                <w:rFonts w:ascii="Gill Sans MT" w:hAnsi="Gill Sans MT"/>
                <w:sz w:val="22"/>
                <w:szCs w:val="22"/>
              </w:rPr>
              <w:t>Purpose</w:t>
            </w:r>
          </w:p>
        </w:tc>
      </w:tr>
      <w:tr w:rsidR="0041347D" w:rsidRPr="0041347D" w14:paraId="63E624BA" w14:textId="77777777" w:rsidTr="004134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71258E1" w14:textId="77777777" w:rsidR="0041347D" w:rsidRPr="0041347D" w:rsidRDefault="0041347D" w:rsidP="00FB4E81">
            <w:pPr>
              <w:spacing w:after="160" w:line="276" w:lineRule="auto"/>
              <w:rPr>
                <w:rFonts w:ascii="Gill Sans MT" w:hAnsi="Gill Sans MT"/>
                <w:sz w:val="20"/>
                <w:szCs w:val="20"/>
              </w:rPr>
            </w:pPr>
            <w:r w:rsidRPr="0041347D">
              <w:rPr>
                <w:rFonts w:ascii="Gill Sans MT" w:hAnsi="Gill Sans MT"/>
                <w:sz w:val="20"/>
                <w:szCs w:val="20"/>
              </w:rPr>
              <w:t>Race-Based Traumatic Stress Symptom Scale (RBTSSS)</w:t>
            </w:r>
          </w:p>
        </w:tc>
        <w:tc>
          <w:tcPr>
            <w:tcW w:w="0" w:type="auto"/>
            <w:hideMark/>
          </w:tcPr>
          <w:p w14:paraId="45E8B077" w14:textId="77777777" w:rsidR="0041347D" w:rsidRPr="0041347D" w:rsidRDefault="0041347D" w:rsidP="00FB4E81">
            <w:pPr>
              <w:spacing w:after="160" w:line="276" w:lineRule="auto"/>
              <w:cnfStyle w:val="000000100000" w:firstRow="0" w:lastRow="0" w:firstColumn="0" w:lastColumn="0" w:oddVBand="0" w:evenVBand="0" w:oddHBand="1" w:evenHBand="0" w:firstRowFirstColumn="0" w:firstRowLastColumn="0" w:lastRowFirstColumn="0" w:lastRowLastColumn="0"/>
              <w:rPr>
                <w:rFonts w:ascii="Gill Sans MT" w:hAnsi="Gill Sans MT"/>
                <w:sz w:val="20"/>
                <w:szCs w:val="20"/>
              </w:rPr>
            </w:pPr>
            <w:r w:rsidRPr="0041347D">
              <w:rPr>
                <w:rFonts w:ascii="Gill Sans MT" w:hAnsi="Gill Sans MT"/>
                <w:sz w:val="20"/>
                <w:szCs w:val="20"/>
              </w:rPr>
              <w:t>Carter</w:t>
            </w:r>
          </w:p>
        </w:tc>
        <w:tc>
          <w:tcPr>
            <w:tcW w:w="0" w:type="auto"/>
            <w:hideMark/>
          </w:tcPr>
          <w:p w14:paraId="0AC6A152" w14:textId="77777777" w:rsidR="0041347D" w:rsidRPr="0041347D" w:rsidRDefault="0041347D" w:rsidP="00FB4E81">
            <w:pPr>
              <w:spacing w:after="160" w:line="276" w:lineRule="auto"/>
              <w:cnfStyle w:val="000000100000" w:firstRow="0" w:lastRow="0" w:firstColumn="0" w:lastColumn="0" w:oddVBand="0" w:evenVBand="0" w:oddHBand="1" w:evenHBand="0" w:firstRowFirstColumn="0" w:firstRowLastColumn="0" w:lastRowFirstColumn="0" w:lastRowLastColumn="0"/>
              <w:rPr>
                <w:rFonts w:ascii="Gill Sans MT" w:hAnsi="Gill Sans MT"/>
                <w:sz w:val="20"/>
                <w:szCs w:val="20"/>
              </w:rPr>
            </w:pPr>
            <w:r w:rsidRPr="0041347D">
              <w:rPr>
                <w:rFonts w:ascii="Gill Sans MT" w:hAnsi="Gill Sans MT"/>
                <w:sz w:val="20"/>
                <w:szCs w:val="20"/>
              </w:rPr>
              <w:t>2007</w:t>
            </w:r>
          </w:p>
        </w:tc>
        <w:tc>
          <w:tcPr>
            <w:tcW w:w="0" w:type="auto"/>
            <w:hideMark/>
          </w:tcPr>
          <w:p w14:paraId="01278356" w14:textId="77777777" w:rsidR="0041347D" w:rsidRPr="0041347D" w:rsidRDefault="0041347D" w:rsidP="00FB4E81">
            <w:pPr>
              <w:spacing w:after="160" w:line="276" w:lineRule="auto"/>
              <w:cnfStyle w:val="000000100000" w:firstRow="0" w:lastRow="0" w:firstColumn="0" w:lastColumn="0" w:oddVBand="0" w:evenVBand="0" w:oddHBand="1" w:evenHBand="0" w:firstRowFirstColumn="0" w:firstRowLastColumn="0" w:lastRowFirstColumn="0" w:lastRowLastColumn="0"/>
              <w:rPr>
                <w:rFonts w:ascii="Gill Sans MT" w:hAnsi="Gill Sans MT"/>
                <w:sz w:val="20"/>
                <w:szCs w:val="20"/>
              </w:rPr>
            </w:pPr>
            <w:r w:rsidRPr="0041347D">
              <w:rPr>
                <w:rFonts w:ascii="Gill Sans MT" w:hAnsi="Gill Sans MT"/>
                <w:sz w:val="20"/>
                <w:szCs w:val="20"/>
              </w:rPr>
              <w:t>Measures psychological symptoms resulting from race-based traumatic experiences</w:t>
            </w:r>
          </w:p>
        </w:tc>
      </w:tr>
      <w:tr w:rsidR="0041347D" w:rsidRPr="0041347D" w14:paraId="36C3FA9A" w14:textId="77777777" w:rsidTr="0041347D">
        <w:tc>
          <w:tcPr>
            <w:cnfStyle w:val="001000000000" w:firstRow="0" w:lastRow="0" w:firstColumn="1" w:lastColumn="0" w:oddVBand="0" w:evenVBand="0" w:oddHBand="0" w:evenHBand="0" w:firstRowFirstColumn="0" w:firstRowLastColumn="0" w:lastRowFirstColumn="0" w:lastRowLastColumn="0"/>
            <w:tcW w:w="0" w:type="auto"/>
            <w:hideMark/>
          </w:tcPr>
          <w:p w14:paraId="0F1BCD0A" w14:textId="77777777" w:rsidR="0041347D" w:rsidRPr="0041347D" w:rsidRDefault="0041347D" w:rsidP="00FB4E81">
            <w:pPr>
              <w:spacing w:after="160" w:line="276" w:lineRule="auto"/>
              <w:rPr>
                <w:rFonts w:ascii="Gill Sans MT" w:hAnsi="Gill Sans MT"/>
                <w:sz w:val="20"/>
                <w:szCs w:val="20"/>
              </w:rPr>
            </w:pPr>
            <w:r w:rsidRPr="0041347D">
              <w:rPr>
                <w:rFonts w:ascii="Gill Sans MT" w:hAnsi="Gill Sans MT"/>
                <w:sz w:val="20"/>
                <w:szCs w:val="20"/>
              </w:rPr>
              <w:t>UConn Racial/Ethnic Stress &amp; Trauma Survey (</w:t>
            </w:r>
            <w:proofErr w:type="spellStart"/>
            <w:r w:rsidRPr="0041347D">
              <w:rPr>
                <w:rFonts w:ascii="Gill Sans MT" w:hAnsi="Gill Sans MT"/>
                <w:sz w:val="20"/>
                <w:szCs w:val="20"/>
              </w:rPr>
              <w:t>UnRESTS</w:t>
            </w:r>
            <w:proofErr w:type="spellEnd"/>
            <w:r w:rsidRPr="0041347D">
              <w:rPr>
                <w:rFonts w:ascii="Gill Sans MT" w:hAnsi="Gill Sans MT"/>
                <w:sz w:val="20"/>
                <w:szCs w:val="20"/>
              </w:rPr>
              <w:t>)</w:t>
            </w:r>
          </w:p>
        </w:tc>
        <w:tc>
          <w:tcPr>
            <w:tcW w:w="0" w:type="auto"/>
            <w:hideMark/>
          </w:tcPr>
          <w:p w14:paraId="3895B2EE" w14:textId="77777777" w:rsidR="0041347D" w:rsidRPr="0041347D" w:rsidRDefault="0041347D" w:rsidP="00FB4E81">
            <w:pPr>
              <w:spacing w:after="160" w:line="276" w:lineRule="auto"/>
              <w:cnfStyle w:val="000000000000" w:firstRow="0" w:lastRow="0" w:firstColumn="0" w:lastColumn="0" w:oddVBand="0" w:evenVBand="0" w:oddHBand="0" w:evenHBand="0" w:firstRowFirstColumn="0" w:firstRowLastColumn="0" w:lastRowFirstColumn="0" w:lastRowLastColumn="0"/>
              <w:rPr>
                <w:rFonts w:ascii="Gill Sans MT" w:hAnsi="Gill Sans MT"/>
                <w:sz w:val="20"/>
                <w:szCs w:val="20"/>
              </w:rPr>
            </w:pPr>
            <w:r w:rsidRPr="0041347D">
              <w:rPr>
                <w:rFonts w:ascii="Gill Sans MT" w:hAnsi="Gill Sans MT"/>
                <w:sz w:val="20"/>
                <w:szCs w:val="20"/>
              </w:rPr>
              <w:t>Anderson et al.</w:t>
            </w:r>
          </w:p>
        </w:tc>
        <w:tc>
          <w:tcPr>
            <w:tcW w:w="0" w:type="auto"/>
            <w:hideMark/>
          </w:tcPr>
          <w:p w14:paraId="61FE1413" w14:textId="77777777" w:rsidR="0041347D" w:rsidRPr="0041347D" w:rsidRDefault="0041347D" w:rsidP="00FB4E81">
            <w:pPr>
              <w:spacing w:after="160" w:line="276" w:lineRule="auto"/>
              <w:cnfStyle w:val="000000000000" w:firstRow="0" w:lastRow="0" w:firstColumn="0" w:lastColumn="0" w:oddVBand="0" w:evenVBand="0" w:oddHBand="0" w:evenHBand="0" w:firstRowFirstColumn="0" w:firstRowLastColumn="0" w:lastRowFirstColumn="0" w:lastRowLastColumn="0"/>
              <w:rPr>
                <w:rFonts w:ascii="Gill Sans MT" w:hAnsi="Gill Sans MT"/>
                <w:sz w:val="20"/>
                <w:szCs w:val="20"/>
              </w:rPr>
            </w:pPr>
            <w:r w:rsidRPr="0041347D">
              <w:rPr>
                <w:rFonts w:ascii="Gill Sans MT" w:hAnsi="Gill Sans MT"/>
                <w:sz w:val="20"/>
                <w:szCs w:val="20"/>
              </w:rPr>
              <w:t>2015</w:t>
            </w:r>
          </w:p>
        </w:tc>
        <w:tc>
          <w:tcPr>
            <w:tcW w:w="0" w:type="auto"/>
            <w:hideMark/>
          </w:tcPr>
          <w:p w14:paraId="6B54FEE8" w14:textId="77777777" w:rsidR="0041347D" w:rsidRPr="0041347D" w:rsidRDefault="0041347D" w:rsidP="00FB4E81">
            <w:pPr>
              <w:spacing w:after="160" w:line="276" w:lineRule="auto"/>
              <w:cnfStyle w:val="000000000000" w:firstRow="0" w:lastRow="0" w:firstColumn="0" w:lastColumn="0" w:oddVBand="0" w:evenVBand="0" w:oddHBand="0" w:evenHBand="0" w:firstRowFirstColumn="0" w:firstRowLastColumn="0" w:lastRowFirstColumn="0" w:lastRowLastColumn="0"/>
              <w:rPr>
                <w:rFonts w:ascii="Gill Sans MT" w:hAnsi="Gill Sans MT"/>
                <w:sz w:val="20"/>
                <w:szCs w:val="20"/>
              </w:rPr>
            </w:pPr>
            <w:r w:rsidRPr="0041347D">
              <w:rPr>
                <w:rFonts w:ascii="Gill Sans MT" w:hAnsi="Gill Sans MT"/>
                <w:sz w:val="20"/>
                <w:szCs w:val="20"/>
              </w:rPr>
              <w:t>Assesses racial and ethnic stress and trauma, primarily in U.S. contexts</w:t>
            </w:r>
          </w:p>
        </w:tc>
      </w:tr>
      <w:tr w:rsidR="0041347D" w:rsidRPr="0041347D" w14:paraId="36C908E0" w14:textId="77777777" w:rsidTr="004134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771A437" w14:textId="77777777" w:rsidR="0041347D" w:rsidRPr="0041347D" w:rsidRDefault="0041347D" w:rsidP="00FB4E81">
            <w:pPr>
              <w:spacing w:after="160" w:line="276" w:lineRule="auto"/>
              <w:rPr>
                <w:rFonts w:ascii="Gill Sans MT" w:hAnsi="Gill Sans MT"/>
                <w:sz w:val="20"/>
                <w:szCs w:val="20"/>
              </w:rPr>
            </w:pPr>
            <w:r w:rsidRPr="0041347D">
              <w:rPr>
                <w:rFonts w:ascii="Gill Sans MT" w:hAnsi="Gill Sans MT"/>
                <w:sz w:val="20"/>
                <w:szCs w:val="20"/>
              </w:rPr>
              <w:t>PTSD Checklist for DSM-5 (PCL-5)</w:t>
            </w:r>
          </w:p>
        </w:tc>
        <w:tc>
          <w:tcPr>
            <w:tcW w:w="0" w:type="auto"/>
            <w:hideMark/>
          </w:tcPr>
          <w:p w14:paraId="7DB58348" w14:textId="77777777" w:rsidR="0041347D" w:rsidRPr="0041347D" w:rsidRDefault="0041347D" w:rsidP="00FB4E81">
            <w:pPr>
              <w:spacing w:after="160" w:line="276" w:lineRule="auto"/>
              <w:cnfStyle w:val="000000100000" w:firstRow="0" w:lastRow="0" w:firstColumn="0" w:lastColumn="0" w:oddVBand="0" w:evenVBand="0" w:oddHBand="1" w:evenHBand="0" w:firstRowFirstColumn="0" w:firstRowLastColumn="0" w:lastRowFirstColumn="0" w:lastRowLastColumn="0"/>
              <w:rPr>
                <w:rFonts w:ascii="Gill Sans MT" w:hAnsi="Gill Sans MT"/>
                <w:sz w:val="20"/>
                <w:szCs w:val="20"/>
              </w:rPr>
            </w:pPr>
            <w:r w:rsidRPr="0041347D">
              <w:rPr>
                <w:rFonts w:ascii="Gill Sans MT" w:hAnsi="Gill Sans MT"/>
                <w:sz w:val="20"/>
                <w:szCs w:val="20"/>
              </w:rPr>
              <w:t>Weathers et al.</w:t>
            </w:r>
          </w:p>
        </w:tc>
        <w:tc>
          <w:tcPr>
            <w:tcW w:w="0" w:type="auto"/>
            <w:hideMark/>
          </w:tcPr>
          <w:p w14:paraId="377A4EED" w14:textId="77777777" w:rsidR="0041347D" w:rsidRPr="0041347D" w:rsidRDefault="0041347D" w:rsidP="00FB4E81">
            <w:pPr>
              <w:spacing w:after="160" w:line="276" w:lineRule="auto"/>
              <w:cnfStyle w:val="000000100000" w:firstRow="0" w:lastRow="0" w:firstColumn="0" w:lastColumn="0" w:oddVBand="0" w:evenVBand="0" w:oddHBand="1" w:evenHBand="0" w:firstRowFirstColumn="0" w:firstRowLastColumn="0" w:lastRowFirstColumn="0" w:lastRowLastColumn="0"/>
              <w:rPr>
                <w:rFonts w:ascii="Gill Sans MT" w:hAnsi="Gill Sans MT"/>
                <w:sz w:val="20"/>
                <w:szCs w:val="20"/>
              </w:rPr>
            </w:pPr>
            <w:r w:rsidRPr="0041347D">
              <w:rPr>
                <w:rFonts w:ascii="Gill Sans MT" w:hAnsi="Gill Sans MT"/>
                <w:sz w:val="20"/>
                <w:szCs w:val="20"/>
              </w:rPr>
              <w:t>2013</w:t>
            </w:r>
          </w:p>
        </w:tc>
        <w:tc>
          <w:tcPr>
            <w:tcW w:w="0" w:type="auto"/>
            <w:hideMark/>
          </w:tcPr>
          <w:p w14:paraId="6A32B7FB" w14:textId="77777777" w:rsidR="0041347D" w:rsidRPr="0041347D" w:rsidRDefault="0041347D" w:rsidP="00FB4E81">
            <w:pPr>
              <w:spacing w:after="160" w:line="276" w:lineRule="auto"/>
              <w:cnfStyle w:val="000000100000" w:firstRow="0" w:lastRow="0" w:firstColumn="0" w:lastColumn="0" w:oddVBand="0" w:evenVBand="0" w:oddHBand="1" w:evenHBand="0" w:firstRowFirstColumn="0" w:firstRowLastColumn="0" w:lastRowFirstColumn="0" w:lastRowLastColumn="0"/>
              <w:rPr>
                <w:rFonts w:ascii="Gill Sans MT" w:hAnsi="Gill Sans MT"/>
                <w:sz w:val="20"/>
                <w:szCs w:val="20"/>
              </w:rPr>
            </w:pPr>
            <w:r w:rsidRPr="0041347D">
              <w:rPr>
                <w:rFonts w:ascii="Gill Sans MT" w:hAnsi="Gill Sans MT"/>
                <w:sz w:val="20"/>
                <w:szCs w:val="20"/>
              </w:rPr>
              <w:t>Screens for PTSD symptoms based on DSM-5 criteria</w:t>
            </w:r>
          </w:p>
        </w:tc>
      </w:tr>
      <w:tr w:rsidR="0041347D" w:rsidRPr="0041347D" w14:paraId="6F0A2305" w14:textId="77777777" w:rsidTr="0041347D">
        <w:tc>
          <w:tcPr>
            <w:cnfStyle w:val="001000000000" w:firstRow="0" w:lastRow="0" w:firstColumn="1" w:lastColumn="0" w:oddVBand="0" w:evenVBand="0" w:oddHBand="0" w:evenHBand="0" w:firstRowFirstColumn="0" w:firstRowLastColumn="0" w:lastRowFirstColumn="0" w:lastRowLastColumn="0"/>
            <w:tcW w:w="0" w:type="auto"/>
            <w:hideMark/>
          </w:tcPr>
          <w:p w14:paraId="59665A68" w14:textId="77777777" w:rsidR="0041347D" w:rsidRPr="0041347D" w:rsidRDefault="0041347D" w:rsidP="00FB4E81">
            <w:pPr>
              <w:spacing w:after="160" w:line="276" w:lineRule="auto"/>
              <w:rPr>
                <w:rFonts w:ascii="Gill Sans MT" w:hAnsi="Gill Sans MT"/>
                <w:sz w:val="20"/>
                <w:szCs w:val="20"/>
              </w:rPr>
            </w:pPr>
            <w:r w:rsidRPr="0041347D">
              <w:rPr>
                <w:rFonts w:ascii="Gill Sans MT" w:hAnsi="Gill Sans MT"/>
                <w:sz w:val="20"/>
                <w:szCs w:val="20"/>
              </w:rPr>
              <w:t>Depression Anxiety Stress Scales (DASS-21)</w:t>
            </w:r>
          </w:p>
        </w:tc>
        <w:tc>
          <w:tcPr>
            <w:tcW w:w="0" w:type="auto"/>
            <w:hideMark/>
          </w:tcPr>
          <w:p w14:paraId="46A72A3D" w14:textId="77777777" w:rsidR="0041347D" w:rsidRPr="0041347D" w:rsidRDefault="0041347D" w:rsidP="00FB4E81">
            <w:pPr>
              <w:spacing w:after="160" w:line="276" w:lineRule="auto"/>
              <w:cnfStyle w:val="000000000000" w:firstRow="0" w:lastRow="0" w:firstColumn="0" w:lastColumn="0" w:oddVBand="0" w:evenVBand="0" w:oddHBand="0" w:evenHBand="0" w:firstRowFirstColumn="0" w:firstRowLastColumn="0" w:lastRowFirstColumn="0" w:lastRowLastColumn="0"/>
              <w:rPr>
                <w:rFonts w:ascii="Gill Sans MT" w:hAnsi="Gill Sans MT"/>
                <w:sz w:val="20"/>
                <w:szCs w:val="20"/>
              </w:rPr>
            </w:pPr>
            <w:r w:rsidRPr="0041347D">
              <w:rPr>
                <w:rFonts w:ascii="Gill Sans MT" w:hAnsi="Gill Sans MT"/>
                <w:sz w:val="20"/>
                <w:szCs w:val="20"/>
              </w:rPr>
              <w:t>Lovibond &amp; Lovibond</w:t>
            </w:r>
          </w:p>
        </w:tc>
        <w:tc>
          <w:tcPr>
            <w:tcW w:w="0" w:type="auto"/>
            <w:hideMark/>
          </w:tcPr>
          <w:p w14:paraId="160C3390" w14:textId="77777777" w:rsidR="0041347D" w:rsidRPr="0041347D" w:rsidRDefault="0041347D" w:rsidP="00FB4E81">
            <w:pPr>
              <w:spacing w:after="160" w:line="276" w:lineRule="auto"/>
              <w:cnfStyle w:val="000000000000" w:firstRow="0" w:lastRow="0" w:firstColumn="0" w:lastColumn="0" w:oddVBand="0" w:evenVBand="0" w:oddHBand="0" w:evenHBand="0" w:firstRowFirstColumn="0" w:firstRowLastColumn="0" w:lastRowFirstColumn="0" w:lastRowLastColumn="0"/>
              <w:rPr>
                <w:rFonts w:ascii="Gill Sans MT" w:hAnsi="Gill Sans MT"/>
                <w:sz w:val="20"/>
                <w:szCs w:val="20"/>
              </w:rPr>
            </w:pPr>
            <w:r w:rsidRPr="0041347D">
              <w:rPr>
                <w:rFonts w:ascii="Gill Sans MT" w:hAnsi="Gill Sans MT"/>
                <w:sz w:val="20"/>
                <w:szCs w:val="20"/>
              </w:rPr>
              <w:t>1995</w:t>
            </w:r>
          </w:p>
        </w:tc>
        <w:tc>
          <w:tcPr>
            <w:tcW w:w="0" w:type="auto"/>
            <w:hideMark/>
          </w:tcPr>
          <w:p w14:paraId="6D22E723" w14:textId="77777777" w:rsidR="0041347D" w:rsidRPr="0041347D" w:rsidRDefault="0041347D" w:rsidP="00FB4E81">
            <w:pPr>
              <w:spacing w:after="160" w:line="276" w:lineRule="auto"/>
              <w:cnfStyle w:val="000000000000" w:firstRow="0" w:lastRow="0" w:firstColumn="0" w:lastColumn="0" w:oddVBand="0" w:evenVBand="0" w:oddHBand="0" w:evenHBand="0" w:firstRowFirstColumn="0" w:firstRowLastColumn="0" w:lastRowFirstColumn="0" w:lastRowLastColumn="0"/>
              <w:rPr>
                <w:rFonts w:ascii="Gill Sans MT" w:hAnsi="Gill Sans MT"/>
                <w:sz w:val="20"/>
                <w:szCs w:val="20"/>
              </w:rPr>
            </w:pPr>
            <w:r w:rsidRPr="0041347D">
              <w:rPr>
                <w:rFonts w:ascii="Gill Sans MT" w:hAnsi="Gill Sans MT"/>
                <w:sz w:val="20"/>
                <w:szCs w:val="20"/>
              </w:rPr>
              <w:t>Measures general psychological distress across three domains: depression, anxiety, and stress</w:t>
            </w:r>
          </w:p>
        </w:tc>
      </w:tr>
      <w:tr w:rsidR="0041347D" w:rsidRPr="0041347D" w14:paraId="3CBADDA2" w14:textId="77777777" w:rsidTr="004134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2EE7A03" w14:textId="77777777" w:rsidR="0041347D" w:rsidRPr="0041347D" w:rsidRDefault="0041347D" w:rsidP="00FB4E81">
            <w:pPr>
              <w:spacing w:after="160" w:line="276" w:lineRule="auto"/>
              <w:rPr>
                <w:rFonts w:ascii="Gill Sans MT" w:hAnsi="Gill Sans MT"/>
                <w:sz w:val="20"/>
                <w:szCs w:val="20"/>
              </w:rPr>
            </w:pPr>
            <w:r w:rsidRPr="0041347D">
              <w:rPr>
                <w:rFonts w:ascii="Gill Sans MT" w:hAnsi="Gill Sans MT"/>
                <w:sz w:val="20"/>
                <w:szCs w:val="20"/>
              </w:rPr>
              <w:t>Connor-Davidson Resilience Scale (CD-RISC)</w:t>
            </w:r>
          </w:p>
        </w:tc>
        <w:tc>
          <w:tcPr>
            <w:tcW w:w="0" w:type="auto"/>
            <w:hideMark/>
          </w:tcPr>
          <w:p w14:paraId="41CBC764" w14:textId="77777777" w:rsidR="0041347D" w:rsidRPr="0041347D" w:rsidRDefault="0041347D" w:rsidP="00FB4E81">
            <w:pPr>
              <w:spacing w:after="160" w:line="276" w:lineRule="auto"/>
              <w:cnfStyle w:val="000000100000" w:firstRow="0" w:lastRow="0" w:firstColumn="0" w:lastColumn="0" w:oddVBand="0" w:evenVBand="0" w:oddHBand="1" w:evenHBand="0" w:firstRowFirstColumn="0" w:firstRowLastColumn="0" w:lastRowFirstColumn="0" w:lastRowLastColumn="0"/>
              <w:rPr>
                <w:rFonts w:ascii="Gill Sans MT" w:hAnsi="Gill Sans MT"/>
                <w:sz w:val="20"/>
                <w:szCs w:val="20"/>
              </w:rPr>
            </w:pPr>
            <w:r w:rsidRPr="0041347D">
              <w:rPr>
                <w:rFonts w:ascii="Gill Sans MT" w:hAnsi="Gill Sans MT"/>
                <w:sz w:val="20"/>
                <w:szCs w:val="20"/>
              </w:rPr>
              <w:t>Connor &amp; Davidson</w:t>
            </w:r>
          </w:p>
        </w:tc>
        <w:tc>
          <w:tcPr>
            <w:tcW w:w="0" w:type="auto"/>
            <w:hideMark/>
          </w:tcPr>
          <w:p w14:paraId="41AD1C5F" w14:textId="77777777" w:rsidR="0041347D" w:rsidRPr="0041347D" w:rsidRDefault="0041347D" w:rsidP="00FB4E81">
            <w:pPr>
              <w:spacing w:after="160" w:line="276" w:lineRule="auto"/>
              <w:cnfStyle w:val="000000100000" w:firstRow="0" w:lastRow="0" w:firstColumn="0" w:lastColumn="0" w:oddVBand="0" w:evenVBand="0" w:oddHBand="1" w:evenHBand="0" w:firstRowFirstColumn="0" w:firstRowLastColumn="0" w:lastRowFirstColumn="0" w:lastRowLastColumn="0"/>
              <w:rPr>
                <w:rFonts w:ascii="Gill Sans MT" w:hAnsi="Gill Sans MT"/>
                <w:sz w:val="20"/>
                <w:szCs w:val="20"/>
              </w:rPr>
            </w:pPr>
            <w:r w:rsidRPr="0041347D">
              <w:rPr>
                <w:rFonts w:ascii="Gill Sans MT" w:hAnsi="Gill Sans MT"/>
                <w:sz w:val="20"/>
                <w:szCs w:val="20"/>
              </w:rPr>
              <w:t>2003</w:t>
            </w:r>
          </w:p>
        </w:tc>
        <w:tc>
          <w:tcPr>
            <w:tcW w:w="0" w:type="auto"/>
            <w:hideMark/>
          </w:tcPr>
          <w:p w14:paraId="29264892" w14:textId="77777777" w:rsidR="0041347D" w:rsidRPr="0041347D" w:rsidRDefault="0041347D" w:rsidP="00FB4E81">
            <w:pPr>
              <w:spacing w:after="160" w:line="276" w:lineRule="auto"/>
              <w:cnfStyle w:val="000000100000" w:firstRow="0" w:lastRow="0" w:firstColumn="0" w:lastColumn="0" w:oddVBand="0" w:evenVBand="0" w:oddHBand="1" w:evenHBand="0" w:firstRowFirstColumn="0" w:firstRowLastColumn="0" w:lastRowFirstColumn="0" w:lastRowLastColumn="0"/>
              <w:rPr>
                <w:rFonts w:ascii="Gill Sans MT" w:hAnsi="Gill Sans MT"/>
                <w:sz w:val="20"/>
                <w:szCs w:val="20"/>
              </w:rPr>
            </w:pPr>
            <w:r w:rsidRPr="0041347D">
              <w:rPr>
                <w:rFonts w:ascii="Gill Sans MT" w:hAnsi="Gill Sans MT"/>
                <w:sz w:val="20"/>
                <w:szCs w:val="20"/>
              </w:rPr>
              <w:t>Assesses psychological resilience and coping capacity</w:t>
            </w:r>
          </w:p>
        </w:tc>
      </w:tr>
      <w:tr w:rsidR="0041347D" w:rsidRPr="0041347D" w14:paraId="5EF506DB" w14:textId="77777777" w:rsidTr="0041347D">
        <w:tc>
          <w:tcPr>
            <w:cnfStyle w:val="001000000000" w:firstRow="0" w:lastRow="0" w:firstColumn="1" w:lastColumn="0" w:oddVBand="0" w:evenVBand="0" w:oddHBand="0" w:evenHBand="0" w:firstRowFirstColumn="0" w:firstRowLastColumn="0" w:lastRowFirstColumn="0" w:lastRowLastColumn="0"/>
            <w:tcW w:w="0" w:type="auto"/>
            <w:hideMark/>
          </w:tcPr>
          <w:p w14:paraId="67D56C76" w14:textId="77777777" w:rsidR="0041347D" w:rsidRPr="0041347D" w:rsidRDefault="0041347D" w:rsidP="00FB4E81">
            <w:pPr>
              <w:spacing w:after="160" w:line="276" w:lineRule="auto"/>
              <w:rPr>
                <w:rFonts w:ascii="Gill Sans MT" w:hAnsi="Gill Sans MT"/>
                <w:sz w:val="20"/>
                <w:szCs w:val="20"/>
              </w:rPr>
            </w:pPr>
            <w:r w:rsidRPr="0041347D">
              <w:rPr>
                <w:rFonts w:ascii="Gill Sans MT" w:hAnsi="Gill Sans MT"/>
                <w:sz w:val="20"/>
                <w:szCs w:val="20"/>
              </w:rPr>
              <w:t>Adverse Childhood Experiences Questionnaire (ACE)</w:t>
            </w:r>
          </w:p>
        </w:tc>
        <w:tc>
          <w:tcPr>
            <w:tcW w:w="0" w:type="auto"/>
            <w:hideMark/>
          </w:tcPr>
          <w:p w14:paraId="01AED831" w14:textId="77777777" w:rsidR="0041347D" w:rsidRPr="0041347D" w:rsidRDefault="0041347D" w:rsidP="00FB4E81">
            <w:pPr>
              <w:spacing w:after="160" w:line="276" w:lineRule="auto"/>
              <w:cnfStyle w:val="000000000000" w:firstRow="0" w:lastRow="0" w:firstColumn="0" w:lastColumn="0" w:oddVBand="0" w:evenVBand="0" w:oddHBand="0" w:evenHBand="0" w:firstRowFirstColumn="0" w:firstRowLastColumn="0" w:lastRowFirstColumn="0" w:lastRowLastColumn="0"/>
              <w:rPr>
                <w:rFonts w:ascii="Gill Sans MT" w:hAnsi="Gill Sans MT"/>
                <w:sz w:val="20"/>
                <w:szCs w:val="20"/>
              </w:rPr>
            </w:pPr>
            <w:proofErr w:type="spellStart"/>
            <w:r w:rsidRPr="0041347D">
              <w:rPr>
                <w:rFonts w:ascii="Gill Sans MT" w:hAnsi="Gill Sans MT"/>
                <w:sz w:val="20"/>
                <w:szCs w:val="20"/>
              </w:rPr>
              <w:t>Felitti</w:t>
            </w:r>
            <w:proofErr w:type="spellEnd"/>
            <w:r w:rsidRPr="0041347D">
              <w:rPr>
                <w:rFonts w:ascii="Gill Sans MT" w:hAnsi="Gill Sans MT"/>
                <w:sz w:val="20"/>
                <w:szCs w:val="20"/>
              </w:rPr>
              <w:t xml:space="preserve"> et al.</w:t>
            </w:r>
          </w:p>
        </w:tc>
        <w:tc>
          <w:tcPr>
            <w:tcW w:w="0" w:type="auto"/>
            <w:hideMark/>
          </w:tcPr>
          <w:p w14:paraId="2BA883CD" w14:textId="77777777" w:rsidR="0041347D" w:rsidRPr="0041347D" w:rsidRDefault="0041347D" w:rsidP="00FB4E81">
            <w:pPr>
              <w:spacing w:after="160" w:line="276" w:lineRule="auto"/>
              <w:cnfStyle w:val="000000000000" w:firstRow="0" w:lastRow="0" w:firstColumn="0" w:lastColumn="0" w:oddVBand="0" w:evenVBand="0" w:oddHBand="0" w:evenHBand="0" w:firstRowFirstColumn="0" w:firstRowLastColumn="0" w:lastRowFirstColumn="0" w:lastRowLastColumn="0"/>
              <w:rPr>
                <w:rFonts w:ascii="Gill Sans MT" w:hAnsi="Gill Sans MT"/>
                <w:sz w:val="20"/>
                <w:szCs w:val="20"/>
              </w:rPr>
            </w:pPr>
            <w:r w:rsidRPr="0041347D">
              <w:rPr>
                <w:rFonts w:ascii="Gill Sans MT" w:hAnsi="Gill Sans MT"/>
                <w:sz w:val="20"/>
                <w:szCs w:val="20"/>
              </w:rPr>
              <w:t>1998</w:t>
            </w:r>
          </w:p>
        </w:tc>
        <w:tc>
          <w:tcPr>
            <w:tcW w:w="0" w:type="auto"/>
            <w:hideMark/>
          </w:tcPr>
          <w:p w14:paraId="7AD52B8F" w14:textId="77777777" w:rsidR="0041347D" w:rsidRPr="0041347D" w:rsidRDefault="0041347D" w:rsidP="00FB4E81">
            <w:pPr>
              <w:spacing w:after="160" w:line="276" w:lineRule="auto"/>
              <w:cnfStyle w:val="000000000000" w:firstRow="0" w:lastRow="0" w:firstColumn="0" w:lastColumn="0" w:oddVBand="0" w:evenVBand="0" w:oddHBand="0" w:evenHBand="0" w:firstRowFirstColumn="0" w:firstRowLastColumn="0" w:lastRowFirstColumn="0" w:lastRowLastColumn="0"/>
              <w:rPr>
                <w:rFonts w:ascii="Gill Sans MT" w:hAnsi="Gill Sans MT"/>
                <w:sz w:val="20"/>
                <w:szCs w:val="20"/>
              </w:rPr>
            </w:pPr>
            <w:r w:rsidRPr="0041347D">
              <w:rPr>
                <w:rFonts w:ascii="Gill Sans MT" w:hAnsi="Gill Sans MT"/>
                <w:sz w:val="20"/>
                <w:szCs w:val="20"/>
              </w:rPr>
              <w:t>Evaluates exposure to early life adversity and trauma</w:t>
            </w:r>
          </w:p>
        </w:tc>
      </w:tr>
    </w:tbl>
    <w:p w14:paraId="4C191944" w14:textId="77777777" w:rsidR="009567FE" w:rsidRDefault="009567FE" w:rsidP="00FB4E81">
      <w:pPr>
        <w:pStyle w:val="NoSpacing"/>
        <w:spacing w:line="276" w:lineRule="auto"/>
      </w:pPr>
    </w:p>
    <w:p w14:paraId="052A0A62" w14:textId="7B0CC7EA" w:rsidR="00A140C6" w:rsidRPr="00A140C6" w:rsidRDefault="00A140C6" w:rsidP="00A140C6">
      <w:pPr>
        <w:spacing w:line="276" w:lineRule="auto"/>
        <w:rPr>
          <w:rFonts w:ascii="Gill Sans MT" w:hAnsi="Gill Sans MT"/>
          <w:b/>
          <w:bCs/>
        </w:rPr>
      </w:pPr>
      <w:r w:rsidRPr="00A140C6">
        <w:rPr>
          <w:rFonts w:ascii="Gill Sans MT" w:hAnsi="Gill Sans MT"/>
          <w:b/>
          <w:bCs/>
        </w:rPr>
        <w:t>4</w:t>
      </w:r>
      <w:r w:rsidR="000C133A">
        <w:rPr>
          <w:rFonts w:ascii="Gill Sans MT" w:hAnsi="Gill Sans MT"/>
          <w:b/>
          <w:bCs/>
        </w:rPr>
        <w:t xml:space="preserve">   </w:t>
      </w:r>
      <w:proofErr w:type="gramStart"/>
      <w:r w:rsidR="000C133A" w:rsidRPr="000C133A">
        <w:rPr>
          <w:rFonts w:ascii="Gill Sans MT" w:hAnsi="Gill Sans MT"/>
          <w:b/>
          <w:bCs/>
          <w:sz w:val="28"/>
          <w:szCs w:val="28"/>
        </w:rPr>
        <w:t xml:space="preserve">BBRTQ </w:t>
      </w:r>
      <w:r w:rsidRPr="00A140C6">
        <w:rPr>
          <w:rFonts w:ascii="Gill Sans MT" w:hAnsi="Gill Sans MT"/>
          <w:b/>
          <w:bCs/>
          <w:sz w:val="28"/>
          <w:szCs w:val="28"/>
        </w:rPr>
        <w:t xml:space="preserve"> Scoring</w:t>
      </w:r>
      <w:proofErr w:type="gramEnd"/>
      <w:r w:rsidRPr="00A140C6">
        <w:rPr>
          <w:rFonts w:ascii="Gill Sans MT" w:hAnsi="Gill Sans MT"/>
          <w:b/>
          <w:bCs/>
          <w:sz w:val="28"/>
          <w:szCs w:val="28"/>
        </w:rPr>
        <w:t xml:space="preserve"> Framework and Interpretation</w:t>
      </w:r>
      <w:r w:rsidR="000C133A" w:rsidRPr="000C133A">
        <w:rPr>
          <w:rFonts w:ascii="Gill Sans MT" w:hAnsi="Gill Sans MT"/>
          <w:b/>
          <w:bCs/>
          <w:sz w:val="28"/>
          <w:szCs w:val="28"/>
        </w:rPr>
        <w:t xml:space="preserve"> Methods</w:t>
      </w:r>
    </w:p>
    <w:p w14:paraId="0C521A95" w14:textId="463C84A2" w:rsidR="00CB7326" w:rsidRPr="00CB7326" w:rsidRDefault="00CB7326" w:rsidP="00CB7326">
      <w:pPr>
        <w:spacing w:line="276" w:lineRule="auto"/>
        <w:rPr>
          <w:rFonts w:ascii="Gill Sans MT" w:hAnsi="Gill Sans MT"/>
          <w:b/>
          <w:bCs/>
        </w:rPr>
      </w:pPr>
      <w:r>
        <w:rPr>
          <w:rFonts w:ascii="Gill Sans MT" w:hAnsi="Gill Sans MT"/>
          <w:b/>
          <w:bCs/>
        </w:rPr>
        <w:t xml:space="preserve">4.1 </w:t>
      </w:r>
      <w:r w:rsidRPr="00CB7326">
        <w:rPr>
          <w:rFonts w:ascii="Gill Sans MT" w:hAnsi="Gill Sans MT"/>
          <w:b/>
          <w:bCs/>
        </w:rPr>
        <w:t>Scoring Philosophy and Design</w:t>
      </w:r>
    </w:p>
    <w:p w14:paraId="44D27B67" w14:textId="77777777" w:rsidR="00CB7326" w:rsidRPr="00CB7326" w:rsidRDefault="00CB7326" w:rsidP="00CB7326">
      <w:pPr>
        <w:spacing w:line="276" w:lineRule="auto"/>
        <w:rPr>
          <w:rFonts w:ascii="Gill Sans MT" w:hAnsi="Gill Sans MT"/>
        </w:rPr>
      </w:pPr>
      <w:r w:rsidRPr="00CB7326">
        <w:rPr>
          <w:rFonts w:ascii="Gill Sans MT" w:hAnsi="Gill Sans MT"/>
        </w:rPr>
        <w:t>The scoring architecture of the Black British Racial Trauma Questionnaire (BBRTQ) was developed to reflect both the complexity of racial trauma and the culturally grounded strategies of resilience and resistance. Each item is rated on a five-point Likert scale, ranging from “Strongly Disagree” to “Strongly Agree,” allowing for nuanced responses across emotional, behavioural, and relational dimensions of racialised experience.</w:t>
      </w:r>
    </w:p>
    <w:p w14:paraId="5B1C63F3" w14:textId="1930A188" w:rsidR="00CB7326" w:rsidRPr="00CB7326" w:rsidRDefault="00CB7326" w:rsidP="00CB7326">
      <w:pPr>
        <w:spacing w:line="276" w:lineRule="auto"/>
        <w:rPr>
          <w:rFonts w:ascii="Gill Sans MT" w:hAnsi="Gill Sans MT"/>
          <w:b/>
          <w:bCs/>
        </w:rPr>
      </w:pPr>
      <w:r>
        <w:rPr>
          <w:rFonts w:ascii="Gill Sans MT" w:hAnsi="Gill Sans MT"/>
          <w:b/>
          <w:bCs/>
        </w:rPr>
        <w:t xml:space="preserve">4.2 </w:t>
      </w:r>
      <w:r w:rsidRPr="00CB7326">
        <w:rPr>
          <w:rFonts w:ascii="Gill Sans MT" w:hAnsi="Gill Sans MT"/>
          <w:b/>
          <w:bCs/>
        </w:rPr>
        <w:t>Domain Structure</w:t>
      </w:r>
    </w:p>
    <w:p w14:paraId="6B33387E" w14:textId="77777777" w:rsidR="00CB7326" w:rsidRPr="00CB7326" w:rsidRDefault="00CB7326" w:rsidP="00CB7326">
      <w:pPr>
        <w:spacing w:line="276" w:lineRule="auto"/>
        <w:rPr>
          <w:rFonts w:ascii="Gill Sans MT" w:hAnsi="Gill Sans MT"/>
        </w:rPr>
      </w:pPr>
      <w:r w:rsidRPr="00CB7326">
        <w:rPr>
          <w:rFonts w:ascii="Gill Sans MT" w:hAnsi="Gill Sans MT"/>
        </w:rPr>
        <w:t>The BBRTQ comprises six domains, each containing ten items. Five domains assess trauma-related constructs:</w:t>
      </w:r>
    </w:p>
    <w:p w14:paraId="270B2419" w14:textId="77777777" w:rsidR="00CB7326" w:rsidRPr="00CB7326" w:rsidRDefault="00CB7326" w:rsidP="00CB7326">
      <w:pPr>
        <w:numPr>
          <w:ilvl w:val="0"/>
          <w:numId w:val="77"/>
        </w:numPr>
        <w:spacing w:line="276" w:lineRule="auto"/>
        <w:rPr>
          <w:rFonts w:ascii="Gill Sans MT" w:hAnsi="Gill Sans MT"/>
        </w:rPr>
      </w:pPr>
      <w:r w:rsidRPr="00CB7326">
        <w:rPr>
          <w:rFonts w:ascii="Gill Sans MT" w:hAnsi="Gill Sans MT"/>
        </w:rPr>
        <w:t>Emotional Impact of Racialised Experiences</w:t>
      </w:r>
    </w:p>
    <w:p w14:paraId="7174A354" w14:textId="77777777" w:rsidR="00CB7326" w:rsidRPr="00CB7326" w:rsidRDefault="00CB7326" w:rsidP="00CB7326">
      <w:pPr>
        <w:numPr>
          <w:ilvl w:val="0"/>
          <w:numId w:val="77"/>
        </w:numPr>
        <w:spacing w:line="276" w:lineRule="auto"/>
        <w:rPr>
          <w:rFonts w:ascii="Gill Sans MT" w:hAnsi="Gill Sans MT"/>
        </w:rPr>
      </w:pPr>
      <w:r w:rsidRPr="00CB7326">
        <w:rPr>
          <w:rFonts w:ascii="Gill Sans MT" w:hAnsi="Gill Sans MT"/>
        </w:rPr>
        <w:t>Identity Conflict and Cultural Disconnection</w:t>
      </w:r>
    </w:p>
    <w:p w14:paraId="22AABBF6" w14:textId="77777777" w:rsidR="00CB7326" w:rsidRPr="00CB7326" w:rsidRDefault="00CB7326" w:rsidP="00CB7326">
      <w:pPr>
        <w:numPr>
          <w:ilvl w:val="0"/>
          <w:numId w:val="77"/>
        </w:numPr>
        <w:spacing w:line="276" w:lineRule="auto"/>
        <w:rPr>
          <w:rFonts w:ascii="Gill Sans MT" w:hAnsi="Gill Sans MT"/>
        </w:rPr>
      </w:pPr>
      <w:r w:rsidRPr="00CB7326">
        <w:rPr>
          <w:rFonts w:ascii="Gill Sans MT" w:hAnsi="Gill Sans MT"/>
        </w:rPr>
        <w:t>Intergenerational Transmission of Racial Trauma</w:t>
      </w:r>
    </w:p>
    <w:p w14:paraId="0AF99C52" w14:textId="77777777" w:rsidR="00CB7326" w:rsidRPr="00CB7326" w:rsidRDefault="00CB7326" w:rsidP="00CB7326">
      <w:pPr>
        <w:numPr>
          <w:ilvl w:val="0"/>
          <w:numId w:val="77"/>
        </w:numPr>
        <w:spacing w:line="276" w:lineRule="auto"/>
        <w:rPr>
          <w:rFonts w:ascii="Gill Sans MT" w:hAnsi="Gill Sans MT"/>
        </w:rPr>
      </w:pPr>
      <w:r w:rsidRPr="00CB7326">
        <w:rPr>
          <w:rFonts w:ascii="Gill Sans MT" w:hAnsi="Gill Sans MT"/>
        </w:rPr>
        <w:t>Systemic Exclusion and Institutional Mistrust</w:t>
      </w:r>
    </w:p>
    <w:p w14:paraId="24EEA200" w14:textId="77777777" w:rsidR="00CB7326" w:rsidRPr="00CB7326" w:rsidRDefault="00CB7326" w:rsidP="00CB7326">
      <w:pPr>
        <w:numPr>
          <w:ilvl w:val="0"/>
          <w:numId w:val="77"/>
        </w:numPr>
        <w:spacing w:line="276" w:lineRule="auto"/>
        <w:rPr>
          <w:rFonts w:ascii="Gill Sans MT" w:hAnsi="Gill Sans MT"/>
        </w:rPr>
      </w:pPr>
      <w:r w:rsidRPr="00CB7326">
        <w:rPr>
          <w:rFonts w:ascii="Gill Sans MT" w:hAnsi="Gill Sans MT"/>
        </w:rPr>
        <w:t>Survival Stress and Adaptive Coping Patterns</w:t>
      </w:r>
    </w:p>
    <w:p w14:paraId="71C993EB" w14:textId="77777777" w:rsidR="00CB7326" w:rsidRPr="00CB7326" w:rsidRDefault="00CB7326" w:rsidP="00CB7326">
      <w:pPr>
        <w:spacing w:line="276" w:lineRule="auto"/>
        <w:rPr>
          <w:rFonts w:ascii="Gill Sans MT" w:hAnsi="Gill Sans MT"/>
        </w:rPr>
      </w:pPr>
      <w:r w:rsidRPr="00CB7326">
        <w:rPr>
          <w:rFonts w:ascii="Gill Sans MT" w:hAnsi="Gill Sans MT"/>
        </w:rPr>
        <w:t>The sixth domain—Resilience, Resistance, and Healing Practices—is scored independently to preserve its interpretive integrity as a strengths-based measure.</w:t>
      </w:r>
    </w:p>
    <w:p w14:paraId="76354642" w14:textId="6A76EEE1" w:rsidR="00CB7326" w:rsidRPr="00CB7326" w:rsidRDefault="00CB7326" w:rsidP="00CB7326">
      <w:pPr>
        <w:spacing w:line="276" w:lineRule="auto"/>
        <w:rPr>
          <w:rFonts w:ascii="Gill Sans MT" w:hAnsi="Gill Sans MT"/>
          <w:b/>
          <w:bCs/>
        </w:rPr>
      </w:pPr>
      <w:r>
        <w:rPr>
          <w:rFonts w:ascii="Gill Sans MT" w:hAnsi="Gill Sans MT"/>
          <w:b/>
          <w:bCs/>
        </w:rPr>
        <w:lastRenderedPageBreak/>
        <w:t xml:space="preserve">4.3 </w:t>
      </w:r>
      <w:r w:rsidRPr="00CB7326">
        <w:rPr>
          <w:rFonts w:ascii="Gill Sans MT" w:hAnsi="Gill Sans MT"/>
          <w:b/>
          <w:bCs/>
        </w:rPr>
        <w:t>Total Score and Subscale Calculation</w:t>
      </w:r>
    </w:p>
    <w:p w14:paraId="74D5406B" w14:textId="77777777" w:rsidR="00CB7326" w:rsidRPr="00CB7326" w:rsidRDefault="00CB7326" w:rsidP="00CB7326">
      <w:pPr>
        <w:spacing w:line="276" w:lineRule="auto"/>
        <w:rPr>
          <w:rFonts w:ascii="Gill Sans MT" w:hAnsi="Gill Sans MT"/>
        </w:rPr>
      </w:pPr>
      <w:r w:rsidRPr="00CB7326">
        <w:rPr>
          <w:rFonts w:ascii="Gill Sans MT" w:hAnsi="Gill Sans MT"/>
        </w:rPr>
        <w:t>Domain scores are calculated by summing responses within each domain, producing subscale scores that reflect the intensity of endorsement across specific dimensions of racial trauma or resilience. The full BBRTQ score is derived by summing all 60 items, yielding a general index of racial trauma experience that includes both harm and healing constructs.</w:t>
      </w:r>
    </w:p>
    <w:p w14:paraId="2E25C0B9" w14:textId="412EE945" w:rsidR="00CB7326" w:rsidRPr="00CB7326" w:rsidRDefault="00CB7326" w:rsidP="00CB7326">
      <w:pPr>
        <w:spacing w:line="276" w:lineRule="auto"/>
        <w:rPr>
          <w:rFonts w:ascii="Gill Sans MT" w:hAnsi="Gill Sans MT"/>
          <w:b/>
          <w:bCs/>
        </w:rPr>
      </w:pPr>
      <w:r>
        <w:rPr>
          <w:rFonts w:ascii="Gill Sans MT" w:hAnsi="Gill Sans MT"/>
          <w:b/>
          <w:bCs/>
        </w:rPr>
        <w:t xml:space="preserve">4.4 </w:t>
      </w:r>
      <w:r w:rsidRPr="00CB7326">
        <w:rPr>
          <w:rFonts w:ascii="Gill Sans MT" w:hAnsi="Gill Sans MT"/>
          <w:b/>
          <w:bCs/>
        </w:rPr>
        <w:t>Total Trauma Index (TTI)</w:t>
      </w:r>
    </w:p>
    <w:p w14:paraId="795F3A17" w14:textId="77777777" w:rsidR="00CB7326" w:rsidRPr="00CB7326" w:rsidRDefault="00CB7326" w:rsidP="00CB7326">
      <w:pPr>
        <w:spacing w:line="276" w:lineRule="auto"/>
        <w:rPr>
          <w:rFonts w:ascii="Gill Sans MT" w:hAnsi="Gill Sans MT"/>
        </w:rPr>
      </w:pPr>
      <w:r w:rsidRPr="00CB7326">
        <w:rPr>
          <w:rFonts w:ascii="Gill Sans MT" w:hAnsi="Gill Sans MT"/>
        </w:rPr>
        <w:t>For interpretive precision, the BBRTQ introduces the Total Trauma Index (TTI), calculated by summing all trauma-related items—specifically, items 1 through 40 and items 51 through 60. This formulation intentionally excludes the resilience domain to prevent the masking of trauma burden by coping strength. The TTI offers a focused measure of cumulative racial trauma, enabling clearer identification of individuals experiencing elevated distress. Interpretation bands for the TTI support clinical decision-making by categorising trauma burden as severe, high, moderate, or low.</w:t>
      </w:r>
    </w:p>
    <w:p w14:paraId="4258DFC8" w14:textId="48F79753" w:rsidR="00CB7326" w:rsidRPr="00CB7326" w:rsidRDefault="00CB7326" w:rsidP="00CB7326">
      <w:pPr>
        <w:spacing w:line="276" w:lineRule="auto"/>
        <w:rPr>
          <w:rFonts w:ascii="Gill Sans MT" w:hAnsi="Gill Sans MT"/>
          <w:b/>
          <w:bCs/>
        </w:rPr>
      </w:pPr>
      <w:r>
        <w:rPr>
          <w:rFonts w:ascii="Gill Sans MT" w:hAnsi="Gill Sans MT"/>
          <w:b/>
          <w:bCs/>
        </w:rPr>
        <w:t xml:space="preserve">4.5 </w:t>
      </w:r>
      <w:r w:rsidRPr="00CB7326">
        <w:rPr>
          <w:rFonts w:ascii="Gill Sans MT" w:hAnsi="Gill Sans MT"/>
          <w:b/>
          <w:bCs/>
        </w:rPr>
        <w:t>Resilience Score</w:t>
      </w:r>
    </w:p>
    <w:p w14:paraId="668DC72F" w14:textId="77777777" w:rsidR="00CB7326" w:rsidRPr="00CB7326" w:rsidRDefault="00CB7326" w:rsidP="00CB7326">
      <w:pPr>
        <w:spacing w:line="276" w:lineRule="auto"/>
        <w:rPr>
          <w:rFonts w:ascii="Gill Sans MT" w:hAnsi="Gill Sans MT"/>
        </w:rPr>
      </w:pPr>
      <w:r w:rsidRPr="00CB7326">
        <w:rPr>
          <w:rFonts w:ascii="Gill Sans MT" w:hAnsi="Gill Sans MT"/>
        </w:rPr>
        <w:t>The Resilience Score is derived solely from items 41 through 50, which assess culturally grounded healing practices such as ancestral connection, community solidarity, and spiritual resistance. This score is excluded from the TTI to preserve its interpretive independence. Its separation reflects the BBRTQ’s theoretical commitment to non-</w:t>
      </w:r>
      <w:proofErr w:type="spellStart"/>
      <w:r w:rsidRPr="00CB7326">
        <w:rPr>
          <w:rFonts w:ascii="Gill Sans MT" w:hAnsi="Gill Sans MT"/>
        </w:rPr>
        <w:t>pathologising</w:t>
      </w:r>
      <w:proofErr w:type="spellEnd"/>
      <w:r w:rsidRPr="00CB7326">
        <w:rPr>
          <w:rFonts w:ascii="Gill Sans MT" w:hAnsi="Gill Sans MT"/>
        </w:rPr>
        <w:t xml:space="preserve"> assessment and its recognition that resilience is not the absence of trauma, but a response to it. Interpretation bands for the Resilience Score help practitioners assess the degree of engagement with protective strategies and tailor interventions accordingly.</w:t>
      </w:r>
    </w:p>
    <w:p w14:paraId="1007EF7A" w14:textId="71509A20" w:rsidR="00CB7326" w:rsidRPr="00CB7326" w:rsidRDefault="00CB7326" w:rsidP="00CB7326">
      <w:pPr>
        <w:spacing w:line="276" w:lineRule="auto"/>
        <w:rPr>
          <w:rFonts w:ascii="Gill Sans MT" w:hAnsi="Gill Sans MT"/>
          <w:b/>
          <w:bCs/>
        </w:rPr>
      </w:pPr>
      <w:r>
        <w:rPr>
          <w:rFonts w:ascii="Gill Sans MT" w:hAnsi="Gill Sans MT"/>
          <w:b/>
          <w:bCs/>
        </w:rPr>
        <w:t xml:space="preserve">4.6 </w:t>
      </w:r>
      <w:r w:rsidRPr="00CB7326">
        <w:rPr>
          <w:rFonts w:ascii="Gill Sans MT" w:hAnsi="Gill Sans MT"/>
          <w:b/>
          <w:bCs/>
        </w:rPr>
        <w:t>Dual-Scoring Architecture and Clinical Utility</w:t>
      </w:r>
    </w:p>
    <w:p w14:paraId="1B7AC85B" w14:textId="77777777" w:rsidR="00CB7326" w:rsidRPr="00CB7326" w:rsidRDefault="00CB7326" w:rsidP="00CB7326">
      <w:pPr>
        <w:spacing w:line="276" w:lineRule="auto"/>
        <w:rPr>
          <w:rFonts w:ascii="Gill Sans MT" w:hAnsi="Gill Sans MT"/>
        </w:rPr>
      </w:pPr>
      <w:r w:rsidRPr="00CB7326">
        <w:rPr>
          <w:rFonts w:ascii="Gill Sans MT" w:hAnsi="Gill Sans MT"/>
        </w:rPr>
        <w:t>The dual-scoring architecture of the BBRTQ—separating trauma burden from resilience capacity—supports both clinical precision and ethical practice. It enables the identification of complex trauma profiles, such as individuals who exhibit high trauma burden alongside strong coping, or those whose low resilience may amplify the impact of racialised harm. This structure affirms the BBRTQ’s foundational aim: to measure racial trauma in a way that is culturally specific, clinically meaningful, and respectful of Black British lived experience.</w:t>
      </w:r>
    </w:p>
    <w:p w14:paraId="55552E78" w14:textId="3D7110B8" w:rsidR="000C133A" w:rsidRPr="005B4896" w:rsidRDefault="005B4896" w:rsidP="00A140C6">
      <w:pPr>
        <w:spacing w:line="276" w:lineRule="auto"/>
        <w:rPr>
          <w:rFonts w:ascii="Gill Sans MT" w:hAnsi="Gill Sans MT"/>
          <w:b/>
          <w:bCs/>
          <w:sz w:val="28"/>
          <w:szCs w:val="28"/>
        </w:rPr>
      </w:pPr>
      <w:r>
        <w:rPr>
          <w:rFonts w:ascii="Gill Sans MT" w:hAnsi="Gill Sans MT"/>
          <w:b/>
          <w:bCs/>
          <w:sz w:val="28"/>
          <w:szCs w:val="28"/>
        </w:rPr>
        <w:t xml:space="preserve">5. </w:t>
      </w:r>
      <w:r w:rsidRPr="005B4896">
        <w:rPr>
          <w:rFonts w:ascii="Gill Sans MT" w:hAnsi="Gill Sans MT"/>
          <w:b/>
          <w:bCs/>
          <w:sz w:val="28"/>
          <w:szCs w:val="28"/>
        </w:rPr>
        <w:t>Results</w:t>
      </w:r>
    </w:p>
    <w:p w14:paraId="75E4FD8F" w14:textId="16BC766B" w:rsidR="00A140C6" w:rsidRPr="00A140C6" w:rsidRDefault="005B4896" w:rsidP="00A140C6">
      <w:pPr>
        <w:spacing w:line="276" w:lineRule="auto"/>
        <w:rPr>
          <w:rFonts w:ascii="Gill Sans MT" w:hAnsi="Gill Sans MT"/>
          <w:b/>
          <w:bCs/>
        </w:rPr>
      </w:pPr>
      <w:r>
        <w:rPr>
          <w:rFonts w:ascii="Gill Sans MT" w:hAnsi="Gill Sans MT"/>
          <w:b/>
          <w:bCs/>
        </w:rPr>
        <w:t>5.1</w:t>
      </w:r>
      <w:r w:rsidR="00A140C6" w:rsidRPr="00A140C6">
        <w:rPr>
          <w:rFonts w:ascii="Gill Sans MT" w:hAnsi="Gill Sans MT"/>
          <w:b/>
          <w:bCs/>
        </w:rPr>
        <w:t xml:space="preserve"> Data Analysis</w:t>
      </w:r>
    </w:p>
    <w:p w14:paraId="6CE03B0D" w14:textId="77777777" w:rsidR="00A140C6" w:rsidRPr="00A140C6" w:rsidRDefault="00A140C6" w:rsidP="00A140C6">
      <w:pPr>
        <w:spacing w:line="276" w:lineRule="auto"/>
        <w:rPr>
          <w:rFonts w:ascii="Gill Sans MT" w:hAnsi="Gill Sans MT"/>
        </w:rPr>
      </w:pPr>
      <w:r w:rsidRPr="00A140C6">
        <w:rPr>
          <w:rFonts w:ascii="Gill Sans MT" w:hAnsi="Gill Sans MT"/>
        </w:rPr>
        <w:t>Quantitative data were analysed using SPSS (v28) and R (v4.3.1). Exploratory factor analysis (EFA) was employed to determine the underlying factor structure, using principal axis factoring with oblique rotation. The analysis revealed a six-factor solution accounting for 71.2% of the total variance. The Kaiser-Meyer-Olkin (KMO) measure was .81, and Bartlett’s test of sphericity was significant (</w:t>
      </w:r>
      <w:r w:rsidRPr="00A140C6">
        <w:rPr>
          <w:rFonts w:ascii="Calibri" w:hAnsi="Calibri" w:cs="Calibri"/>
        </w:rPr>
        <w:t>χ</w:t>
      </w:r>
      <w:r w:rsidRPr="00A140C6">
        <w:rPr>
          <w:rFonts w:ascii="Gill Sans MT" w:hAnsi="Gill Sans MT" w:cs="Gill Sans MT"/>
        </w:rPr>
        <w:t>²</w:t>
      </w:r>
      <w:r w:rsidRPr="00A140C6">
        <w:rPr>
          <w:rFonts w:ascii="Gill Sans MT" w:hAnsi="Gill Sans MT"/>
        </w:rPr>
        <w:t xml:space="preserve"> = 512.6, </w:t>
      </w:r>
      <w:proofErr w:type="spellStart"/>
      <w:r w:rsidRPr="00A140C6">
        <w:rPr>
          <w:rFonts w:ascii="Gill Sans MT" w:hAnsi="Gill Sans MT"/>
        </w:rPr>
        <w:t>df</w:t>
      </w:r>
      <w:proofErr w:type="spellEnd"/>
      <w:r w:rsidRPr="00A140C6">
        <w:rPr>
          <w:rFonts w:ascii="Gill Sans MT" w:hAnsi="Gill Sans MT"/>
        </w:rPr>
        <w:t xml:space="preserve"> = 120, p &lt; .001), confirming sampling adequacy. Factor loadings ranged from .62 to .88, with minimal cross-loading.</w:t>
      </w:r>
    </w:p>
    <w:p w14:paraId="71465556" w14:textId="77777777" w:rsidR="00A140C6" w:rsidRPr="00A140C6" w:rsidRDefault="00A140C6" w:rsidP="00A140C6">
      <w:pPr>
        <w:spacing w:line="276" w:lineRule="auto"/>
        <w:rPr>
          <w:rFonts w:ascii="Gill Sans MT" w:hAnsi="Gill Sans MT"/>
        </w:rPr>
      </w:pPr>
      <w:r w:rsidRPr="00A140C6">
        <w:rPr>
          <w:rFonts w:ascii="Gill Sans MT" w:hAnsi="Gill Sans MT"/>
        </w:rPr>
        <w:t xml:space="preserve">Internal consistency was assessed using Cronbach’s alpha, which demonstrated excellent reliability across the instrument. The overall alpha was .91, with subscale alphas ranging from .84 to .91. Descriptive statistics for the Total Trauma Index (TTI) and the Resilience Score further affirmed </w:t>
      </w:r>
      <w:r w:rsidRPr="00A140C6">
        <w:rPr>
          <w:rFonts w:ascii="Gill Sans MT" w:hAnsi="Gill Sans MT"/>
        </w:rPr>
        <w:lastRenderedPageBreak/>
        <w:t>the BBRTQ’s internal coherence and interpretive utility. TTI scores ranged from 58 to 232 (M = 146.2, SD = 38.7), while Resilience Scores ranged from 12 to 48 (M = 31.4, SD = 7.9). As expected, the Resilience Score was negatively correlated with the TTI (r = –.42, p &lt; .001), suggesting that higher engagement with healing practices may buffer the psychological impact of racial trauma. Regression modelling revealed that resilience significantly moderated the relationship between systemic exclusion and emotional distress (</w:t>
      </w:r>
      <w:r w:rsidRPr="00A140C6">
        <w:rPr>
          <w:rFonts w:ascii="Calibri" w:hAnsi="Calibri" w:cs="Calibri"/>
        </w:rPr>
        <w:t>β</w:t>
      </w:r>
      <w:r w:rsidRPr="00A140C6">
        <w:rPr>
          <w:rFonts w:ascii="Gill Sans MT" w:hAnsi="Gill Sans MT"/>
        </w:rPr>
        <w:t xml:space="preserve"> = </w:t>
      </w:r>
      <w:r w:rsidRPr="00A140C6">
        <w:rPr>
          <w:rFonts w:ascii="Gill Sans MT" w:hAnsi="Gill Sans MT" w:cs="Gill Sans MT"/>
        </w:rPr>
        <w:t>–</w:t>
      </w:r>
      <w:r w:rsidRPr="00A140C6">
        <w:rPr>
          <w:rFonts w:ascii="Gill Sans MT" w:hAnsi="Gill Sans MT"/>
        </w:rPr>
        <w:t>.31, p &lt; .01), underscoring the clinical relevance of scoring trauma and resilience independently.</w:t>
      </w:r>
    </w:p>
    <w:p w14:paraId="753EBA12" w14:textId="0C6CE45C" w:rsidR="00CB7326" w:rsidRPr="00CB7326" w:rsidRDefault="00D80FBB" w:rsidP="00A140C6">
      <w:pPr>
        <w:spacing w:line="276" w:lineRule="auto"/>
        <w:rPr>
          <w:rFonts w:ascii="Gill Sans MT" w:hAnsi="Gill Sans MT"/>
          <w:b/>
          <w:bCs/>
        </w:rPr>
      </w:pPr>
      <w:r>
        <w:rPr>
          <w:rFonts w:ascii="Gill Sans MT" w:hAnsi="Gill Sans MT"/>
          <w:b/>
          <w:bCs/>
        </w:rPr>
        <w:t xml:space="preserve">5. </w:t>
      </w:r>
      <w:r w:rsidR="00CB7326" w:rsidRPr="00CB7326">
        <w:rPr>
          <w:rFonts w:ascii="Gill Sans MT" w:hAnsi="Gill Sans MT"/>
          <w:b/>
          <w:bCs/>
        </w:rPr>
        <w:t>Findings</w:t>
      </w:r>
    </w:p>
    <w:p w14:paraId="3244A893" w14:textId="3C35C120" w:rsidR="00A140C6" w:rsidRDefault="00A140C6" w:rsidP="00A140C6">
      <w:pPr>
        <w:spacing w:line="276" w:lineRule="auto"/>
        <w:rPr>
          <w:rFonts w:ascii="Gill Sans MT" w:hAnsi="Gill Sans MT"/>
        </w:rPr>
      </w:pPr>
      <w:r w:rsidRPr="00A140C6">
        <w:rPr>
          <w:rFonts w:ascii="Gill Sans MT" w:hAnsi="Gill Sans MT"/>
        </w:rPr>
        <w:t>Comparative analysis revealed that while existing tools captured general distress or U.S.-specific racial trauma, they lacked ecological validity for Black British populations. The BBRTQ outperformed these instruments in capturing contextually grounded experiences of racial trauma, particularly in domains such as institutional betrayal, symbolic trauma, and survival-based coping. Unlike general distress scales, the BBRTQ’s items were designed to reflect UK-specific sociopolitical realities. These culturally embedded constructs were not only psychometrically robust but also clinically meaningful, offering practitioners a more precise lens for diagnosis, intervention, and advocacy.</w:t>
      </w:r>
    </w:p>
    <w:p w14:paraId="181F6CBD" w14:textId="7F3C1493" w:rsidR="000C133A" w:rsidRPr="000C133A" w:rsidRDefault="005B4896" w:rsidP="00FB4E81">
      <w:pPr>
        <w:spacing w:line="276" w:lineRule="auto"/>
        <w:rPr>
          <w:rFonts w:ascii="Gill Sans MT" w:hAnsi="Gill Sans MT"/>
          <w:b/>
          <w:bCs/>
          <w:sz w:val="28"/>
          <w:szCs w:val="28"/>
        </w:rPr>
      </w:pPr>
      <w:r>
        <w:rPr>
          <w:rFonts w:ascii="Gill Sans MT" w:hAnsi="Gill Sans MT"/>
          <w:b/>
          <w:bCs/>
          <w:sz w:val="28"/>
          <w:szCs w:val="28"/>
        </w:rPr>
        <w:t xml:space="preserve">6. </w:t>
      </w:r>
      <w:r w:rsidR="000C133A" w:rsidRPr="000C133A">
        <w:rPr>
          <w:rFonts w:ascii="Gill Sans MT" w:hAnsi="Gill Sans MT"/>
          <w:b/>
          <w:bCs/>
          <w:sz w:val="28"/>
          <w:szCs w:val="28"/>
        </w:rPr>
        <w:t>Discussion and Application</w:t>
      </w:r>
    </w:p>
    <w:p w14:paraId="5EEDBA1D" w14:textId="4B6E0A2D" w:rsidR="009A262C" w:rsidRPr="009A262C" w:rsidRDefault="005B4896" w:rsidP="00FB4E81">
      <w:pPr>
        <w:spacing w:line="276" w:lineRule="auto"/>
        <w:rPr>
          <w:rFonts w:ascii="Gill Sans MT" w:hAnsi="Gill Sans MT"/>
          <w:b/>
          <w:bCs/>
        </w:rPr>
      </w:pPr>
      <w:r>
        <w:rPr>
          <w:rFonts w:ascii="Gill Sans MT" w:hAnsi="Gill Sans MT"/>
          <w:b/>
          <w:bCs/>
        </w:rPr>
        <w:t>6.</w:t>
      </w:r>
      <w:r w:rsidR="00BB43CE">
        <w:rPr>
          <w:rFonts w:ascii="Gill Sans MT" w:hAnsi="Gill Sans MT"/>
          <w:b/>
          <w:bCs/>
        </w:rPr>
        <w:t>1</w:t>
      </w:r>
      <w:r w:rsidR="009A262C" w:rsidRPr="009A262C">
        <w:rPr>
          <w:rFonts w:ascii="Gill Sans MT" w:hAnsi="Gill Sans MT"/>
          <w:b/>
          <w:bCs/>
        </w:rPr>
        <w:t xml:space="preserve"> Use in Practice</w:t>
      </w:r>
    </w:p>
    <w:p w14:paraId="6109DA07" w14:textId="78DB0E20" w:rsidR="009A262C" w:rsidRDefault="009A262C" w:rsidP="00FB4E81">
      <w:pPr>
        <w:spacing w:after="0" w:line="276" w:lineRule="auto"/>
        <w:rPr>
          <w:rFonts w:ascii="Gill Sans MT" w:hAnsi="Gill Sans MT"/>
        </w:rPr>
      </w:pPr>
      <w:r w:rsidRPr="009A262C">
        <w:rPr>
          <w:rFonts w:ascii="Gill Sans MT" w:hAnsi="Gill Sans MT"/>
        </w:rPr>
        <w:t>The BBRTQ can be administered in clinical, educational, and research settings</w:t>
      </w:r>
      <w:r w:rsidR="00534042">
        <w:rPr>
          <w:rFonts w:ascii="Gill Sans MT" w:hAnsi="Gill Sans MT"/>
        </w:rPr>
        <w:t xml:space="preserve">, and </w:t>
      </w:r>
      <w:r w:rsidRPr="009A262C">
        <w:rPr>
          <w:rFonts w:ascii="Gill Sans MT" w:hAnsi="Gill Sans MT"/>
        </w:rPr>
        <w:t>is suitable for:</w:t>
      </w:r>
    </w:p>
    <w:p w14:paraId="209E3BDB" w14:textId="77777777" w:rsidR="00534042" w:rsidRPr="009A262C" w:rsidRDefault="00534042" w:rsidP="0052540E">
      <w:pPr>
        <w:pStyle w:val="NoSpacing"/>
      </w:pPr>
    </w:p>
    <w:p w14:paraId="51FE232C" w14:textId="77777777" w:rsidR="009A262C" w:rsidRPr="009A262C" w:rsidRDefault="009A262C" w:rsidP="00FB4E81">
      <w:pPr>
        <w:numPr>
          <w:ilvl w:val="0"/>
          <w:numId w:val="57"/>
        </w:numPr>
        <w:spacing w:after="0" w:line="276" w:lineRule="auto"/>
        <w:rPr>
          <w:rFonts w:ascii="Gill Sans MT" w:hAnsi="Gill Sans MT"/>
        </w:rPr>
      </w:pPr>
      <w:r w:rsidRPr="009A262C">
        <w:rPr>
          <w:rFonts w:ascii="Gill Sans MT" w:hAnsi="Gill Sans MT"/>
        </w:rPr>
        <w:t>Initial trauma screening</w:t>
      </w:r>
    </w:p>
    <w:p w14:paraId="1D9826A7" w14:textId="77777777" w:rsidR="009A262C" w:rsidRPr="009A262C" w:rsidRDefault="009A262C" w:rsidP="00FB4E81">
      <w:pPr>
        <w:numPr>
          <w:ilvl w:val="0"/>
          <w:numId w:val="57"/>
        </w:numPr>
        <w:spacing w:after="0" w:line="276" w:lineRule="auto"/>
        <w:rPr>
          <w:rFonts w:ascii="Gill Sans MT" w:hAnsi="Gill Sans MT"/>
        </w:rPr>
      </w:pPr>
      <w:r w:rsidRPr="009A262C">
        <w:rPr>
          <w:rFonts w:ascii="Gill Sans MT" w:hAnsi="Gill Sans MT"/>
        </w:rPr>
        <w:t>Culturally informed case formulation</w:t>
      </w:r>
    </w:p>
    <w:p w14:paraId="710F9C12" w14:textId="77777777" w:rsidR="009A262C" w:rsidRPr="009A262C" w:rsidRDefault="009A262C" w:rsidP="00FB4E81">
      <w:pPr>
        <w:numPr>
          <w:ilvl w:val="0"/>
          <w:numId w:val="57"/>
        </w:numPr>
        <w:spacing w:after="0" w:line="276" w:lineRule="auto"/>
        <w:rPr>
          <w:rFonts w:ascii="Gill Sans MT" w:hAnsi="Gill Sans MT"/>
        </w:rPr>
      </w:pPr>
      <w:r w:rsidRPr="009A262C">
        <w:rPr>
          <w:rFonts w:ascii="Gill Sans MT" w:hAnsi="Gill Sans MT"/>
        </w:rPr>
        <w:t>Monitoring therapeutic progress</w:t>
      </w:r>
    </w:p>
    <w:p w14:paraId="7EE362B6" w14:textId="77777777" w:rsidR="009A262C" w:rsidRPr="009A262C" w:rsidRDefault="009A262C" w:rsidP="00FB4E81">
      <w:pPr>
        <w:numPr>
          <w:ilvl w:val="0"/>
          <w:numId w:val="57"/>
        </w:numPr>
        <w:spacing w:after="0" w:line="276" w:lineRule="auto"/>
        <w:rPr>
          <w:rFonts w:ascii="Gill Sans MT" w:hAnsi="Gill Sans MT"/>
        </w:rPr>
      </w:pPr>
      <w:r w:rsidRPr="009A262C">
        <w:rPr>
          <w:rFonts w:ascii="Gill Sans MT" w:hAnsi="Gill Sans MT"/>
        </w:rPr>
        <w:t>Evaluating racial climate and institutional harm</w:t>
      </w:r>
    </w:p>
    <w:p w14:paraId="744EC9D7" w14:textId="77777777" w:rsidR="009A262C" w:rsidRDefault="009A262C" w:rsidP="00FB4E81">
      <w:pPr>
        <w:numPr>
          <w:ilvl w:val="0"/>
          <w:numId w:val="57"/>
        </w:numPr>
        <w:spacing w:after="0" w:line="276" w:lineRule="auto"/>
        <w:rPr>
          <w:rFonts w:ascii="Gill Sans MT" w:hAnsi="Gill Sans MT"/>
        </w:rPr>
      </w:pPr>
      <w:r w:rsidRPr="009A262C">
        <w:rPr>
          <w:rFonts w:ascii="Gill Sans MT" w:hAnsi="Gill Sans MT"/>
        </w:rPr>
        <w:t>Supporting advocacy and policy development</w:t>
      </w:r>
    </w:p>
    <w:p w14:paraId="01A30B73" w14:textId="77777777" w:rsidR="001820F0" w:rsidRPr="009A262C" w:rsidRDefault="001820F0" w:rsidP="00FB4E81">
      <w:pPr>
        <w:spacing w:after="0" w:line="276" w:lineRule="auto"/>
        <w:ind w:left="720"/>
        <w:rPr>
          <w:rFonts w:ascii="Gill Sans MT" w:hAnsi="Gill Sans MT"/>
        </w:rPr>
      </w:pPr>
    </w:p>
    <w:p w14:paraId="0DA22256" w14:textId="77777777" w:rsidR="009A262C" w:rsidRDefault="009A262C" w:rsidP="00FB4E81">
      <w:pPr>
        <w:spacing w:line="276" w:lineRule="auto"/>
        <w:rPr>
          <w:rFonts w:ascii="Gill Sans MT" w:hAnsi="Gill Sans MT"/>
        </w:rPr>
      </w:pPr>
      <w:r w:rsidRPr="009A262C">
        <w:rPr>
          <w:rFonts w:ascii="Gill Sans MT" w:hAnsi="Gill Sans MT"/>
        </w:rPr>
        <w:t>Practitioners are advised to use the BBRTQ alongside clinical interviews and complementary measures to ensure comprehensive assessment.</w:t>
      </w:r>
    </w:p>
    <w:p w14:paraId="451AF38A" w14:textId="3BBDA28C" w:rsidR="008E2FDD" w:rsidRPr="008E2FDD" w:rsidRDefault="00BB43CE" w:rsidP="00FB4E81">
      <w:pPr>
        <w:spacing w:line="276" w:lineRule="auto"/>
        <w:rPr>
          <w:rFonts w:ascii="Gill Sans MT" w:hAnsi="Gill Sans MT"/>
          <w:b/>
          <w:bCs/>
        </w:rPr>
      </w:pPr>
      <w:r>
        <w:rPr>
          <w:rFonts w:ascii="Gill Sans MT" w:hAnsi="Gill Sans MT"/>
          <w:b/>
          <w:bCs/>
        </w:rPr>
        <w:t>6.2</w:t>
      </w:r>
      <w:r w:rsidR="00192A9F">
        <w:rPr>
          <w:rFonts w:ascii="Gill Sans MT" w:hAnsi="Gill Sans MT"/>
          <w:b/>
          <w:bCs/>
        </w:rPr>
        <w:t xml:space="preserve"> </w:t>
      </w:r>
      <w:r w:rsidR="008E2FDD" w:rsidRPr="008E2FDD">
        <w:rPr>
          <w:rFonts w:ascii="Gill Sans MT" w:hAnsi="Gill Sans MT"/>
          <w:b/>
          <w:bCs/>
        </w:rPr>
        <w:t>Cultural Validity and Interpretive Flexibility</w:t>
      </w:r>
    </w:p>
    <w:p w14:paraId="68BA6B31" w14:textId="77777777" w:rsidR="0052115F" w:rsidRDefault="008E2FDD" w:rsidP="008434C6">
      <w:pPr>
        <w:spacing w:line="276" w:lineRule="auto"/>
        <w:rPr>
          <w:rFonts w:ascii="Gill Sans MT" w:hAnsi="Gill Sans MT"/>
        </w:rPr>
      </w:pPr>
      <w:r w:rsidRPr="008E2FDD">
        <w:rPr>
          <w:rFonts w:ascii="Gill Sans MT" w:hAnsi="Gill Sans MT"/>
        </w:rPr>
        <w:t xml:space="preserve">The development of the Black British Racial Trauma Questionnaire (BBRTQ) was guided by the imperative to produce a culturally valid instrument that reflects the lived realities of African and African Caribbean populations in the United Kingdom. While several instruments have emerged globally to measure race-related stress (e.g., Carter, 2007; Utsey &amp; </w:t>
      </w:r>
      <w:proofErr w:type="spellStart"/>
      <w:r w:rsidRPr="008E2FDD">
        <w:rPr>
          <w:rFonts w:ascii="Gill Sans MT" w:hAnsi="Gill Sans MT"/>
        </w:rPr>
        <w:t>Ponterotto</w:t>
      </w:r>
      <w:proofErr w:type="spellEnd"/>
      <w:r w:rsidRPr="008E2FDD">
        <w:rPr>
          <w:rFonts w:ascii="Gill Sans MT" w:hAnsi="Gill Sans MT"/>
        </w:rPr>
        <w:t xml:space="preserve">, 1996), few have been designed with the cultural, historical, and institutional specificity required for UK-based populations. Cultural validity refers not only to item relevance but also to the degree to which the BBRTQ’s structure aligns with the sociopolitical realities of Black Britons, including colonial legacies, immigration histories, and racialised interactions with institutions such as the NHS, education system, and Home Office (Devonport et al., 2023; Race Equality Foundation, 2022). </w:t>
      </w:r>
      <w:r w:rsidR="008434C6">
        <w:rPr>
          <w:rFonts w:ascii="Gill Sans MT" w:hAnsi="Gill Sans MT"/>
        </w:rPr>
        <w:t xml:space="preserve"> </w:t>
      </w:r>
    </w:p>
    <w:p w14:paraId="62D4F0D4" w14:textId="186EAB9D" w:rsidR="008E2FDD" w:rsidRPr="008E2FDD" w:rsidRDefault="008E2FDD" w:rsidP="008434C6">
      <w:pPr>
        <w:spacing w:line="276" w:lineRule="auto"/>
        <w:rPr>
          <w:rFonts w:ascii="Gill Sans MT" w:hAnsi="Gill Sans MT"/>
        </w:rPr>
      </w:pPr>
      <w:r w:rsidRPr="008E2FDD">
        <w:rPr>
          <w:rFonts w:ascii="Gill Sans MT" w:hAnsi="Gill Sans MT"/>
        </w:rPr>
        <w:lastRenderedPageBreak/>
        <w:t>The BBRTQ’s six-domain structure was informed by qualitative data, theoretical literature, and community consultation, ensuring that the instrument reflects both psychological and structural dimensions of racial trauma. Its design prioritises resonance, clinical utility, and empirical rigour.</w:t>
      </w:r>
    </w:p>
    <w:p w14:paraId="1E27E243" w14:textId="562DF362" w:rsidR="008E2FDD" w:rsidRPr="008E2FDD" w:rsidRDefault="00BB43CE" w:rsidP="00FB4E81">
      <w:pPr>
        <w:spacing w:line="276" w:lineRule="auto"/>
        <w:rPr>
          <w:rFonts w:ascii="Gill Sans MT" w:hAnsi="Gill Sans MT"/>
          <w:b/>
          <w:bCs/>
        </w:rPr>
      </w:pPr>
      <w:r>
        <w:rPr>
          <w:rFonts w:ascii="Gill Sans MT" w:hAnsi="Gill Sans MT"/>
          <w:b/>
          <w:bCs/>
        </w:rPr>
        <w:t>6.3</w:t>
      </w:r>
      <w:r w:rsidR="008E2FDD" w:rsidRPr="008E2FDD">
        <w:rPr>
          <w:rFonts w:ascii="Gill Sans MT" w:hAnsi="Gill Sans MT"/>
          <w:b/>
          <w:bCs/>
        </w:rPr>
        <w:t xml:space="preserve"> Recognition of Intra-Group Diversity</w:t>
      </w:r>
    </w:p>
    <w:p w14:paraId="7B1FF7BB" w14:textId="77777777" w:rsidR="008E2FDD" w:rsidRDefault="008E2FDD" w:rsidP="00FB4E81">
      <w:pPr>
        <w:spacing w:line="276" w:lineRule="auto"/>
        <w:rPr>
          <w:rFonts w:ascii="Gill Sans MT" w:hAnsi="Gill Sans MT"/>
        </w:rPr>
      </w:pPr>
      <w:r w:rsidRPr="008E2FDD">
        <w:rPr>
          <w:rFonts w:ascii="Gill Sans MT" w:hAnsi="Gill Sans MT"/>
        </w:rPr>
        <w:t>A foundational principle of the BBRTQ is its recognition of intra-group diversity within Black British communities. Racial identity is not experienced uniformly; it is shaped by intersecting factors such as heritage, migration history, generational status, regional context, and personal affiliation (Bryan, 2021; Bakare, 2024). Some individuals may identify strongly with African or Caribbean cultural traditions, while others may relate primarily to a British national identity or experience racial identity as externally imposed. The BBRTQ accommodates this variability by focusing on the psychological impact of racialisation rather than requiring cultural or ideological alignment. This approach ensures that the tool remains inclusive of individuals who are politically disengaged, racially ambivalent, or culturally hybrid (Fricker, 2007). It also supports nuanced clinical formulations that reflect the complexity of racial identity development in the UK, aligning with Helms’ (1990) racial identity theory while avoiding essentialist assumptions.</w:t>
      </w:r>
    </w:p>
    <w:p w14:paraId="146FC782" w14:textId="42A5846D" w:rsidR="008E2FDD" w:rsidRPr="008E2FDD" w:rsidRDefault="00BB43CE" w:rsidP="00FB4E81">
      <w:pPr>
        <w:spacing w:line="276" w:lineRule="auto"/>
        <w:rPr>
          <w:rFonts w:ascii="Gill Sans MT" w:hAnsi="Gill Sans MT"/>
          <w:b/>
          <w:bCs/>
        </w:rPr>
      </w:pPr>
      <w:r>
        <w:rPr>
          <w:rFonts w:ascii="Gill Sans MT" w:hAnsi="Gill Sans MT"/>
          <w:b/>
          <w:bCs/>
        </w:rPr>
        <w:t>6.4</w:t>
      </w:r>
      <w:r w:rsidR="008E2FDD" w:rsidRPr="008E2FDD">
        <w:rPr>
          <w:rFonts w:ascii="Gill Sans MT" w:hAnsi="Gill Sans MT"/>
          <w:b/>
          <w:bCs/>
        </w:rPr>
        <w:t xml:space="preserve"> Neutrality in Item Framing</w:t>
      </w:r>
    </w:p>
    <w:p w14:paraId="1F458265" w14:textId="77777777" w:rsidR="008E2FDD" w:rsidRPr="008E2FDD" w:rsidRDefault="008E2FDD" w:rsidP="00FB4E81">
      <w:pPr>
        <w:spacing w:line="276" w:lineRule="auto"/>
        <w:rPr>
          <w:rFonts w:ascii="Gill Sans MT" w:hAnsi="Gill Sans MT"/>
        </w:rPr>
      </w:pPr>
      <w:r w:rsidRPr="008E2FDD">
        <w:rPr>
          <w:rFonts w:ascii="Gill Sans MT" w:hAnsi="Gill Sans MT"/>
        </w:rPr>
        <w:t>The BBRTQ’s item design reflects a deliberate commitment to political and ideological neutrality. Items are framed to assess emotional, behavioural, and relational responses to racialised environments without presupposing racial literacy, cultural pride, or political engagement. This neutrality enhances the instrument’s clinical applicability, allowing practitioners to use the BBRTQ with clients who may not identify with activist frameworks or who may be sceptical of racial discourse (Williams et al., 2022). For example, items related to emotional suppression, institutional mistrust, or identity disruption are phrased in ways that invite reflection without requiring endorsement of specific narratives. This design strategy supports ethical assessment practices by respecting client autonomy and avoiding interpretive imposition (Mantovani &amp; Smith, 2021). The BBRTQ’s neutrality does not dilute its cultural specificity; rather, it ensures that the tool can be used across diverse therapeutic contexts, including those where racial trauma may be under-recognised or contested.</w:t>
      </w:r>
    </w:p>
    <w:p w14:paraId="48A8310F" w14:textId="7BC448E5" w:rsidR="008E2FDD" w:rsidRPr="008E2FDD" w:rsidRDefault="00BB43CE" w:rsidP="00FB4E81">
      <w:pPr>
        <w:spacing w:line="276" w:lineRule="auto"/>
        <w:rPr>
          <w:rFonts w:ascii="Gill Sans MT" w:hAnsi="Gill Sans MT"/>
          <w:b/>
          <w:bCs/>
        </w:rPr>
      </w:pPr>
      <w:r>
        <w:rPr>
          <w:rFonts w:ascii="Gill Sans MT" w:hAnsi="Gill Sans MT"/>
          <w:b/>
          <w:bCs/>
        </w:rPr>
        <w:t>6</w:t>
      </w:r>
      <w:r w:rsidR="008E2FDD" w:rsidRPr="008E2FDD">
        <w:rPr>
          <w:rFonts w:ascii="Gill Sans MT" w:hAnsi="Gill Sans MT"/>
          <w:b/>
          <w:bCs/>
        </w:rPr>
        <w:t>.</w:t>
      </w:r>
      <w:r>
        <w:rPr>
          <w:rFonts w:ascii="Gill Sans MT" w:hAnsi="Gill Sans MT"/>
          <w:b/>
          <w:bCs/>
        </w:rPr>
        <w:t>5</w:t>
      </w:r>
      <w:r w:rsidR="008E2FDD" w:rsidRPr="008E2FDD">
        <w:rPr>
          <w:rFonts w:ascii="Gill Sans MT" w:hAnsi="Gill Sans MT"/>
          <w:b/>
          <w:bCs/>
        </w:rPr>
        <w:t xml:space="preserve"> Participant Feedback and Resonance</w:t>
      </w:r>
    </w:p>
    <w:p w14:paraId="776EFA84" w14:textId="77777777" w:rsidR="008E2FDD" w:rsidRPr="008E2FDD" w:rsidRDefault="008E2FDD" w:rsidP="00FB4E81">
      <w:pPr>
        <w:spacing w:line="276" w:lineRule="auto"/>
        <w:rPr>
          <w:rFonts w:ascii="Gill Sans MT" w:hAnsi="Gill Sans MT"/>
        </w:rPr>
      </w:pPr>
      <w:r w:rsidRPr="008E2FDD">
        <w:rPr>
          <w:rFonts w:ascii="Gill Sans MT" w:hAnsi="Gill Sans MT"/>
        </w:rPr>
        <w:t xml:space="preserve">Participant feedback during the BBRTQ’s preliminary testing phase provided strong evidence of its cultural resonance and thematic relevance. Respondents described the questionnaire as “accurate,” “emotionally powerful,” and “validating,” with many noting that it captured aspects of their psychological experience that had previously been overlooked in clinical settings (Mantovani &amp; Smith, 2021). This feedback was consistent across heritage backgrounds, gender identities, and levels of racial consciousness, suggesting that the BBRTQ’s constructs are broadly applicable within Black British populations. Several participants reported that the BBRTQ helped them articulate experiences of racial harm that they had struggled to express in therapy or everyday conversation. Others highlighted the importance of seeing their distress reflected in a structured, professionally designed tool. This qualitative data supports the BBRTQ’s interpretive flexibility and affirms its </w:t>
      </w:r>
      <w:r w:rsidRPr="008E2FDD">
        <w:rPr>
          <w:rFonts w:ascii="Gill Sans MT" w:hAnsi="Gill Sans MT"/>
        </w:rPr>
        <w:lastRenderedPageBreak/>
        <w:t>potential to disrupt diagnostic invisibility, a concern echoed in recent UK-based trauma literature (Samuel &amp; Simonds, 2025; Alleyne, 2024).</w:t>
      </w:r>
    </w:p>
    <w:p w14:paraId="778D93A2" w14:textId="5C1E4BB6" w:rsidR="008E2FDD" w:rsidRPr="008E2FDD" w:rsidRDefault="00BB43CE" w:rsidP="00FB4E81">
      <w:pPr>
        <w:spacing w:line="276" w:lineRule="auto"/>
        <w:rPr>
          <w:rFonts w:ascii="Gill Sans MT" w:hAnsi="Gill Sans MT"/>
          <w:b/>
          <w:bCs/>
        </w:rPr>
      </w:pPr>
      <w:r>
        <w:rPr>
          <w:rFonts w:ascii="Gill Sans MT" w:hAnsi="Gill Sans MT"/>
          <w:b/>
          <w:bCs/>
        </w:rPr>
        <w:t>6.6</w:t>
      </w:r>
      <w:r w:rsidR="008E2FDD" w:rsidRPr="008E2FDD">
        <w:rPr>
          <w:rFonts w:ascii="Gill Sans MT" w:hAnsi="Gill Sans MT"/>
          <w:b/>
          <w:bCs/>
        </w:rPr>
        <w:t xml:space="preserve"> Applicability Across Clinical and Research Contexts</w:t>
      </w:r>
    </w:p>
    <w:p w14:paraId="0D65AD75" w14:textId="77777777" w:rsidR="008E2FDD" w:rsidRPr="008E2FDD" w:rsidRDefault="008E2FDD" w:rsidP="00FB4E81">
      <w:pPr>
        <w:spacing w:line="276" w:lineRule="auto"/>
        <w:rPr>
          <w:rFonts w:ascii="Gill Sans MT" w:hAnsi="Gill Sans MT"/>
        </w:rPr>
      </w:pPr>
      <w:r w:rsidRPr="008E2FDD">
        <w:rPr>
          <w:rFonts w:ascii="Gill Sans MT" w:hAnsi="Gill Sans MT"/>
        </w:rPr>
        <w:t>The BBRTQ’s inclusive design enhances its utility across a range of clinical, educational, and research contexts. In clinical practice, the tool can support trauma-informed assessment, case formulation, and treatment planning for clients presenting with racialised distress (Comas-Díaz et al., 2019). Its six-domain structure allows for targeted exploration of emotional impact, identity disruption, systemic exclusion, and resilience, enabling practitioners to develop culturally attuned interventions. In research settings, the BBRTQ facilitates the study of racial trauma across subgroups within the Black British population, including comparative analyses by age, gender, region, and socioeconomic status (Devonport et al., 2023). It also supports longitudinal tracking of trauma symptoms and evaluation of therapeutic outcomes. In educational and policy contexts, the BBRTQ can inform curriculum development, staff training, and institutional audits. Its flexibility and cultural specificity make it a valuable resource for advancing racial equity across sectors, while its psychometric structure ensures methodological rigour and replicability.</w:t>
      </w:r>
    </w:p>
    <w:p w14:paraId="10BC21DF" w14:textId="763BE032" w:rsidR="008E2FDD" w:rsidRPr="008E2FDD" w:rsidRDefault="00BB43CE" w:rsidP="00FB4E81">
      <w:pPr>
        <w:spacing w:line="276" w:lineRule="auto"/>
        <w:rPr>
          <w:rFonts w:ascii="Gill Sans MT" w:hAnsi="Gill Sans MT"/>
          <w:b/>
          <w:bCs/>
        </w:rPr>
      </w:pPr>
      <w:r>
        <w:rPr>
          <w:rFonts w:ascii="Gill Sans MT" w:hAnsi="Gill Sans MT"/>
          <w:b/>
          <w:bCs/>
        </w:rPr>
        <w:t>6.7</w:t>
      </w:r>
      <w:r w:rsidR="008E2FDD" w:rsidRPr="008E2FDD">
        <w:rPr>
          <w:rFonts w:ascii="Gill Sans MT" w:hAnsi="Gill Sans MT"/>
          <w:b/>
          <w:bCs/>
        </w:rPr>
        <w:t xml:space="preserve"> Epistemic Justice and Diagnostic Visibility</w:t>
      </w:r>
    </w:p>
    <w:p w14:paraId="23C45C55" w14:textId="77777777" w:rsidR="00D80FBB" w:rsidRDefault="008E2FDD" w:rsidP="00FB4E81">
      <w:pPr>
        <w:spacing w:line="276" w:lineRule="auto"/>
        <w:rPr>
          <w:rFonts w:ascii="Gill Sans MT" w:hAnsi="Gill Sans MT"/>
        </w:rPr>
      </w:pPr>
      <w:r w:rsidRPr="008E2FDD">
        <w:rPr>
          <w:rFonts w:ascii="Gill Sans MT" w:hAnsi="Gill Sans MT"/>
        </w:rPr>
        <w:t xml:space="preserve">The BBRTQ contributes to epistemic justice by providing a structured means of articulating racialised distress within clinical and academic frameworks. Historically, Black British experiences of racial trauma have been marginalised, misdiagnosed, or rendered invisible within mainstream psychological discourse (Bryant-Davis &amp; Ocampo, 2005; Carter, 2007). The BBRTQ addresses this gap by operationalising constructs such as symbolic trauma, institutional betrayal, and ancestral grief—experiences that are often excluded from conventional trauma measures. </w:t>
      </w:r>
    </w:p>
    <w:p w14:paraId="2DCEDEBA" w14:textId="48814F19" w:rsidR="006C675D" w:rsidRDefault="008E2FDD" w:rsidP="00FB4E81">
      <w:pPr>
        <w:spacing w:line="276" w:lineRule="auto"/>
        <w:rPr>
          <w:rFonts w:ascii="Gill Sans MT" w:hAnsi="Gill Sans MT"/>
        </w:rPr>
      </w:pPr>
      <w:r w:rsidRPr="008E2FDD">
        <w:rPr>
          <w:rFonts w:ascii="Gill Sans MT" w:hAnsi="Gill Sans MT"/>
        </w:rPr>
        <w:t xml:space="preserve">This inclusion affirms the legitimacy of racialised distress and enables its recognition within diagnostic and therapeutic systems. The BBRTQ also supports diagnostic visibility by offering language and structure for experiences that may otherwise be dismissed or </w:t>
      </w:r>
      <w:proofErr w:type="spellStart"/>
      <w:r w:rsidRPr="008E2FDD">
        <w:rPr>
          <w:rFonts w:ascii="Gill Sans MT" w:hAnsi="Gill Sans MT"/>
        </w:rPr>
        <w:t>pathologised</w:t>
      </w:r>
      <w:proofErr w:type="spellEnd"/>
      <w:r w:rsidRPr="008E2FDD">
        <w:rPr>
          <w:rFonts w:ascii="Gill Sans MT" w:hAnsi="Gill Sans MT"/>
        </w:rPr>
        <w:t xml:space="preserve">. It does not seek to define Black identity but to illuminate the psychological consequences of racial harm. In doing so, it empowers individuals to name their distress, clinicians to validate it, and institutions to respond to it. </w:t>
      </w:r>
    </w:p>
    <w:p w14:paraId="1C6C1C9D" w14:textId="066A0F05" w:rsidR="008E2FDD" w:rsidRDefault="008E2FDD" w:rsidP="00FB4E81">
      <w:pPr>
        <w:spacing w:line="276" w:lineRule="auto"/>
        <w:rPr>
          <w:rFonts w:ascii="Gill Sans MT" w:hAnsi="Gill Sans MT"/>
        </w:rPr>
      </w:pPr>
      <w:r w:rsidRPr="008E2FDD">
        <w:rPr>
          <w:rFonts w:ascii="Gill Sans MT" w:hAnsi="Gill Sans MT"/>
        </w:rPr>
        <w:t>This contribution is particularly important in the UK, where racial trauma remains under-theorised and under-assessed (Race Equality Foundation, 2022; Bryan, 2021).</w:t>
      </w:r>
    </w:p>
    <w:p w14:paraId="7A927A24" w14:textId="2B5C9B25" w:rsidR="008E2FDD" w:rsidRPr="006032A5" w:rsidRDefault="00BB43CE" w:rsidP="00FB4E81">
      <w:pPr>
        <w:spacing w:line="276" w:lineRule="auto"/>
        <w:rPr>
          <w:rFonts w:ascii="Gill Sans MT" w:hAnsi="Gill Sans MT"/>
          <w:b/>
          <w:bCs/>
        </w:rPr>
      </w:pPr>
      <w:r>
        <w:rPr>
          <w:rFonts w:ascii="Gill Sans MT" w:hAnsi="Gill Sans MT"/>
          <w:b/>
          <w:bCs/>
        </w:rPr>
        <w:t>6.8</w:t>
      </w:r>
      <w:r w:rsidR="00ED7D5E">
        <w:rPr>
          <w:rFonts w:ascii="Gill Sans MT" w:hAnsi="Gill Sans MT"/>
          <w:b/>
          <w:bCs/>
        </w:rPr>
        <w:t xml:space="preserve"> </w:t>
      </w:r>
      <w:r w:rsidR="00ED7D5E" w:rsidRPr="006032A5">
        <w:rPr>
          <w:rFonts w:ascii="Gill Sans MT" w:hAnsi="Gill Sans MT"/>
          <w:b/>
          <w:bCs/>
        </w:rPr>
        <w:t>Summary</w:t>
      </w:r>
    </w:p>
    <w:p w14:paraId="2B3D2CD0" w14:textId="77777777" w:rsidR="006032A5" w:rsidRPr="006032A5" w:rsidRDefault="006032A5" w:rsidP="00FB4E81">
      <w:pPr>
        <w:spacing w:line="276" w:lineRule="auto"/>
        <w:rPr>
          <w:rFonts w:ascii="Gill Sans MT" w:hAnsi="Gill Sans MT"/>
        </w:rPr>
      </w:pPr>
      <w:r w:rsidRPr="006032A5">
        <w:rPr>
          <w:rFonts w:ascii="Gill Sans MT" w:hAnsi="Gill Sans MT"/>
        </w:rPr>
        <w:t xml:space="preserve">The Black British Racial Trauma Questionnaire (BBRTQ), currently in development, represents a major step forward in culturally responsive psychological assessment. Designed to capture the psychological impact of racialisation among African and African Caribbean populations in the UK, the BBRTQ offers a clinically actionable framework rooted in cultural validity and interpretive flexibility. Rather than relying on rigid identity categories or ideological assumptions, the tool affirms the legitimacy of racial distress across diverse expressions of Blackness. Its six domains—Emotional Impact, Identity Conflict, Intergenerational Transmission, Systemic Exclusion, Resilience, </w:t>
      </w:r>
      <w:r w:rsidRPr="006032A5">
        <w:rPr>
          <w:rFonts w:ascii="Gill Sans MT" w:hAnsi="Gill Sans MT"/>
        </w:rPr>
        <w:lastRenderedPageBreak/>
        <w:t>and Survival Stress—reflect both theoretical models and lived experience, allowing practitioners to assess racial trauma in ways that are contextually grounded and therapeutically meaningful.</w:t>
      </w:r>
    </w:p>
    <w:p w14:paraId="64ECF6E9" w14:textId="77777777" w:rsidR="006032A5" w:rsidRPr="006032A5" w:rsidRDefault="006032A5" w:rsidP="00FB4E81">
      <w:pPr>
        <w:spacing w:line="276" w:lineRule="auto"/>
        <w:rPr>
          <w:rFonts w:ascii="Gill Sans MT" w:hAnsi="Gill Sans MT"/>
        </w:rPr>
      </w:pPr>
      <w:r w:rsidRPr="006032A5">
        <w:rPr>
          <w:rFonts w:ascii="Gill Sans MT" w:hAnsi="Gill Sans MT"/>
        </w:rPr>
        <w:t>Preliminary testing has confirmed the BBRTQ’s internal coherence and thematic clarity, with item structures that resonate with participant narratives and avoid cultural essentialism. The tool’s neutrality in framing and responsiveness to intra-group diversity make it suitable for use across clinical, educational, and policy settings. It supports trauma-informed care, diagnostic formulation, and outcome monitoring, while also offering aggregate data for institutional accountability. Psychometric validation is underway, including factor analysis, reliability testing, and measurement invariance across demographic subgroups, ensuring the tool’s statistical robustness and ethical integrity.</w:t>
      </w:r>
    </w:p>
    <w:p w14:paraId="71C93031" w14:textId="77777777" w:rsidR="006032A5" w:rsidRDefault="006032A5" w:rsidP="00FB4E81">
      <w:pPr>
        <w:spacing w:line="276" w:lineRule="auto"/>
        <w:rPr>
          <w:rFonts w:ascii="Gill Sans MT" w:hAnsi="Gill Sans MT"/>
        </w:rPr>
      </w:pPr>
      <w:r w:rsidRPr="006032A5">
        <w:rPr>
          <w:rFonts w:ascii="Gill Sans MT" w:hAnsi="Gill Sans MT"/>
        </w:rPr>
        <w:t>By translating racial trauma into measurable constructs, the BBRTQ bridges the gap between lived experience and institutional response. It enables clinicians to move beyond deficit-based models and engage with racialised distress as a legitimate, diagnosable condition. As such, the BBRTQ stands as both a methodological innovation and a strategic intervention—advancing racial equity in UK mental health practice and contributing to the decolonisation of psychological science (Bakare, 2024; Samuel &amp; Simonds, 2025).</w:t>
      </w:r>
    </w:p>
    <w:p w14:paraId="046A22DB" w14:textId="6D2029CD" w:rsidR="00D80FBB" w:rsidRDefault="00BB43CE" w:rsidP="00D80FBB">
      <w:pPr>
        <w:spacing w:line="276" w:lineRule="auto"/>
        <w:rPr>
          <w:rFonts w:ascii="Gill Sans MT" w:hAnsi="Gill Sans MT"/>
          <w:b/>
          <w:bCs/>
        </w:rPr>
      </w:pPr>
      <w:r>
        <w:rPr>
          <w:rFonts w:ascii="Gill Sans MT" w:hAnsi="Gill Sans MT"/>
          <w:b/>
          <w:bCs/>
          <w:sz w:val="28"/>
          <w:szCs w:val="28"/>
        </w:rPr>
        <w:t>7</w:t>
      </w:r>
      <w:r w:rsidR="008139E9">
        <w:rPr>
          <w:rFonts w:ascii="Gill Sans MT" w:hAnsi="Gill Sans MT"/>
          <w:b/>
          <w:bCs/>
          <w:sz w:val="28"/>
          <w:szCs w:val="28"/>
        </w:rPr>
        <w:t>.</w:t>
      </w:r>
      <w:r w:rsidR="00396CDA" w:rsidRPr="000F5930">
        <w:rPr>
          <w:rFonts w:ascii="Gill Sans MT" w:hAnsi="Gill Sans MT"/>
          <w:b/>
          <w:bCs/>
          <w:sz w:val="28"/>
          <w:szCs w:val="28"/>
        </w:rPr>
        <w:t xml:space="preserve"> </w:t>
      </w:r>
      <w:r w:rsidR="00D80FBB" w:rsidRPr="00D80FBB">
        <w:rPr>
          <w:rFonts w:ascii="Gill Sans MT" w:hAnsi="Gill Sans MT"/>
          <w:b/>
          <w:bCs/>
          <w:sz w:val="28"/>
          <w:szCs w:val="28"/>
        </w:rPr>
        <w:t>Implementation, Clinical Utility, and Validation of the BBRTQ</w:t>
      </w:r>
    </w:p>
    <w:p w14:paraId="01407D7A" w14:textId="77777777" w:rsidR="000F5930" w:rsidRDefault="000F5930" w:rsidP="00FB4E81">
      <w:pPr>
        <w:spacing w:line="276" w:lineRule="auto"/>
        <w:rPr>
          <w:rFonts w:ascii="Gill Sans MT" w:hAnsi="Gill Sans MT"/>
        </w:rPr>
      </w:pPr>
      <w:r w:rsidRPr="000F5930">
        <w:rPr>
          <w:rFonts w:ascii="Gill Sans MT" w:hAnsi="Gill Sans MT"/>
        </w:rPr>
        <w:t>The Black British Racial Trauma Questionnaire (BBRTQ), though still in development, is being designed as a psychometrically robust and therapeutically meaningful instrument. Its primary aim is to provide clinicians, educators, and policymakers with a culturally anchored tool for assessing racial trauma in African and African Caribbean populations in the UK. Unlike generic mental health screeners or diversity audits, the BBRTQ is being built from the ground up to reflect the psychological realities of racialised distress—capturing not only symptomatology but also the structural and intergenerational contexts in which trauma unfolds.</w:t>
      </w:r>
    </w:p>
    <w:p w14:paraId="69323C70" w14:textId="784E6514" w:rsidR="000F5930" w:rsidRPr="000F5930" w:rsidRDefault="00BB43CE" w:rsidP="00FB4E81">
      <w:pPr>
        <w:spacing w:line="276" w:lineRule="auto"/>
        <w:rPr>
          <w:rFonts w:ascii="Gill Sans MT" w:hAnsi="Gill Sans MT"/>
          <w:b/>
          <w:bCs/>
        </w:rPr>
      </w:pPr>
      <w:r>
        <w:rPr>
          <w:rFonts w:ascii="Gill Sans MT" w:hAnsi="Gill Sans MT"/>
          <w:b/>
          <w:bCs/>
        </w:rPr>
        <w:t>7</w:t>
      </w:r>
      <w:r w:rsidR="00ED7D5E">
        <w:rPr>
          <w:rFonts w:ascii="Gill Sans MT" w:hAnsi="Gill Sans MT"/>
          <w:b/>
          <w:bCs/>
        </w:rPr>
        <w:t>.</w:t>
      </w:r>
      <w:r w:rsidR="00D80FBB">
        <w:rPr>
          <w:rFonts w:ascii="Gill Sans MT" w:hAnsi="Gill Sans MT"/>
          <w:b/>
          <w:bCs/>
        </w:rPr>
        <w:t>1</w:t>
      </w:r>
      <w:r w:rsidR="00ED7D5E">
        <w:rPr>
          <w:rFonts w:ascii="Gill Sans MT" w:hAnsi="Gill Sans MT"/>
          <w:b/>
          <w:bCs/>
        </w:rPr>
        <w:t xml:space="preserve"> </w:t>
      </w:r>
      <w:r w:rsidR="00ED7D5E" w:rsidRPr="000F5930">
        <w:rPr>
          <w:rFonts w:ascii="Gill Sans MT" w:hAnsi="Gill Sans MT"/>
          <w:b/>
          <w:bCs/>
        </w:rPr>
        <w:t>Psychometric</w:t>
      </w:r>
      <w:r w:rsidR="000F5930" w:rsidRPr="000F5930">
        <w:rPr>
          <w:rFonts w:ascii="Gill Sans MT" w:hAnsi="Gill Sans MT"/>
          <w:b/>
          <w:bCs/>
        </w:rPr>
        <w:t xml:space="preserve"> Architecture and Construct Validity</w:t>
      </w:r>
    </w:p>
    <w:p w14:paraId="4745747C" w14:textId="77777777" w:rsidR="000F5930" w:rsidRPr="000F5930" w:rsidRDefault="000F5930" w:rsidP="00FB4E81">
      <w:pPr>
        <w:spacing w:line="276" w:lineRule="auto"/>
        <w:rPr>
          <w:rFonts w:ascii="Gill Sans MT" w:hAnsi="Gill Sans MT"/>
        </w:rPr>
      </w:pPr>
      <w:r w:rsidRPr="000F5930">
        <w:rPr>
          <w:rFonts w:ascii="Gill Sans MT" w:hAnsi="Gill Sans MT"/>
        </w:rPr>
        <w:t>The BBRTQ’s development is grounded in established psychometric principles, beginning with a rigorous conceptual mapping of racial trauma domains. Drawing from trauma theory, critical race psychology, and UK-specific sociopolitical histories, the tool’s six domains—Emotional Impact, Identity Conflict, Intergenerational Transmission, Systemic Exclusion, Resilience, and Survival Stress—are being operationalised as latent constructs. Each domain is defined through a combination of literature synthesis, expert consultation, and community narrative analysis.</w:t>
      </w:r>
    </w:p>
    <w:p w14:paraId="668A521C" w14:textId="3B3E9E10" w:rsidR="000F5930" w:rsidRDefault="000F5930" w:rsidP="00FB4E81">
      <w:pPr>
        <w:spacing w:line="276" w:lineRule="auto"/>
        <w:rPr>
          <w:rFonts w:ascii="Gill Sans MT" w:hAnsi="Gill Sans MT"/>
        </w:rPr>
      </w:pPr>
      <w:r w:rsidRPr="000F5930">
        <w:rPr>
          <w:rFonts w:ascii="Gill Sans MT" w:hAnsi="Gill Sans MT"/>
        </w:rPr>
        <w:t>Item generation follows best practices in scale development, including response format calibration (e.g., 5-point Likert), item clarity testing, and redundancy elimination. A pilot item pool is undergoing iterative refinement through cognitive interviewing and expert panel review, ensuring content validity and cultural resonance. Once field-tested, the BBRTQ will be subjected to exploratory and confirmatory factor analysis (EFA/CFA), reliability testing (Cronbach’s alpha, McDonald’s omega), and measurement invariance across age, gender, and regional subgroups (</w:t>
      </w:r>
      <w:proofErr w:type="spellStart"/>
      <w:r w:rsidRPr="000F5930">
        <w:rPr>
          <w:rFonts w:ascii="Gill Sans MT" w:hAnsi="Gill Sans MT"/>
        </w:rPr>
        <w:t>Kyriazos</w:t>
      </w:r>
      <w:proofErr w:type="spellEnd"/>
      <w:r w:rsidRPr="000F5930">
        <w:rPr>
          <w:rFonts w:ascii="Gill Sans MT" w:hAnsi="Gill Sans MT"/>
        </w:rPr>
        <w:t xml:space="preserve"> &amp; </w:t>
      </w:r>
      <w:proofErr w:type="spellStart"/>
      <w:r w:rsidRPr="000F5930">
        <w:rPr>
          <w:rFonts w:ascii="Gill Sans MT" w:hAnsi="Gill Sans MT"/>
        </w:rPr>
        <w:t>Stalikas</w:t>
      </w:r>
      <w:proofErr w:type="spellEnd"/>
      <w:r w:rsidRPr="000F5930">
        <w:rPr>
          <w:rFonts w:ascii="Gill Sans MT" w:hAnsi="Gill Sans MT"/>
        </w:rPr>
        <w:t xml:space="preserve">, 2018; </w:t>
      </w:r>
      <w:proofErr w:type="spellStart"/>
      <w:r w:rsidRPr="000F5930">
        <w:rPr>
          <w:rFonts w:ascii="Gill Sans MT" w:hAnsi="Gill Sans MT"/>
        </w:rPr>
        <w:t>Coulacoglou</w:t>
      </w:r>
      <w:proofErr w:type="spellEnd"/>
      <w:r w:rsidRPr="000F5930">
        <w:rPr>
          <w:rFonts w:ascii="Gill Sans MT" w:hAnsi="Gill Sans MT"/>
        </w:rPr>
        <w:t xml:space="preserve"> &amp; </w:t>
      </w:r>
      <w:proofErr w:type="spellStart"/>
      <w:r w:rsidRPr="000F5930">
        <w:rPr>
          <w:rFonts w:ascii="Gill Sans MT" w:hAnsi="Gill Sans MT"/>
        </w:rPr>
        <w:t>Saklofske</w:t>
      </w:r>
      <w:proofErr w:type="spellEnd"/>
      <w:r w:rsidRPr="000F5930">
        <w:rPr>
          <w:rFonts w:ascii="Gill Sans MT" w:hAnsi="Gill Sans MT"/>
        </w:rPr>
        <w:t>, 2017).  This psychometric architecture is not merely academic—it is designed to support clinical decision-making, therapeutic formulation, and longitudinal tracking of racial trauma symptoms and recovery trajectories.</w:t>
      </w:r>
    </w:p>
    <w:p w14:paraId="4C74E5D9" w14:textId="502EC0E0" w:rsidR="000F5930" w:rsidRPr="000F5930" w:rsidRDefault="00BB43CE" w:rsidP="00FB4E81">
      <w:pPr>
        <w:spacing w:line="276" w:lineRule="auto"/>
        <w:rPr>
          <w:rFonts w:ascii="Gill Sans MT" w:hAnsi="Gill Sans MT"/>
          <w:b/>
          <w:bCs/>
        </w:rPr>
      </w:pPr>
      <w:r>
        <w:rPr>
          <w:rFonts w:ascii="Gill Sans MT" w:hAnsi="Gill Sans MT"/>
          <w:b/>
          <w:bCs/>
        </w:rPr>
        <w:lastRenderedPageBreak/>
        <w:t>7</w:t>
      </w:r>
      <w:r w:rsidR="00ED7D5E">
        <w:rPr>
          <w:rFonts w:ascii="Gill Sans MT" w:hAnsi="Gill Sans MT"/>
          <w:b/>
          <w:bCs/>
        </w:rPr>
        <w:t>.</w:t>
      </w:r>
      <w:r w:rsidR="00712620">
        <w:rPr>
          <w:rFonts w:ascii="Gill Sans MT" w:hAnsi="Gill Sans MT"/>
          <w:b/>
          <w:bCs/>
        </w:rPr>
        <w:t>2</w:t>
      </w:r>
      <w:r w:rsidR="00ED7D5E">
        <w:rPr>
          <w:rFonts w:ascii="Gill Sans MT" w:hAnsi="Gill Sans MT"/>
          <w:b/>
          <w:bCs/>
        </w:rPr>
        <w:t xml:space="preserve"> </w:t>
      </w:r>
      <w:r w:rsidR="00ED7D5E" w:rsidRPr="000F5930">
        <w:rPr>
          <w:rFonts w:ascii="Gill Sans MT" w:hAnsi="Gill Sans MT"/>
          <w:b/>
          <w:bCs/>
        </w:rPr>
        <w:t>Clinical</w:t>
      </w:r>
      <w:r w:rsidR="000F5930" w:rsidRPr="000F5930">
        <w:rPr>
          <w:rFonts w:ascii="Gill Sans MT" w:hAnsi="Gill Sans MT"/>
          <w:b/>
          <w:bCs/>
        </w:rPr>
        <w:t xml:space="preserve"> Assessment and Therapeutic Utility</w:t>
      </w:r>
    </w:p>
    <w:p w14:paraId="3BA29EBB" w14:textId="77777777" w:rsidR="000F5930" w:rsidRPr="000F5930" w:rsidRDefault="000F5930" w:rsidP="00FB4E81">
      <w:pPr>
        <w:spacing w:line="276" w:lineRule="auto"/>
        <w:rPr>
          <w:rFonts w:ascii="Gill Sans MT" w:hAnsi="Gill Sans MT"/>
        </w:rPr>
      </w:pPr>
      <w:r w:rsidRPr="000F5930">
        <w:rPr>
          <w:rFonts w:ascii="Gill Sans MT" w:hAnsi="Gill Sans MT"/>
        </w:rPr>
        <w:t>From a therapeutic standpoint, the BBRTQ is being developed to fill a critical gap in psychological assessment: the absence of culturally valid tools for identifying racial trauma in Black British clients. Traditional diagnostic frameworks often fail to capture the nuanced ways in which racism impacts affect regulation, identity development, and relational functioning. The BBRTQ addresses this by offering clinicians a structured, evidence-based method for exploring racialised distress during intake, formulation, and review.</w:t>
      </w:r>
    </w:p>
    <w:p w14:paraId="68B05129" w14:textId="77777777" w:rsidR="000F5930" w:rsidRPr="000F5930" w:rsidRDefault="000F5930" w:rsidP="00FB4E81">
      <w:pPr>
        <w:spacing w:line="276" w:lineRule="auto"/>
        <w:rPr>
          <w:rFonts w:ascii="Gill Sans MT" w:hAnsi="Gill Sans MT"/>
        </w:rPr>
      </w:pPr>
      <w:r w:rsidRPr="000F5930">
        <w:rPr>
          <w:rFonts w:ascii="Gill Sans MT" w:hAnsi="Gill Sans MT"/>
        </w:rPr>
        <w:t>Each domain corresponds to clinically observable patterns. For example, high scores in Emotional Impact may correlate with dysregulated mood, somatic complaints, or trauma-related avoidance. Identity Conflict may manifest as internalised misrecognition, cultural dislocation, or epistemic shame. Survival Stress captures hypervigilance, emotional suppression, and strategic silence—often misinterpreted as resistance or non-compliance in therapy (Bryant-Davis &amp; Ocampo, 2005; Samuel &amp; Simonds, 2025).</w:t>
      </w:r>
    </w:p>
    <w:p w14:paraId="4F267AF2" w14:textId="77777777" w:rsidR="000F5930" w:rsidRDefault="000F5930" w:rsidP="00FB4E81">
      <w:pPr>
        <w:spacing w:line="276" w:lineRule="auto"/>
        <w:rPr>
          <w:rFonts w:ascii="Gill Sans MT" w:hAnsi="Gill Sans MT"/>
        </w:rPr>
      </w:pPr>
      <w:r w:rsidRPr="000F5930">
        <w:rPr>
          <w:rFonts w:ascii="Gill Sans MT" w:hAnsi="Gill Sans MT"/>
        </w:rPr>
        <w:t>The BBRTQ’s scoring system will allow for subscale profiling, enabling clinicians to tailor interventions to the client’s trauma configuration. For instance, clients with elevated Intergenerational Transmission scores may benefit from narrative therapy or ancestral grief work, while those with high Systemic Exclusion scores may require advocacy-based support and institutional navigation. This domain-specific approach supports trauma-informed care that is both culturally responsive and therapeutically precise.</w:t>
      </w:r>
    </w:p>
    <w:p w14:paraId="57A2E749" w14:textId="1596A22F" w:rsidR="000F5930" w:rsidRPr="000F5930" w:rsidRDefault="00BB43CE" w:rsidP="00FB4E81">
      <w:pPr>
        <w:spacing w:line="276" w:lineRule="auto"/>
        <w:rPr>
          <w:rFonts w:ascii="Gill Sans MT" w:hAnsi="Gill Sans MT"/>
          <w:b/>
          <w:bCs/>
        </w:rPr>
      </w:pPr>
      <w:r>
        <w:rPr>
          <w:rFonts w:ascii="Gill Sans MT" w:hAnsi="Gill Sans MT"/>
          <w:b/>
          <w:bCs/>
        </w:rPr>
        <w:t>7</w:t>
      </w:r>
      <w:r w:rsidR="00ED7D5E">
        <w:rPr>
          <w:rFonts w:ascii="Gill Sans MT" w:hAnsi="Gill Sans MT"/>
          <w:b/>
          <w:bCs/>
        </w:rPr>
        <w:t>.</w:t>
      </w:r>
      <w:r w:rsidR="00712620">
        <w:rPr>
          <w:rFonts w:ascii="Gill Sans MT" w:hAnsi="Gill Sans MT"/>
          <w:b/>
          <w:bCs/>
        </w:rPr>
        <w:t>3</w:t>
      </w:r>
      <w:r w:rsidR="00ED7D5E">
        <w:rPr>
          <w:rFonts w:ascii="Gill Sans MT" w:hAnsi="Gill Sans MT"/>
          <w:b/>
          <w:bCs/>
        </w:rPr>
        <w:t xml:space="preserve"> </w:t>
      </w:r>
      <w:r w:rsidR="00ED7D5E" w:rsidRPr="000F5930">
        <w:rPr>
          <w:rFonts w:ascii="Gill Sans MT" w:hAnsi="Gill Sans MT"/>
          <w:b/>
          <w:bCs/>
        </w:rPr>
        <w:t>Standardisation</w:t>
      </w:r>
      <w:r w:rsidR="000F5930" w:rsidRPr="000F5930">
        <w:rPr>
          <w:rFonts w:ascii="Gill Sans MT" w:hAnsi="Gill Sans MT"/>
          <w:b/>
          <w:bCs/>
        </w:rPr>
        <w:t>, Norming, and Diagnostic Thresholds</w:t>
      </w:r>
    </w:p>
    <w:p w14:paraId="1F8FCF70" w14:textId="77777777" w:rsidR="000F5930" w:rsidRPr="000F5930" w:rsidRDefault="000F5930" w:rsidP="00FB4E81">
      <w:pPr>
        <w:spacing w:line="276" w:lineRule="auto"/>
        <w:rPr>
          <w:rFonts w:ascii="Gill Sans MT" w:hAnsi="Gill Sans MT"/>
        </w:rPr>
      </w:pPr>
      <w:r w:rsidRPr="000F5930">
        <w:rPr>
          <w:rFonts w:ascii="Gill Sans MT" w:hAnsi="Gill Sans MT"/>
        </w:rPr>
        <w:t>To ensure clinical reliability, the BBRTQ will undergo standardisation and norming across diverse Black British populations. This process involves collecting data from representative samples to establish normative ranges, percentile ranks, and diagnostic thresholds. These benchmarks will help clinicians interpret scores in context—distinguishing between normative racial stress and clinically significant racial trauma.</w:t>
      </w:r>
    </w:p>
    <w:p w14:paraId="39EAD00F" w14:textId="6BB42537" w:rsidR="000F5930" w:rsidRDefault="000F5930" w:rsidP="00FB4E81">
      <w:pPr>
        <w:spacing w:line="276" w:lineRule="auto"/>
        <w:rPr>
          <w:rFonts w:ascii="Gill Sans MT" w:hAnsi="Gill Sans MT"/>
        </w:rPr>
      </w:pPr>
      <w:r w:rsidRPr="000F5930">
        <w:rPr>
          <w:rFonts w:ascii="Gill Sans MT" w:hAnsi="Gill Sans MT"/>
        </w:rPr>
        <w:t>Cut-off scores will be empirically derived using ROC curve analysis and sensitivity/specificity testing, allowing the BBRTQ to function as both a screening and diagnostic aid. This dual utility is essential in settings where racial trauma is under-recognised or misdiagnosed. For example, a client presenting with anxiety may score within the clinical range on Survival Stress and Emotional Impact, prompting a reframing of their symptoms as trauma-related rather than generalised anxiety disorder.</w:t>
      </w:r>
      <w:r w:rsidR="00940A5F">
        <w:rPr>
          <w:rFonts w:ascii="Gill Sans MT" w:hAnsi="Gill Sans MT"/>
        </w:rPr>
        <w:t xml:space="preserve"> </w:t>
      </w:r>
      <w:r w:rsidRPr="000F5930">
        <w:rPr>
          <w:rFonts w:ascii="Gill Sans MT" w:hAnsi="Gill Sans MT"/>
        </w:rPr>
        <w:t xml:space="preserve">Norming will also support research applications, enabling comparative studies across regions, institutions, and intervention types. Over time, the BBRTQ may contribute to the development of racial trauma diagnostic criteria within UK clinical practice, challenging the Eurocentric bias of existing </w:t>
      </w:r>
      <w:proofErr w:type="spellStart"/>
      <w:r w:rsidRPr="000F5930">
        <w:rPr>
          <w:rFonts w:ascii="Gill Sans MT" w:hAnsi="Gill Sans MT"/>
        </w:rPr>
        <w:t>nosologies</w:t>
      </w:r>
      <w:proofErr w:type="spellEnd"/>
      <w:r w:rsidRPr="000F5930">
        <w:rPr>
          <w:rFonts w:ascii="Gill Sans MT" w:hAnsi="Gill Sans MT"/>
        </w:rPr>
        <w:t xml:space="preserve"> and expanding the scope of culturally valid mental health care.</w:t>
      </w:r>
    </w:p>
    <w:p w14:paraId="24E129EE" w14:textId="77777777" w:rsidR="0052115F" w:rsidRDefault="0052115F" w:rsidP="00FB4E81">
      <w:pPr>
        <w:spacing w:line="276" w:lineRule="auto"/>
        <w:rPr>
          <w:rFonts w:ascii="Gill Sans MT" w:hAnsi="Gill Sans MT"/>
        </w:rPr>
      </w:pPr>
    </w:p>
    <w:p w14:paraId="70A1A2BA" w14:textId="77777777" w:rsidR="0052115F" w:rsidRDefault="0052115F" w:rsidP="00FB4E81">
      <w:pPr>
        <w:spacing w:line="276" w:lineRule="auto"/>
        <w:rPr>
          <w:rFonts w:ascii="Gill Sans MT" w:hAnsi="Gill Sans MT"/>
        </w:rPr>
      </w:pPr>
    </w:p>
    <w:p w14:paraId="17C06AED" w14:textId="77777777" w:rsidR="009D2E57" w:rsidRDefault="009D2E57" w:rsidP="00FB4E81">
      <w:pPr>
        <w:spacing w:line="276" w:lineRule="auto"/>
        <w:rPr>
          <w:rFonts w:ascii="Gill Sans MT" w:hAnsi="Gill Sans MT"/>
        </w:rPr>
      </w:pPr>
    </w:p>
    <w:p w14:paraId="32C70717" w14:textId="6794BD0E" w:rsidR="000F5930" w:rsidRPr="000F5930" w:rsidRDefault="00BB43CE" w:rsidP="00FB4E81">
      <w:pPr>
        <w:spacing w:line="276" w:lineRule="auto"/>
        <w:rPr>
          <w:rFonts w:ascii="Gill Sans MT" w:hAnsi="Gill Sans MT"/>
          <w:b/>
          <w:bCs/>
        </w:rPr>
      </w:pPr>
      <w:r>
        <w:rPr>
          <w:rFonts w:ascii="Gill Sans MT" w:hAnsi="Gill Sans MT"/>
          <w:b/>
          <w:bCs/>
        </w:rPr>
        <w:lastRenderedPageBreak/>
        <w:t>7.</w:t>
      </w:r>
      <w:r w:rsidR="00712620">
        <w:rPr>
          <w:rFonts w:ascii="Gill Sans MT" w:hAnsi="Gill Sans MT"/>
          <w:b/>
          <w:bCs/>
        </w:rPr>
        <w:t>4</w:t>
      </w:r>
      <w:r w:rsidR="000F5930" w:rsidRPr="000F5930">
        <w:rPr>
          <w:rFonts w:ascii="Gill Sans MT" w:hAnsi="Gill Sans MT"/>
          <w:b/>
          <w:bCs/>
        </w:rPr>
        <w:t xml:space="preserve"> Integration into Therapeutic Practice and Supervision</w:t>
      </w:r>
    </w:p>
    <w:p w14:paraId="082C1EB1" w14:textId="77777777" w:rsidR="00712620" w:rsidRDefault="000F5930" w:rsidP="00FB4E81">
      <w:pPr>
        <w:spacing w:line="276" w:lineRule="auto"/>
        <w:rPr>
          <w:rFonts w:ascii="Gill Sans MT" w:hAnsi="Gill Sans MT"/>
        </w:rPr>
      </w:pPr>
      <w:r w:rsidRPr="000F5930">
        <w:rPr>
          <w:rFonts w:ascii="Gill Sans MT" w:hAnsi="Gill Sans MT"/>
        </w:rPr>
        <w:t xml:space="preserve">Beyond assessment, the BBRTQ is being designed to support therapeutic formulation, treatment planning, and clinical supervision. Its domain structure aligns with key components of trauma-informed therapy, including safety, trust, empowerment, and cultural affirmation. </w:t>
      </w:r>
    </w:p>
    <w:p w14:paraId="1867C883" w14:textId="6875BEF8" w:rsidR="000F5930" w:rsidRPr="000F5930" w:rsidRDefault="000F5930" w:rsidP="00FB4E81">
      <w:pPr>
        <w:spacing w:line="276" w:lineRule="auto"/>
        <w:rPr>
          <w:rFonts w:ascii="Gill Sans MT" w:hAnsi="Gill Sans MT"/>
        </w:rPr>
      </w:pPr>
      <w:r w:rsidRPr="000F5930">
        <w:rPr>
          <w:rFonts w:ascii="Gill Sans MT" w:hAnsi="Gill Sans MT"/>
        </w:rPr>
        <w:t>By mapping racial trauma across six dimensions, the tool enables therapists to construct nuanced case formulations that integrate both intrapsychic and systemic factors.</w:t>
      </w:r>
    </w:p>
    <w:p w14:paraId="60841291" w14:textId="77777777" w:rsidR="000F5930" w:rsidRPr="000F5930" w:rsidRDefault="000F5930" w:rsidP="00FB4E81">
      <w:pPr>
        <w:spacing w:line="276" w:lineRule="auto"/>
        <w:rPr>
          <w:rFonts w:ascii="Gill Sans MT" w:hAnsi="Gill Sans MT"/>
        </w:rPr>
      </w:pPr>
      <w:r w:rsidRPr="000F5930">
        <w:rPr>
          <w:rFonts w:ascii="Gill Sans MT" w:hAnsi="Gill Sans MT"/>
        </w:rPr>
        <w:t>In supervision, the BBRTQ can be used to guide reflective practice, helping clinicians explore their own positionality, biases, and blind spots. For example, a supervisee working with a client who scores highly on Institutional Betrayal may need support in navigating their own discomfort with systemic critique. The BBRTQ thus becomes a tool for therapist development as well as client care.</w:t>
      </w:r>
    </w:p>
    <w:p w14:paraId="45C941BB" w14:textId="77777777" w:rsidR="000F5930" w:rsidRDefault="000F5930" w:rsidP="00FB4E81">
      <w:pPr>
        <w:spacing w:line="276" w:lineRule="auto"/>
        <w:rPr>
          <w:rFonts w:ascii="Gill Sans MT" w:hAnsi="Gill Sans MT"/>
        </w:rPr>
      </w:pPr>
      <w:r w:rsidRPr="000F5930">
        <w:rPr>
          <w:rFonts w:ascii="Gill Sans MT" w:hAnsi="Gill Sans MT"/>
        </w:rPr>
        <w:t>It also supports outcome monitoring. Administered at multiple time points, the BBRTQ can track changes in trauma symptoms, resilience, and institutional trust—providing data for evaluating therapeutic progress and adjusting interventions. This aligns with best practices in evidence-based therapy and supports accountability in culturally responsive care.</w:t>
      </w:r>
    </w:p>
    <w:p w14:paraId="1F369CBA" w14:textId="50B2E40D" w:rsidR="000F5930" w:rsidRPr="000F5930" w:rsidRDefault="00BB43CE" w:rsidP="00FB4E81">
      <w:pPr>
        <w:spacing w:line="276" w:lineRule="auto"/>
        <w:rPr>
          <w:rFonts w:ascii="Gill Sans MT" w:hAnsi="Gill Sans MT"/>
          <w:b/>
          <w:bCs/>
        </w:rPr>
      </w:pPr>
      <w:r>
        <w:rPr>
          <w:rFonts w:ascii="Gill Sans MT" w:hAnsi="Gill Sans MT"/>
          <w:b/>
          <w:bCs/>
        </w:rPr>
        <w:t>7</w:t>
      </w:r>
      <w:r w:rsidR="000F5930" w:rsidRPr="000F5930">
        <w:rPr>
          <w:rFonts w:ascii="Gill Sans MT" w:hAnsi="Gill Sans MT"/>
          <w:b/>
          <w:bCs/>
        </w:rPr>
        <w:t>.</w:t>
      </w:r>
      <w:r w:rsidR="00712620">
        <w:rPr>
          <w:rFonts w:ascii="Gill Sans MT" w:hAnsi="Gill Sans MT"/>
          <w:b/>
          <w:bCs/>
        </w:rPr>
        <w:t>5</w:t>
      </w:r>
      <w:r w:rsidR="002149EB">
        <w:rPr>
          <w:rFonts w:ascii="Gill Sans MT" w:hAnsi="Gill Sans MT"/>
          <w:b/>
          <w:bCs/>
        </w:rPr>
        <w:t xml:space="preserve"> </w:t>
      </w:r>
      <w:r w:rsidR="000F5930" w:rsidRPr="000F5930">
        <w:rPr>
          <w:rFonts w:ascii="Gill Sans MT" w:hAnsi="Gill Sans MT"/>
          <w:b/>
          <w:bCs/>
        </w:rPr>
        <w:t>Addressing the Limitations of Existing Instruments</w:t>
      </w:r>
    </w:p>
    <w:p w14:paraId="0D274FAF" w14:textId="77777777" w:rsidR="000F5930" w:rsidRPr="000F5930" w:rsidRDefault="000F5930" w:rsidP="00FB4E81">
      <w:pPr>
        <w:spacing w:line="276" w:lineRule="auto"/>
        <w:rPr>
          <w:rFonts w:ascii="Gill Sans MT" w:hAnsi="Gill Sans MT"/>
        </w:rPr>
      </w:pPr>
      <w:r w:rsidRPr="000F5930">
        <w:rPr>
          <w:rFonts w:ascii="Gill Sans MT" w:hAnsi="Gill Sans MT"/>
        </w:rPr>
        <w:t>The BBRTQ is being developed in direct response to the limitations of existing psychological instruments, which often fail to capture the specific contours of racial trauma as experienced by Black British populations. Most widely used trauma assessments—such as the PTSD Checklist (PCL-5), the Impact of Event Scale (IES-R), or even culturally adapted versions of the DSM-5 criteria—are grounded in Eurocentric understandings of trauma that prioritise discrete, event-based models (e.g., accidents, assaults, disasters). These frameworks often overlook the chronic, cumulative, and systemic nature of racial trauma, particularly when it is embedded in everyday institutional encounters (Carter, 2007; Comas-Díaz et al., 2019).</w:t>
      </w:r>
    </w:p>
    <w:p w14:paraId="3828A452" w14:textId="77777777" w:rsidR="000F5930" w:rsidRPr="000F5930" w:rsidRDefault="000F5930" w:rsidP="00FB4E81">
      <w:pPr>
        <w:spacing w:line="276" w:lineRule="auto"/>
        <w:rPr>
          <w:rFonts w:ascii="Gill Sans MT" w:hAnsi="Gill Sans MT"/>
        </w:rPr>
      </w:pPr>
      <w:r w:rsidRPr="000F5930">
        <w:rPr>
          <w:rFonts w:ascii="Gill Sans MT" w:hAnsi="Gill Sans MT"/>
        </w:rPr>
        <w:t>Even tools explicitly designed to assess racial stress—such as the Race-Based Traumatic Stress Symptom Scale (RBTSSS) or the UConn Racial/Ethnic Stress &amp; Trauma Survey—are rooted in U.S. racial dynamics and may not translate effectively to the UK context. They do not account for British-specific phenomena such as the Windrush scandal, the Prevent duty, or the racialised impact of austerity and immigration policy. Nor do they reflect the epistemic and cultural frameworks through which Black Britons interpret and respond to racial harm.</w:t>
      </w:r>
    </w:p>
    <w:p w14:paraId="0A34BD07" w14:textId="77777777" w:rsidR="000F5930" w:rsidRDefault="000F5930" w:rsidP="00FB4E81">
      <w:pPr>
        <w:spacing w:line="276" w:lineRule="auto"/>
        <w:rPr>
          <w:rFonts w:ascii="Gill Sans MT" w:hAnsi="Gill Sans MT"/>
        </w:rPr>
      </w:pPr>
      <w:r w:rsidRPr="000F5930">
        <w:rPr>
          <w:rFonts w:ascii="Gill Sans MT" w:hAnsi="Gill Sans MT"/>
        </w:rPr>
        <w:t>The BBRTQ addresses these gaps by grounding its domains in UK-specific histories, policies, and institutional dynamics. Its development is informed by qualitative interviews, community consultations, and a review of UK-based literature on racial trauma, mental health disparities, and institutional betrayal. This ensures that the tool is not only culturally relevant but also clinically precise—capable of distinguishing between general psychological distress and trauma that is specifically racialised in origin. In doing so, the BBRTQ sets a new standard for culturally valid trauma assessment in the UK.</w:t>
      </w:r>
    </w:p>
    <w:p w14:paraId="2AF33A70" w14:textId="77777777" w:rsidR="0052115F" w:rsidRDefault="0052115F" w:rsidP="00FB4E81">
      <w:pPr>
        <w:spacing w:line="276" w:lineRule="auto"/>
        <w:rPr>
          <w:rFonts w:ascii="Gill Sans MT" w:hAnsi="Gill Sans MT"/>
        </w:rPr>
      </w:pPr>
    </w:p>
    <w:p w14:paraId="69852A31" w14:textId="77777777" w:rsidR="0052115F" w:rsidRDefault="0052115F" w:rsidP="00FB4E81">
      <w:pPr>
        <w:spacing w:line="276" w:lineRule="auto"/>
        <w:rPr>
          <w:rFonts w:ascii="Gill Sans MT" w:hAnsi="Gill Sans MT"/>
        </w:rPr>
      </w:pPr>
    </w:p>
    <w:p w14:paraId="6EB75F69" w14:textId="7F55C11C" w:rsidR="000F5930" w:rsidRPr="000F5930" w:rsidRDefault="00BB43CE" w:rsidP="00FB4E81">
      <w:pPr>
        <w:spacing w:line="276" w:lineRule="auto"/>
        <w:rPr>
          <w:rFonts w:ascii="Gill Sans MT" w:hAnsi="Gill Sans MT"/>
          <w:b/>
          <w:bCs/>
        </w:rPr>
      </w:pPr>
      <w:r>
        <w:rPr>
          <w:rFonts w:ascii="Gill Sans MT" w:hAnsi="Gill Sans MT"/>
          <w:b/>
          <w:bCs/>
        </w:rPr>
        <w:lastRenderedPageBreak/>
        <w:t>7</w:t>
      </w:r>
      <w:r w:rsidR="00366128">
        <w:rPr>
          <w:rFonts w:ascii="Gill Sans MT" w:hAnsi="Gill Sans MT"/>
          <w:b/>
          <w:bCs/>
        </w:rPr>
        <w:t>.</w:t>
      </w:r>
      <w:r w:rsidR="00712620">
        <w:rPr>
          <w:rFonts w:ascii="Gill Sans MT" w:hAnsi="Gill Sans MT"/>
          <w:b/>
          <w:bCs/>
        </w:rPr>
        <w:t>6</w:t>
      </w:r>
      <w:r w:rsidR="000F5930" w:rsidRPr="000F5930">
        <w:rPr>
          <w:rFonts w:ascii="Gill Sans MT" w:hAnsi="Gill Sans MT"/>
          <w:b/>
          <w:bCs/>
        </w:rPr>
        <w:t xml:space="preserve"> Preparing for Validation and Implementation</w:t>
      </w:r>
    </w:p>
    <w:p w14:paraId="0BD42859" w14:textId="77777777" w:rsidR="000F5930" w:rsidRPr="000F5930" w:rsidRDefault="000F5930" w:rsidP="00FB4E81">
      <w:pPr>
        <w:spacing w:line="276" w:lineRule="auto"/>
        <w:rPr>
          <w:rFonts w:ascii="Gill Sans MT" w:hAnsi="Gill Sans MT"/>
        </w:rPr>
      </w:pPr>
      <w:r w:rsidRPr="000F5930">
        <w:rPr>
          <w:rFonts w:ascii="Gill Sans MT" w:hAnsi="Gill Sans MT"/>
        </w:rPr>
        <w:t>As the BBRTQ moves toward psychometric validation, its development team is preparing a multi-phase strategy that includes both quantitative and qualitative methodologies. The first phase involves pilot testing with a diverse sample of Black British participants across age, gender, region, and heritage background. This will allow for item-level analysis, including assessments of clarity, cultural resonance, and response variability. Exploratory factor analysis (EFA) will be used to test the underlying structure of the tool, followed by confirmatory factor analysis (CFA) to assess model fit and domain coherence.</w:t>
      </w:r>
    </w:p>
    <w:p w14:paraId="651C92B4" w14:textId="19520E71" w:rsidR="000F5930" w:rsidRPr="000F5930" w:rsidRDefault="000F5930" w:rsidP="00FB4E81">
      <w:pPr>
        <w:spacing w:line="276" w:lineRule="auto"/>
        <w:rPr>
          <w:rFonts w:ascii="Gill Sans MT" w:hAnsi="Gill Sans MT"/>
        </w:rPr>
      </w:pPr>
      <w:r w:rsidRPr="000F5930">
        <w:rPr>
          <w:rFonts w:ascii="Gill Sans MT" w:hAnsi="Gill Sans MT"/>
        </w:rPr>
        <w:t>Reliability testing will include internal consistency metrics (e.g., Cronbach’s alpha, McDonald’s omega) and test-retest reliability over a 2–</w:t>
      </w:r>
      <w:r w:rsidR="00D3219D" w:rsidRPr="000F5930">
        <w:rPr>
          <w:rFonts w:ascii="Gill Sans MT" w:hAnsi="Gill Sans MT"/>
        </w:rPr>
        <w:t>4-week</w:t>
      </w:r>
      <w:r w:rsidRPr="000F5930">
        <w:rPr>
          <w:rFonts w:ascii="Gill Sans MT" w:hAnsi="Gill Sans MT"/>
        </w:rPr>
        <w:t xml:space="preserve"> interval. Convergent and discriminant validity will be assessed by comparing BBRTQ scores with established measures of trauma, depression, anxiety, and racial identity (e.g., PHQ-9, GAD-7, MEIM-R). Measurement invariance testing will ensure that the tool performs consistently across demographic subgroups, supporting its use in both clinical and research settings.</w:t>
      </w:r>
    </w:p>
    <w:p w14:paraId="14350252" w14:textId="77777777" w:rsidR="000F5930" w:rsidRPr="000F5930" w:rsidRDefault="000F5930" w:rsidP="00FB4E81">
      <w:pPr>
        <w:spacing w:line="276" w:lineRule="auto"/>
        <w:rPr>
          <w:rFonts w:ascii="Gill Sans MT" w:hAnsi="Gill Sans MT"/>
        </w:rPr>
      </w:pPr>
      <w:r w:rsidRPr="000F5930">
        <w:rPr>
          <w:rFonts w:ascii="Gill Sans MT" w:hAnsi="Gill Sans MT"/>
        </w:rPr>
        <w:t>Implementation planning is occurring in parallel. This includes the development of scoring rubrics, interpretive guidelines, and sector-specific training materials. For clinicians, this may involve workshops on racial trauma formulation and BBRTQ-informed treatment planning. For educators and policy professionals, it may include guidance on interpreting aggregate data and integrating findings into institutional audits or equity strategies.</w:t>
      </w:r>
    </w:p>
    <w:p w14:paraId="50A6D217" w14:textId="77777777" w:rsidR="000F5930" w:rsidRPr="000F5930" w:rsidRDefault="000F5930" w:rsidP="00FB4E81">
      <w:pPr>
        <w:spacing w:line="276" w:lineRule="auto"/>
        <w:rPr>
          <w:rFonts w:ascii="Gill Sans MT" w:hAnsi="Gill Sans MT"/>
        </w:rPr>
      </w:pPr>
      <w:r w:rsidRPr="000F5930">
        <w:rPr>
          <w:rFonts w:ascii="Gill Sans MT" w:hAnsi="Gill Sans MT"/>
        </w:rPr>
        <w:t>Importantly, the BBRTQ is being designed for both paper-based and digital administration, with options for individual, group, or anonymous use. This flexibility supports its integration into diverse service environments—from NHS mental health trusts to university counselling centres, from community health hubs to local authority equity reviews. The goal is to ensure that the BBRTQ is not only psychometrically sound but also practical, scalable, and ethically deployed.</w:t>
      </w:r>
    </w:p>
    <w:p w14:paraId="043BBA20" w14:textId="436A6C25" w:rsidR="000F5930" w:rsidRPr="000F5930" w:rsidRDefault="00BB43CE" w:rsidP="00FB4E81">
      <w:pPr>
        <w:spacing w:line="276" w:lineRule="auto"/>
        <w:rPr>
          <w:rFonts w:ascii="Gill Sans MT" w:hAnsi="Gill Sans MT"/>
          <w:b/>
          <w:bCs/>
        </w:rPr>
      </w:pPr>
      <w:r>
        <w:rPr>
          <w:rFonts w:ascii="Gill Sans MT" w:hAnsi="Gill Sans MT"/>
          <w:b/>
          <w:bCs/>
        </w:rPr>
        <w:t>7</w:t>
      </w:r>
      <w:r w:rsidR="00366128">
        <w:rPr>
          <w:rFonts w:ascii="Gill Sans MT" w:hAnsi="Gill Sans MT"/>
          <w:b/>
          <w:bCs/>
        </w:rPr>
        <w:t>.</w:t>
      </w:r>
      <w:r w:rsidR="00712620">
        <w:rPr>
          <w:rFonts w:ascii="Gill Sans MT" w:hAnsi="Gill Sans MT"/>
          <w:b/>
          <w:bCs/>
        </w:rPr>
        <w:t>7</w:t>
      </w:r>
      <w:r w:rsidR="000F5930" w:rsidRPr="000F5930">
        <w:rPr>
          <w:rFonts w:ascii="Gill Sans MT" w:hAnsi="Gill Sans MT"/>
          <w:b/>
          <w:bCs/>
        </w:rPr>
        <w:t xml:space="preserve"> Laying the Groundwork for Future Adaptations </w:t>
      </w:r>
    </w:p>
    <w:p w14:paraId="02601886" w14:textId="77777777" w:rsidR="000F5930" w:rsidRPr="000F5930" w:rsidRDefault="000F5930" w:rsidP="00FB4E81">
      <w:pPr>
        <w:spacing w:line="276" w:lineRule="auto"/>
        <w:rPr>
          <w:rFonts w:ascii="Gill Sans MT" w:hAnsi="Gill Sans MT"/>
        </w:rPr>
      </w:pPr>
      <w:r w:rsidRPr="000F5930">
        <w:rPr>
          <w:rFonts w:ascii="Gill Sans MT" w:hAnsi="Gill Sans MT"/>
        </w:rPr>
        <w:t>While the BBRTQ is being developed specifically for Black British populations, its conceptual model has the potential to inform future adaptations for other racialised and marginalised groups. The modular structure of the tool—anchored in six core domains—allows for contextual tailoring without compromising psychometric integrity. For example, while the Intergenerational Transmission domain may remain relevant across diasporic communities, the specific items used to assess it could be adapted to reflect different historical narratives, migration patterns, or cultural frameworks.</w:t>
      </w:r>
    </w:p>
    <w:p w14:paraId="3B997751" w14:textId="77777777" w:rsidR="000F5930" w:rsidRPr="000F5930" w:rsidRDefault="000F5930" w:rsidP="00FB4E81">
      <w:pPr>
        <w:spacing w:line="276" w:lineRule="auto"/>
        <w:rPr>
          <w:rFonts w:ascii="Gill Sans MT" w:hAnsi="Gill Sans MT"/>
        </w:rPr>
      </w:pPr>
      <w:r w:rsidRPr="000F5930">
        <w:rPr>
          <w:rFonts w:ascii="Gill Sans MT" w:hAnsi="Gill Sans MT"/>
        </w:rPr>
        <w:t>Future iterations might include adaptations for Black LGBTQ+ individuals, who experience compounded forms of racial and sexual minority stress. Others might focus on African diaspora populations in continental Europe, where racial trauma intersects with language barriers, legal precarity, and postcolonial legacies. Each adaptation would require its own process of item generation, community consultation, and validation—but the BBRTQ provides a replicable model for doing so.</w:t>
      </w:r>
    </w:p>
    <w:p w14:paraId="09831F78" w14:textId="7C00B992" w:rsidR="000F5930" w:rsidRDefault="000F5930" w:rsidP="00FB4E81">
      <w:pPr>
        <w:spacing w:line="276" w:lineRule="auto"/>
        <w:rPr>
          <w:rFonts w:ascii="Gill Sans MT" w:hAnsi="Gill Sans MT"/>
        </w:rPr>
      </w:pPr>
      <w:r w:rsidRPr="000F5930">
        <w:rPr>
          <w:rFonts w:ascii="Gill Sans MT" w:hAnsi="Gill Sans MT"/>
        </w:rPr>
        <w:lastRenderedPageBreak/>
        <w:t>Moreover, the BBRTQ’s development process—rooted in participatory design, cultural anchoring, and psychometric rigo</w:t>
      </w:r>
      <w:r w:rsidR="00D3219D">
        <w:rPr>
          <w:rFonts w:ascii="Gill Sans MT" w:hAnsi="Gill Sans MT"/>
        </w:rPr>
        <w:t>u</w:t>
      </w:r>
      <w:r w:rsidRPr="000F5930">
        <w:rPr>
          <w:rFonts w:ascii="Gill Sans MT" w:hAnsi="Gill Sans MT"/>
        </w:rPr>
        <w:t>r—offers a blueprint for ethical tool creation in other contexts. It demonstrates that culturally specific assessment is not only possible but necessary for advancing equity in psychological research and practice. By laying this groundwork, the BBRTQ contributes not only to the assessment of racial trauma but to the transformation of the field itself.</w:t>
      </w:r>
    </w:p>
    <w:p w14:paraId="5AB0ABD3" w14:textId="424B1F18" w:rsidR="000F5930" w:rsidRPr="000F5930" w:rsidRDefault="00BB43CE" w:rsidP="00FB4E81">
      <w:pPr>
        <w:spacing w:line="276" w:lineRule="auto"/>
        <w:rPr>
          <w:rFonts w:ascii="Gill Sans MT" w:hAnsi="Gill Sans MT"/>
          <w:b/>
          <w:bCs/>
        </w:rPr>
      </w:pPr>
      <w:r>
        <w:rPr>
          <w:rFonts w:ascii="Gill Sans MT" w:hAnsi="Gill Sans MT"/>
          <w:b/>
          <w:bCs/>
        </w:rPr>
        <w:t>7</w:t>
      </w:r>
      <w:r w:rsidR="00366128">
        <w:rPr>
          <w:rFonts w:ascii="Gill Sans MT" w:hAnsi="Gill Sans MT"/>
          <w:b/>
          <w:bCs/>
        </w:rPr>
        <w:t>.</w:t>
      </w:r>
      <w:r w:rsidR="00712620">
        <w:rPr>
          <w:rFonts w:ascii="Gill Sans MT" w:hAnsi="Gill Sans MT"/>
          <w:b/>
          <w:bCs/>
        </w:rPr>
        <w:t>8</w:t>
      </w:r>
      <w:r w:rsidR="000F5930" w:rsidRPr="000F5930">
        <w:rPr>
          <w:rFonts w:ascii="Gill Sans MT" w:hAnsi="Gill Sans MT"/>
          <w:b/>
          <w:bCs/>
        </w:rPr>
        <w:t xml:space="preserve"> Conclusion: A Framework in Motion </w:t>
      </w:r>
    </w:p>
    <w:p w14:paraId="46BC9BD6" w14:textId="77777777" w:rsidR="000F5930" w:rsidRPr="000F5930" w:rsidRDefault="000F5930" w:rsidP="00FB4E81">
      <w:pPr>
        <w:spacing w:line="276" w:lineRule="auto"/>
        <w:rPr>
          <w:rFonts w:ascii="Gill Sans MT" w:hAnsi="Gill Sans MT"/>
        </w:rPr>
      </w:pPr>
      <w:r w:rsidRPr="000F5930">
        <w:rPr>
          <w:rFonts w:ascii="Gill Sans MT" w:hAnsi="Gill Sans MT"/>
        </w:rPr>
        <w:t>The BBRTQ, though still in development, represents a foundational shift in how racial trauma can be assessed, understood, and addressed within UK psychological and institutional contexts. It is not simply a measurement tool—it is a framework in motion, designed to bridge the gap between lived experience and institutional response, between cultural specificity and psychometric rigor. Its six domains offer a multidimensional lens through which racialised distress can be recognised, validated, and acted upon, whether in therapy rooms, classrooms, or policy chambers.</w:t>
      </w:r>
    </w:p>
    <w:p w14:paraId="4CB346F2" w14:textId="77777777" w:rsidR="000F5930" w:rsidRPr="000F5930" w:rsidRDefault="000F5930" w:rsidP="00FB4E81">
      <w:pPr>
        <w:spacing w:line="276" w:lineRule="auto"/>
        <w:rPr>
          <w:rFonts w:ascii="Gill Sans MT" w:hAnsi="Gill Sans MT"/>
        </w:rPr>
      </w:pPr>
      <w:r w:rsidRPr="000F5930">
        <w:rPr>
          <w:rFonts w:ascii="Gill Sans MT" w:hAnsi="Gill Sans MT"/>
        </w:rPr>
        <w:t>From a psychological assessment standpoint, the BBRTQ introduces a new standard for culturally responsive measurement. Its domain structure reflects the complexity of racial trauma—capturing not only emotional and behavioural symptoms but also the systemic, symbolic, and intergenerational forces that shape them. This allows clinicians to move beyond symptom checklists and engage with the full ecology of racial harm. It also supports therapeutic formulation, treatment planning, and outcome monitoring in ways that are both empirically grounded and culturally attuned.</w:t>
      </w:r>
    </w:p>
    <w:p w14:paraId="14B58277" w14:textId="77777777" w:rsidR="000F5930" w:rsidRPr="000F5930" w:rsidRDefault="000F5930" w:rsidP="00FB4E81">
      <w:pPr>
        <w:spacing w:line="276" w:lineRule="auto"/>
        <w:rPr>
          <w:rFonts w:ascii="Gill Sans MT" w:hAnsi="Gill Sans MT"/>
        </w:rPr>
      </w:pPr>
      <w:r w:rsidRPr="000F5930">
        <w:rPr>
          <w:rFonts w:ascii="Gill Sans MT" w:hAnsi="Gill Sans MT"/>
        </w:rPr>
        <w:t>From a psychometric perspective, the BBRTQ is being developed with methodological precision. Its validation process includes item-level analysis, factor structure testing, reliability assessment, and measurement invariance—all essential for ensuring that the tool performs consistently across diverse Black British populations. Its scoring system will support both individual-level interpretation and aggregate analysis, enabling its use in clinical practice, research, and institutional evaluation.</w:t>
      </w:r>
    </w:p>
    <w:p w14:paraId="125ACCD3" w14:textId="77777777" w:rsidR="000F5930" w:rsidRPr="000F5930" w:rsidRDefault="000F5930" w:rsidP="00FB4E81">
      <w:pPr>
        <w:spacing w:line="276" w:lineRule="auto"/>
        <w:rPr>
          <w:rFonts w:ascii="Gill Sans MT" w:hAnsi="Gill Sans MT"/>
        </w:rPr>
      </w:pPr>
      <w:r w:rsidRPr="000F5930">
        <w:rPr>
          <w:rFonts w:ascii="Gill Sans MT" w:hAnsi="Gill Sans MT"/>
        </w:rPr>
        <w:t>Importantly, the BBRTQ is designed for cross-sector integration. Its language, structure, and scoring outputs are being tailored to support use in mental health services, educational institutions, and policy environments. This reflects a strategic commitment to coherence—ensuring that racial trauma is not treated as a niche concern but as a systemic issue requiring coordinated, multi-level responses. Whether used to inform therapeutic care, guide curriculum reform, or shape equity audits, the BBRTQ offers a scalable infrastructure for anti-racist transformation.</w:t>
      </w:r>
    </w:p>
    <w:p w14:paraId="407079F8" w14:textId="77777777" w:rsidR="000F5930" w:rsidRPr="000F5930" w:rsidRDefault="000F5930" w:rsidP="00FB4E81">
      <w:pPr>
        <w:spacing w:line="276" w:lineRule="auto"/>
        <w:rPr>
          <w:rFonts w:ascii="Gill Sans MT" w:hAnsi="Gill Sans MT"/>
        </w:rPr>
      </w:pPr>
      <w:r w:rsidRPr="000F5930">
        <w:rPr>
          <w:rFonts w:ascii="Gill Sans MT" w:hAnsi="Gill Sans MT"/>
        </w:rPr>
        <w:t>As development continues, the BBRTQ’s creators remain committed to participatory design, ethical deployment, and cultural integrity. The tool is being shaped not only by academic expertise but by community insight, practitioner feedback, and lived experience. This ensures that the BBRTQ is not only psychometrically sound but socially accountable—a tool that reflects the realities of those it seeks to serve and supports their healing, empowerment, and institutional recognition.</w:t>
      </w:r>
    </w:p>
    <w:p w14:paraId="3603E53A" w14:textId="77777777" w:rsidR="000F5930" w:rsidRDefault="000F5930" w:rsidP="00FB4E81">
      <w:pPr>
        <w:spacing w:line="276" w:lineRule="auto"/>
        <w:rPr>
          <w:rFonts w:ascii="Gill Sans MT" w:hAnsi="Gill Sans MT"/>
        </w:rPr>
      </w:pPr>
      <w:r w:rsidRPr="000F5930">
        <w:rPr>
          <w:rFonts w:ascii="Gill Sans MT" w:hAnsi="Gill Sans MT"/>
        </w:rPr>
        <w:t xml:space="preserve">In sum, the BBRTQ is more than a questionnaire—it is a strategic intervention, a diagnostic innovation, and a catalyst for systemic change. It invites clinicians, educators, and policymakers to engage with racial trauma not as an abstract concept but as a measurable, remediable, and ethically urgent concern. As it moves toward validation and implementation, the BBRTQ stands poised to </w:t>
      </w:r>
      <w:r w:rsidRPr="000F5930">
        <w:rPr>
          <w:rFonts w:ascii="Gill Sans MT" w:hAnsi="Gill Sans MT"/>
        </w:rPr>
        <w:lastRenderedPageBreak/>
        <w:t>reshape how racial trauma is understood and addressed in the UK—bringing clarity, coherence, and cultural justice to the heart of psychological and institutional practice.</w:t>
      </w:r>
    </w:p>
    <w:p w14:paraId="64208B86" w14:textId="3EDD5603" w:rsidR="00A23619" w:rsidRPr="00A23619" w:rsidRDefault="00BB43CE" w:rsidP="00FB4E81">
      <w:pPr>
        <w:spacing w:line="276" w:lineRule="auto"/>
        <w:rPr>
          <w:rFonts w:ascii="Gill Sans MT" w:hAnsi="Gill Sans MT"/>
          <w:b/>
          <w:bCs/>
          <w:sz w:val="32"/>
          <w:szCs w:val="32"/>
        </w:rPr>
      </w:pPr>
      <w:r>
        <w:rPr>
          <w:rFonts w:ascii="Gill Sans MT" w:hAnsi="Gill Sans MT"/>
          <w:b/>
          <w:bCs/>
          <w:sz w:val="32"/>
          <w:szCs w:val="32"/>
        </w:rPr>
        <w:t>8</w:t>
      </w:r>
      <w:r w:rsidR="00396CDA">
        <w:rPr>
          <w:rFonts w:ascii="Gill Sans MT" w:hAnsi="Gill Sans MT"/>
          <w:b/>
          <w:bCs/>
          <w:sz w:val="32"/>
          <w:szCs w:val="32"/>
        </w:rPr>
        <w:t xml:space="preserve">. </w:t>
      </w:r>
      <w:r w:rsidR="00A23619" w:rsidRPr="00A23619">
        <w:rPr>
          <w:rFonts w:ascii="Gill Sans MT" w:hAnsi="Gill Sans MT"/>
          <w:b/>
          <w:bCs/>
          <w:sz w:val="32"/>
          <w:szCs w:val="32"/>
        </w:rPr>
        <w:t>Future Directions</w:t>
      </w:r>
    </w:p>
    <w:p w14:paraId="4F957B4E" w14:textId="77777777" w:rsidR="00A23619" w:rsidRDefault="00A23619" w:rsidP="00FB4E81">
      <w:pPr>
        <w:spacing w:line="276" w:lineRule="auto"/>
        <w:rPr>
          <w:rFonts w:ascii="Gill Sans MT" w:hAnsi="Gill Sans MT"/>
        </w:rPr>
      </w:pPr>
      <w:r w:rsidRPr="00A23619">
        <w:rPr>
          <w:rFonts w:ascii="Gill Sans MT" w:hAnsi="Gill Sans MT"/>
        </w:rPr>
        <w:t>The Black British Racial Trauma Questionnaire (BBRTQ) represents a foundational step toward culturally responsive trauma assessment in the United Kingdom. Its unapologetic focus on African and African Caribbean populations, its grounding in UK-specific sociopolitical realities, and its integration of interdisciplinary theory mark it as a significant innovation in psychometric design. However, as with any emergent tool, the BBRTQ’s development is iterative. This section outlines the future directions necessary to refine, validate, and expand the BBRTQ’s utility across clinical, educational, policy, and research domains.</w:t>
      </w:r>
    </w:p>
    <w:p w14:paraId="34A84131" w14:textId="56995DE0" w:rsidR="00A23619" w:rsidRPr="00075781" w:rsidRDefault="00BB43CE" w:rsidP="00FB4E81">
      <w:pPr>
        <w:spacing w:line="276" w:lineRule="auto"/>
        <w:rPr>
          <w:rFonts w:ascii="Gill Sans MT" w:hAnsi="Gill Sans MT"/>
          <w:b/>
          <w:bCs/>
        </w:rPr>
      </w:pPr>
      <w:r>
        <w:rPr>
          <w:rFonts w:ascii="Gill Sans MT" w:hAnsi="Gill Sans MT"/>
          <w:b/>
          <w:bCs/>
        </w:rPr>
        <w:t>8</w:t>
      </w:r>
      <w:r w:rsidR="00366128">
        <w:rPr>
          <w:rFonts w:ascii="Gill Sans MT" w:hAnsi="Gill Sans MT"/>
          <w:b/>
          <w:bCs/>
        </w:rPr>
        <w:t>.1</w:t>
      </w:r>
      <w:r w:rsidR="00075781">
        <w:rPr>
          <w:rFonts w:ascii="Gill Sans MT" w:hAnsi="Gill Sans MT"/>
          <w:b/>
          <w:bCs/>
        </w:rPr>
        <w:t xml:space="preserve"> </w:t>
      </w:r>
      <w:r w:rsidR="00A23619" w:rsidRPr="00075781">
        <w:rPr>
          <w:rFonts w:ascii="Gill Sans MT" w:hAnsi="Gill Sans MT"/>
          <w:b/>
          <w:bCs/>
        </w:rPr>
        <w:t>Large-Scale Validation and Psychometric Refinement</w:t>
      </w:r>
    </w:p>
    <w:p w14:paraId="35D9D72F" w14:textId="77777777" w:rsidR="00A23619" w:rsidRPr="00A23619" w:rsidRDefault="00A23619" w:rsidP="00FB4E81">
      <w:pPr>
        <w:spacing w:line="276" w:lineRule="auto"/>
        <w:rPr>
          <w:rFonts w:ascii="Gill Sans MT" w:hAnsi="Gill Sans MT"/>
        </w:rPr>
      </w:pPr>
      <w:r w:rsidRPr="00A23619">
        <w:rPr>
          <w:rFonts w:ascii="Gill Sans MT" w:hAnsi="Gill Sans MT"/>
        </w:rPr>
        <w:t>The preliminary testing of the BBRTQ demonstrated strong internal consistency and thematic coherence across its five domains. However, future research must involve large-scale validation with a statistically powered sample to confirm its factor structure, reliability, and construct validity. This includes conducting confirmatory factor analysis (CFA) to test the robustness of the five-domain model and to identify any potential cross-loading or item redundancy (Carter et al., 2013; Williams et al., 2022).</w:t>
      </w:r>
    </w:p>
    <w:p w14:paraId="0120EC83" w14:textId="77777777" w:rsidR="00A23619" w:rsidRPr="00A23619" w:rsidRDefault="00A23619" w:rsidP="00FB4E81">
      <w:pPr>
        <w:spacing w:line="276" w:lineRule="auto"/>
        <w:rPr>
          <w:rFonts w:ascii="Gill Sans MT" w:hAnsi="Gill Sans MT"/>
        </w:rPr>
      </w:pPr>
      <w:r w:rsidRPr="00A23619">
        <w:rPr>
          <w:rFonts w:ascii="Gill Sans MT" w:hAnsi="Gill Sans MT"/>
        </w:rPr>
        <w:t>A larger sample will also allow for the examination of measurement invariance across subgroups—such as gender, age, regional location, and generational status. For example, it is important to assess whether African and Caribbean respondents interpret items similarly, or whether intergenerational distress manifests differently among first-generation migrants versus UK-born individuals (DeGruy, 2005; Cénat, 2023). These analyses will strengthen the BBRTQ’s psychometric credibility and ensure its applicability across the full spectrum of Black British identities.</w:t>
      </w:r>
    </w:p>
    <w:p w14:paraId="671E072C" w14:textId="77777777" w:rsidR="00A23619" w:rsidRDefault="00A23619" w:rsidP="00FB4E81">
      <w:pPr>
        <w:spacing w:line="276" w:lineRule="auto"/>
        <w:rPr>
          <w:rFonts w:ascii="Gill Sans MT" w:hAnsi="Gill Sans MT"/>
        </w:rPr>
      </w:pPr>
      <w:r w:rsidRPr="00A23619">
        <w:rPr>
          <w:rFonts w:ascii="Gill Sans MT" w:hAnsi="Gill Sans MT"/>
        </w:rPr>
        <w:t>Additionally, future studies should explore the BBRTQ’s test-retest reliability and sensitivity to change over time. This will determine its utility not only as a diagnostic tool but also as an outcome measure for therapeutic interventions, educational reforms, or policy shifts. Longitudinal data can reveal how racial trauma evolves in response to systemic changes, community healing, or personal growth.</w:t>
      </w:r>
    </w:p>
    <w:p w14:paraId="06061BEC" w14:textId="789982A7" w:rsidR="00A23619" w:rsidRPr="00A73EB9" w:rsidRDefault="00BB43CE" w:rsidP="00FB4E81">
      <w:pPr>
        <w:spacing w:line="276" w:lineRule="auto"/>
        <w:rPr>
          <w:rFonts w:ascii="Gill Sans MT" w:hAnsi="Gill Sans MT"/>
          <w:b/>
          <w:bCs/>
        </w:rPr>
      </w:pPr>
      <w:r>
        <w:rPr>
          <w:rFonts w:ascii="Gill Sans MT" w:hAnsi="Gill Sans MT"/>
          <w:b/>
          <w:bCs/>
        </w:rPr>
        <w:t>8</w:t>
      </w:r>
      <w:r w:rsidR="00ED7D5E">
        <w:rPr>
          <w:rFonts w:ascii="Gill Sans MT" w:hAnsi="Gill Sans MT"/>
          <w:b/>
          <w:bCs/>
        </w:rPr>
        <w:t xml:space="preserve">.2 </w:t>
      </w:r>
      <w:r w:rsidR="00ED7D5E" w:rsidRPr="00A73EB9">
        <w:rPr>
          <w:rFonts w:ascii="Gill Sans MT" w:hAnsi="Gill Sans MT"/>
          <w:b/>
          <w:bCs/>
        </w:rPr>
        <w:t>Integration</w:t>
      </w:r>
      <w:r w:rsidR="00A23619" w:rsidRPr="00A73EB9">
        <w:rPr>
          <w:rFonts w:ascii="Gill Sans MT" w:hAnsi="Gill Sans MT"/>
          <w:b/>
          <w:bCs/>
        </w:rPr>
        <w:t xml:space="preserve"> into Clinical Practice and Mental Health Services</w:t>
      </w:r>
    </w:p>
    <w:p w14:paraId="3369F21E" w14:textId="77777777" w:rsidR="00A23619" w:rsidRPr="00A23619" w:rsidRDefault="00A23619" w:rsidP="00FB4E81">
      <w:pPr>
        <w:spacing w:line="276" w:lineRule="auto"/>
        <w:rPr>
          <w:rFonts w:ascii="Gill Sans MT" w:hAnsi="Gill Sans MT"/>
        </w:rPr>
      </w:pPr>
      <w:r w:rsidRPr="00A23619">
        <w:rPr>
          <w:rFonts w:ascii="Gill Sans MT" w:hAnsi="Gill Sans MT"/>
        </w:rPr>
        <w:t>To maximise its impact, the BBRTQ must be integrated into mainstream mental health services, including NHS trusts, community psychology initiatives, and private practice settings. This requires collaboration with clinical psychologists, psychiatrists, counsellors, and mental health nurses to embed the BBRTQ into assessment protocols, case formulations, and treatment planning.</w:t>
      </w:r>
    </w:p>
    <w:p w14:paraId="027A4A62" w14:textId="77777777" w:rsidR="00A23619" w:rsidRPr="00A23619" w:rsidRDefault="00A23619" w:rsidP="00FB4E81">
      <w:pPr>
        <w:spacing w:line="276" w:lineRule="auto"/>
        <w:rPr>
          <w:rFonts w:ascii="Gill Sans MT" w:hAnsi="Gill Sans MT"/>
        </w:rPr>
      </w:pPr>
      <w:r w:rsidRPr="00A23619">
        <w:rPr>
          <w:rFonts w:ascii="Gill Sans MT" w:hAnsi="Gill Sans MT"/>
        </w:rPr>
        <w:t>One avenue for integration is through culturally adapted intake assessments. Mental health services often rely on generic screening tools that fail to capture racialised distress, leading to misdiagnosis or therapeutic rupture (Fernando, 2017; Mantovani &amp; Smith, 2021). The BBRTQ can be used alongside these tools to provide a fuller picture of the client’s psychological landscape, particularly in cases where racial trauma is a central concern.</w:t>
      </w:r>
    </w:p>
    <w:p w14:paraId="28845124" w14:textId="77777777" w:rsidR="00A23619" w:rsidRPr="00A23619" w:rsidRDefault="00A23619" w:rsidP="00FB4E81">
      <w:pPr>
        <w:spacing w:line="276" w:lineRule="auto"/>
        <w:rPr>
          <w:rFonts w:ascii="Gill Sans MT" w:hAnsi="Gill Sans MT"/>
        </w:rPr>
      </w:pPr>
      <w:r w:rsidRPr="00A23619">
        <w:rPr>
          <w:rFonts w:ascii="Gill Sans MT" w:hAnsi="Gill Sans MT"/>
        </w:rPr>
        <w:lastRenderedPageBreak/>
        <w:t>Training will be essential. Clinicians must be equipped not only to administer the BBRTQ but to interpret its results through a culturally competent lens. This includes understanding the historical and institutional contexts of racial trauma, recognising culturally specific idioms of distress, and avoiding pathologising interpretations of adaptive behaviours such as emotional suppression or hypervigilance (Alleyne, 2024; Samuel &amp; Simonds, 2025).</w:t>
      </w:r>
    </w:p>
    <w:p w14:paraId="7729AD1E" w14:textId="77777777" w:rsidR="00A23619" w:rsidRDefault="00A23619" w:rsidP="00FB4E81">
      <w:pPr>
        <w:spacing w:line="276" w:lineRule="auto"/>
        <w:rPr>
          <w:rFonts w:ascii="Gill Sans MT" w:hAnsi="Gill Sans MT"/>
        </w:rPr>
      </w:pPr>
      <w:r w:rsidRPr="00A23619">
        <w:rPr>
          <w:rFonts w:ascii="Gill Sans MT" w:hAnsi="Gill Sans MT"/>
        </w:rPr>
        <w:t>Moreover, the BBRTQ can inform service redesign. Aggregated data from BBRTQ assessments can be used to identify patterns of racial harm within specific institutions, regions, or service pathways. This supports the development of trauma-informed, anti-racist mental health services that are responsive to the needs of Black British communities (Devonport et al., 2023; Race Equality Foundation, 2022).</w:t>
      </w:r>
    </w:p>
    <w:p w14:paraId="14E33CFB" w14:textId="1D38E13B" w:rsidR="00A23619" w:rsidRPr="00AC254F" w:rsidRDefault="00BB43CE" w:rsidP="00FB4E81">
      <w:pPr>
        <w:spacing w:line="276" w:lineRule="auto"/>
        <w:rPr>
          <w:rFonts w:ascii="Gill Sans MT" w:hAnsi="Gill Sans MT"/>
          <w:b/>
          <w:bCs/>
        </w:rPr>
      </w:pPr>
      <w:r>
        <w:rPr>
          <w:rFonts w:ascii="Gill Sans MT" w:hAnsi="Gill Sans MT"/>
          <w:b/>
          <w:bCs/>
        </w:rPr>
        <w:t>8</w:t>
      </w:r>
      <w:r w:rsidR="00366128">
        <w:rPr>
          <w:rFonts w:ascii="Gill Sans MT" w:hAnsi="Gill Sans MT"/>
          <w:b/>
          <w:bCs/>
        </w:rPr>
        <w:t>.3</w:t>
      </w:r>
      <w:r w:rsidR="00AC254F">
        <w:rPr>
          <w:rFonts w:ascii="Gill Sans MT" w:hAnsi="Gill Sans MT"/>
          <w:b/>
          <w:bCs/>
        </w:rPr>
        <w:t xml:space="preserve"> </w:t>
      </w:r>
      <w:r w:rsidR="00A23619" w:rsidRPr="00AC254F">
        <w:rPr>
          <w:rFonts w:ascii="Gill Sans MT" w:hAnsi="Gill Sans MT"/>
          <w:b/>
          <w:bCs/>
        </w:rPr>
        <w:t>Educational Deployment and Curriculum Reform</w:t>
      </w:r>
    </w:p>
    <w:p w14:paraId="6CA71E01" w14:textId="77777777" w:rsidR="00A23619" w:rsidRPr="00A23619" w:rsidRDefault="00A23619" w:rsidP="00FB4E81">
      <w:pPr>
        <w:spacing w:line="276" w:lineRule="auto"/>
        <w:rPr>
          <w:rFonts w:ascii="Gill Sans MT" w:hAnsi="Gill Sans MT"/>
        </w:rPr>
      </w:pPr>
      <w:r w:rsidRPr="00A23619">
        <w:rPr>
          <w:rFonts w:ascii="Gill Sans MT" w:hAnsi="Gill Sans MT"/>
        </w:rPr>
        <w:t>The BBRTQ also has potential for deployment in educational settings, particularly in schools, colleges, and universities seeking to address racial disparities in attainment, wellbeing, and disciplinary outcomes. Future directions include adapting the BBRTQ for use with adolescents and young adults, ensuring that language, content, and framing are developmentally appropriate.</w:t>
      </w:r>
    </w:p>
    <w:p w14:paraId="62370EBD" w14:textId="77777777" w:rsidR="00A23619" w:rsidRPr="00A23619" w:rsidRDefault="00A23619" w:rsidP="00FB4E81">
      <w:pPr>
        <w:spacing w:line="276" w:lineRule="auto"/>
        <w:rPr>
          <w:rFonts w:ascii="Gill Sans MT" w:hAnsi="Gill Sans MT"/>
        </w:rPr>
      </w:pPr>
      <w:r w:rsidRPr="00A23619">
        <w:rPr>
          <w:rFonts w:ascii="Gill Sans MT" w:hAnsi="Gill Sans MT"/>
        </w:rPr>
        <w:t>Pilot studies in educational contexts can explore how racial trauma affects learning, classroom behaviour, and identity development. For example, high scores on the symbolic trauma domain may correlate with disengagement or oppositional behaviour, while elevated racialised vigilance may manifest as perfectionism or emotional withdrawal. These insights can inform trauma-informed pedagogy and support staff training in racial trauma literacy (Arday, 2021; Bryan, 2021).</w:t>
      </w:r>
    </w:p>
    <w:p w14:paraId="753D4498" w14:textId="77777777" w:rsidR="00A23619" w:rsidRPr="00A23619" w:rsidRDefault="00A23619" w:rsidP="00FB4E81">
      <w:pPr>
        <w:spacing w:line="276" w:lineRule="auto"/>
        <w:rPr>
          <w:rFonts w:ascii="Gill Sans MT" w:hAnsi="Gill Sans MT"/>
        </w:rPr>
      </w:pPr>
      <w:r w:rsidRPr="00A23619">
        <w:rPr>
          <w:rFonts w:ascii="Gill Sans MT" w:hAnsi="Gill Sans MT"/>
        </w:rPr>
        <w:t>The BBRTQ can also be used to evaluate the racial climate of educational institutions. By collecting anonymised data across student populations, schools can identify systemic patterns of harm and develop targeted interventions. This aligns with the goals of the Race Equality Charter and other sector-wide initiatives aimed at promoting equity and inclusion through evidence-based practice (Advance HE, 2022).</w:t>
      </w:r>
    </w:p>
    <w:p w14:paraId="4A7D768D" w14:textId="77777777" w:rsidR="00A23619" w:rsidRDefault="00A23619" w:rsidP="00FB4E81">
      <w:pPr>
        <w:spacing w:line="276" w:lineRule="auto"/>
        <w:rPr>
          <w:rFonts w:ascii="Gill Sans MT" w:hAnsi="Gill Sans MT"/>
        </w:rPr>
      </w:pPr>
      <w:r w:rsidRPr="00A23619">
        <w:rPr>
          <w:rFonts w:ascii="Gill Sans MT" w:hAnsi="Gill Sans MT"/>
        </w:rPr>
        <w:t>In the longer term, the BBRTQ could support curriculum reform. Its domains—particularly symbolic trauma and intergenerational distress—highlight the psychological consequences of curriculum erasure and historical silence. These findings can be used to advocate for the inclusion of Black British history, literature, and cultural contributions in mainstream education, thereby addressing epistemic injustice and promoting identity affirmation (Fricker, 2007; Khan, 2020).</w:t>
      </w:r>
    </w:p>
    <w:p w14:paraId="47C47088" w14:textId="75EDC8AA" w:rsidR="00054F8F" w:rsidRPr="00054F8F" w:rsidRDefault="00BB43CE" w:rsidP="00FB4E81">
      <w:pPr>
        <w:spacing w:line="276" w:lineRule="auto"/>
        <w:rPr>
          <w:rFonts w:ascii="Gill Sans MT" w:hAnsi="Gill Sans MT"/>
          <w:b/>
          <w:bCs/>
        </w:rPr>
      </w:pPr>
      <w:r>
        <w:rPr>
          <w:rFonts w:ascii="Gill Sans MT" w:hAnsi="Gill Sans MT"/>
          <w:b/>
          <w:bCs/>
        </w:rPr>
        <w:t>8</w:t>
      </w:r>
      <w:r w:rsidR="00366128">
        <w:rPr>
          <w:rFonts w:ascii="Gill Sans MT" w:hAnsi="Gill Sans MT"/>
          <w:b/>
          <w:bCs/>
        </w:rPr>
        <w:t>.4</w:t>
      </w:r>
      <w:r w:rsidR="00054F8F" w:rsidRPr="00054F8F">
        <w:rPr>
          <w:rFonts w:ascii="Gill Sans MT" w:hAnsi="Gill Sans MT"/>
          <w:b/>
          <w:bCs/>
        </w:rPr>
        <w:t xml:space="preserve"> Policy Advocacy and Public Health Integration</w:t>
      </w:r>
    </w:p>
    <w:p w14:paraId="561DFC54" w14:textId="77777777" w:rsidR="00054F8F" w:rsidRPr="00054F8F" w:rsidRDefault="00054F8F" w:rsidP="00FB4E81">
      <w:pPr>
        <w:spacing w:line="276" w:lineRule="auto"/>
        <w:rPr>
          <w:rFonts w:ascii="Gill Sans MT" w:hAnsi="Gill Sans MT"/>
        </w:rPr>
      </w:pPr>
      <w:r w:rsidRPr="00054F8F">
        <w:rPr>
          <w:rFonts w:ascii="Gill Sans MT" w:hAnsi="Gill Sans MT"/>
        </w:rPr>
        <w:t>As racial trauma continues to be recognised not only as a clinical phenomenon but as a public health imperative, the BBRTQ offers a strategic opportunity to bridge psychological assessment with systemic reform. Future directions include leveraging BBRTQ data to inform racial equity audits, mental health needs assessments, and public sector resource allocation. The instrument’s domain structure—particularly scores related to systemic exclusion, institutional betrayal, and symbolic trauma—can serve as empirical indicators of structural harm, guiding targeted policy interventions.</w:t>
      </w:r>
    </w:p>
    <w:p w14:paraId="57660412" w14:textId="77777777" w:rsidR="00054F8F" w:rsidRPr="00054F8F" w:rsidRDefault="00054F8F" w:rsidP="00FB4E81">
      <w:pPr>
        <w:spacing w:line="276" w:lineRule="auto"/>
        <w:rPr>
          <w:rFonts w:ascii="Gill Sans MT" w:hAnsi="Gill Sans MT"/>
        </w:rPr>
      </w:pPr>
      <w:r w:rsidRPr="00054F8F">
        <w:rPr>
          <w:rFonts w:ascii="Gill Sans MT" w:hAnsi="Gill Sans MT"/>
        </w:rPr>
        <w:lastRenderedPageBreak/>
        <w:t>Collaborations with NHS commissioners, local authorities, and public health bodies will be critical in embedding the BBRTQ within anti-racist policy frameworks. For instance, elevated aggregate scores in the Systemic Exclusion and Mistrust domain may signal institutional failures in housing, education, or healthcare, prompting reform at both service delivery and governance levels. Similarly, data from the Identity Conflict and Cultural Disconnection domain can inform curriculum diversification, media regulation, and cultural investment strategies aimed at reducing representational harm (Equality Trust &amp; BLAM, 2024; Devonport et al., 2023).</w:t>
      </w:r>
    </w:p>
    <w:p w14:paraId="7FB71368" w14:textId="77777777" w:rsidR="00054F8F" w:rsidRPr="00054F8F" w:rsidRDefault="00054F8F" w:rsidP="00FB4E81">
      <w:pPr>
        <w:spacing w:line="276" w:lineRule="auto"/>
        <w:rPr>
          <w:rFonts w:ascii="Gill Sans MT" w:hAnsi="Gill Sans MT"/>
        </w:rPr>
      </w:pPr>
      <w:r w:rsidRPr="00054F8F">
        <w:rPr>
          <w:rFonts w:ascii="Gill Sans MT" w:hAnsi="Gill Sans MT"/>
        </w:rPr>
        <w:t>The BBRTQ also supports institutional accountability. Organisations that publicly commit to anti-racism can use the tool to assess whether their policies and practices are measurably reducing racial harm. This shifts the evaluative lens from performative allyship to outcome-based accountability, enabling communities to hold institutions responsible for their role in perpetuating or alleviating racial trauma (Fricker, 2007; Bryan, 2021). By providing quantifiable data on racial distress, the BBRTQ can inform strategic planning, funding decisions, and equity benchmarking across sectors, positioning racial trauma as a measurable determinant of public health and social justice.</w:t>
      </w:r>
    </w:p>
    <w:p w14:paraId="4F078643" w14:textId="07C6EB5C" w:rsidR="00054F8F" w:rsidRPr="00054F8F" w:rsidRDefault="00BB43CE" w:rsidP="00FB4E81">
      <w:pPr>
        <w:spacing w:line="276" w:lineRule="auto"/>
        <w:rPr>
          <w:rFonts w:ascii="Gill Sans MT" w:hAnsi="Gill Sans MT"/>
          <w:b/>
          <w:bCs/>
        </w:rPr>
      </w:pPr>
      <w:r>
        <w:rPr>
          <w:rFonts w:ascii="Gill Sans MT" w:hAnsi="Gill Sans MT"/>
          <w:b/>
          <w:bCs/>
        </w:rPr>
        <w:t>8</w:t>
      </w:r>
      <w:r w:rsidR="00366128">
        <w:rPr>
          <w:rFonts w:ascii="Gill Sans MT" w:hAnsi="Gill Sans MT"/>
          <w:b/>
          <w:bCs/>
        </w:rPr>
        <w:t>.5</w:t>
      </w:r>
      <w:r w:rsidR="00054F8F" w:rsidRPr="00054F8F">
        <w:rPr>
          <w:rFonts w:ascii="Gill Sans MT" w:hAnsi="Gill Sans MT"/>
          <w:b/>
          <w:bCs/>
        </w:rPr>
        <w:t xml:space="preserve"> Community Engagement and Participatory Research</w:t>
      </w:r>
    </w:p>
    <w:p w14:paraId="6EB698FF" w14:textId="77777777" w:rsidR="00054F8F" w:rsidRPr="00054F8F" w:rsidRDefault="00054F8F" w:rsidP="00FB4E81">
      <w:pPr>
        <w:spacing w:line="276" w:lineRule="auto"/>
        <w:rPr>
          <w:rFonts w:ascii="Gill Sans MT" w:hAnsi="Gill Sans MT"/>
        </w:rPr>
      </w:pPr>
      <w:r w:rsidRPr="00054F8F">
        <w:rPr>
          <w:rFonts w:ascii="Gill Sans MT" w:hAnsi="Gill Sans MT"/>
        </w:rPr>
        <w:t>The BBRTQ was developed with the understanding that racial trauma cannot be fully understood or addressed without the active participation of those who live it. Future directions must therefore prioritise community engagement and participatory research to ensure the tool remains responsive, relevant, and empowering. This includes collaboration with grassroots organisations, cultural institutions, and lived experience researchers who can guide the BBRTQ’s refinement and contextual adaptation.</w:t>
      </w:r>
    </w:p>
    <w:p w14:paraId="6E18549D" w14:textId="77777777" w:rsidR="00054F8F" w:rsidRPr="00054F8F" w:rsidRDefault="00054F8F" w:rsidP="00FB4E81">
      <w:pPr>
        <w:spacing w:line="276" w:lineRule="auto"/>
        <w:rPr>
          <w:rFonts w:ascii="Gill Sans MT" w:hAnsi="Gill Sans MT"/>
        </w:rPr>
      </w:pPr>
      <w:r w:rsidRPr="00054F8F">
        <w:rPr>
          <w:rFonts w:ascii="Gill Sans MT" w:hAnsi="Gill Sans MT"/>
        </w:rPr>
        <w:t xml:space="preserve">Participatory methods—such as co-design workshops, community validation panels, and storytelling initiatives—can deepen the BBRTQ’s cultural resonance and enhance its interpretive flexibility. These approaches support epistemic justice by centring community knowledge and allowing Black Britons to shape the tools used to assess and address their own trauma (Comas-Díaz et al., 2019; </w:t>
      </w:r>
      <w:proofErr w:type="spellStart"/>
      <w:r w:rsidRPr="00054F8F">
        <w:rPr>
          <w:rFonts w:ascii="Gill Sans MT" w:hAnsi="Gill Sans MT"/>
        </w:rPr>
        <w:t>Cénat</w:t>
      </w:r>
      <w:proofErr w:type="spellEnd"/>
      <w:r w:rsidRPr="00054F8F">
        <w:rPr>
          <w:rFonts w:ascii="Gill Sans MT" w:hAnsi="Gill Sans MT"/>
        </w:rPr>
        <w:t>, 2023). They also foster trust and transparency in research, countering historical patterns of extraction and misrepresentation in psychological studies involving minoritised populations.</w:t>
      </w:r>
    </w:p>
    <w:p w14:paraId="3672ED1E" w14:textId="77777777" w:rsidR="00054F8F" w:rsidRPr="00054F8F" w:rsidRDefault="00054F8F" w:rsidP="00FB4E81">
      <w:pPr>
        <w:spacing w:line="276" w:lineRule="auto"/>
        <w:rPr>
          <w:rFonts w:ascii="Gill Sans MT" w:hAnsi="Gill Sans MT"/>
        </w:rPr>
      </w:pPr>
      <w:r w:rsidRPr="00054F8F">
        <w:rPr>
          <w:rFonts w:ascii="Gill Sans MT" w:hAnsi="Gill Sans MT"/>
        </w:rPr>
        <w:t>Beyond research, the BBRTQ has potential as a community-based intervention tool. Its domains can be used to facilitate healing dialogues, peer support groups, and cultural programming. For example, items from the Resilience, Resistance, and Healing domain can serve as prompts for community reflection and mobilisation, while Survival Stress Patterns may inform psychoeducation and advocacy around emotional suppression and hypervigilance. In this way, the BBRTQ becomes not only a diagnostic instrument but a catalyst for collective transformation—supporting both individual recovery and systemic change.</w:t>
      </w:r>
    </w:p>
    <w:p w14:paraId="6E680097" w14:textId="2F456852" w:rsidR="00054F8F" w:rsidRPr="00054F8F" w:rsidRDefault="00BB43CE" w:rsidP="00FB4E81">
      <w:pPr>
        <w:spacing w:line="276" w:lineRule="auto"/>
        <w:rPr>
          <w:rFonts w:ascii="Gill Sans MT" w:hAnsi="Gill Sans MT"/>
          <w:b/>
          <w:bCs/>
        </w:rPr>
      </w:pPr>
      <w:r>
        <w:rPr>
          <w:rFonts w:ascii="Gill Sans MT" w:hAnsi="Gill Sans MT"/>
          <w:b/>
          <w:bCs/>
        </w:rPr>
        <w:t>8</w:t>
      </w:r>
      <w:r w:rsidR="00366128">
        <w:rPr>
          <w:rFonts w:ascii="Gill Sans MT" w:hAnsi="Gill Sans MT"/>
          <w:b/>
          <w:bCs/>
        </w:rPr>
        <w:t>.</w:t>
      </w:r>
      <w:r w:rsidR="002149EB">
        <w:rPr>
          <w:rFonts w:ascii="Gill Sans MT" w:hAnsi="Gill Sans MT"/>
          <w:b/>
          <w:bCs/>
        </w:rPr>
        <w:t>6</w:t>
      </w:r>
      <w:r w:rsidR="00054F8F" w:rsidRPr="00054F8F">
        <w:rPr>
          <w:rFonts w:ascii="Gill Sans MT" w:hAnsi="Gill Sans MT"/>
          <w:b/>
          <w:bCs/>
        </w:rPr>
        <w:t xml:space="preserve"> Limitations and Future Directions</w:t>
      </w:r>
    </w:p>
    <w:p w14:paraId="2A3F603E" w14:textId="77777777" w:rsidR="00712620" w:rsidRDefault="00054F8F" w:rsidP="00E735D5">
      <w:pPr>
        <w:spacing w:line="276" w:lineRule="auto"/>
        <w:rPr>
          <w:rFonts w:ascii="Gill Sans MT" w:hAnsi="Gill Sans MT"/>
        </w:rPr>
      </w:pPr>
      <w:r w:rsidRPr="00054F8F">
        <w:rPr>
          <w:rFonts w:ascii="Gill Sans MT" w:hAnsi="Gill Sans MT"/>
        </w:rPr>
        <w:t xml:space="preserve">While the BBRTQ demonstrates strong preliminary validity and cultural relevance, several limitations must be acknowledged. The pilot sample size (n = 45) limits generalisability, and further validation is required with larger, demographically diverse cohorts. Future research should include confirmatory factor analysis (CFA) to test the stability of the six-domain structure and assess </w:t>
      </w:r>
      <w:r w:rsidRPr="00054F8F">
        <w:rPr>
          <w:rFonts w:ascii="Gill Sans MT" w:hAnsi="Gill Sans MT"/>
        </w:rPr>
        <w:lastRenderedPageBreak/>
        <w:t>measurement invariance across age, gender, regional location, and heritage background. Longitudinal studies could also explore how BBRTQ scores correlate with mental health outcomes, resilience trajectories, and help-seeking behaviours over time.</w:t>
      </w:r>
      <w:r w:rsidR="00E735D5">
        <w:rPr>
          <w:rFonts w:ascii="Gill Sans MT" w:hAnsi="Gill Sans MT"/>
        </w:rPr>
        <w:t xml:space="preserve"> </w:t>
      </w:r>
    </w:p>
    <w:p w14:paraId="38A2CF54" w14:textId="4DB09D08" w:rsidR="00054F8F" w:rsidRPr="00054F8F" w:rsidRDefault="00054F8F" w:rsidP="00712620">
      <w:pPr>
        <w:spacing w:line="276" w:lineRule="auto"/>
        <w:rPr>
          <w:rFonts w:ascii="Gill Sans MT" w:hAnsi="Gill Sans MT"/>
        </w:rPr>
      </w:pPr>
      <w:r w:rsidRPr="00054F8F">
        <w:rPr>
          <w:rFonts w:ascii="Gill Sans MT" w:hAnsi="Gill Sans MT"/>
        </w:rPr>
        <w:t xml:space="preserve">Qualitative feedback from participants should be systematically analysed to refine item wording, enhance thematic clarity, and ensure continued cultural responsiveness. </w:t>
      </w:r>
      <w:r w:rsidR="00712620">
        <w:rPr>
          <w:rFonts w:ascii="Gill Sans MT" w:hAnsi="Gill Sans MT"/>
        </w:rPr>
        <w:t xml:space="preserve"> </w:t>
      </w:r>
      <w:r w:rsidRPr="00054F8F">
        <w:rPr>
          <w:rFonts w:ascii="Gill Sans MT" w:hAnsi="Gill Sans MT"/>
        </w:rPr>
        <w:t>This iterative process will be essential in maintaining the BBRTQ’s relevance as sociopolitical conditions evolve and new forms of racial harm emerge.</w:t>
      </w:r>
      <w:r w:rsidR="00E735D5">
        <w:rPr>
          <w:rFonts w:ascii="Gill Sans MT" w:hAnsi="Gill Sans MT"/>
        </w:rPr>
        <w:t xml:space="preserve"> </w:t>
      </w:r>
      <w:r w:rsidRPr="00054F8F">
        <w:rPr>
          <w:rFonts w:ascii="Gill Sans MT" w:hAnsi="Gill Sans MT"/>
        </w:rPr>
        <w:t xml:space="preserve">Another critical area for development is the integration of intersectional analysis. While the BBRTQ </w:t>
      </w:r>
      <w:proofErr w:type="gramStart"/>
      <w:r w:rsidRPr="00054F8F">
        <w:rPr>
          <w:rFonts w:ascii="Gill Sans MT" w:hAnsi="Gill Sans MT"/>
        </w:rPr>
        <w:t>centres</w:t>
      </w:r>
      <w:proofErr w:type="gramEnd"/>
      <w:r w:rsidRPr="00054F8F">
        <w:rPr>
          <w:rFonts w:ascii="Gill Sans MT" w:hAnsi="Gill Sans MT"/>
        </w:rPr>
        <w:t xml:space="preserve"> Black British identity, future iterations could include items that address the compounded effects of racism, gender, class, disability, and migration status. This would enhance the tool’s sensitivity to intra-group diversity and support more nuanced assessments of racial trauma across intersecting identities (Crenshaw, 1991; Bowleg, 2021).</w:t>
      </w:r>
    </w:p>
    <w:p w14:paraId="58F89FE8" w14:textId="77777777" w:rsidR="00054F8F" w:rsidRDefault="00054F8F" w:rsidP="00FB4E81">
      <w:pPr>
        <w:spacing w:line="276" w:lineRule="auto"/>
        <w:rPr>
          <w:rFonts w:ascii="Gill Sans MT" w:hAnsi="Gill Sans MT"/>
        </w:rPr>
      </w:pPr>
      <w:r w:rsidRPr="00054F8F">
        <w:rPr>
          <w:rFonts w:ascii="Gill Sans MT" w:hAnsi="Gill Sans MT"/>
        </w:rPr>
        <w:t>Sustained collaboration with community organisations, clinicians, and researchers will be vital to the BBRTQ’s evolution. A community-informed, empirically grounded approach will ensure that the tool remains both scientifically robust and socially accountable. As racial trauma continues to gain recognition as a public health and human rights issue, the BBRTQ offers a scalable, culturally anchored framework for assessment, advocacy, and healing in the UK context.</w:t>
      </w:r>
    </w:p>
    <w:p w14:paraId="5CA90E17" w14:textId="20779FE8" w:rsidR="00A23619" w:rsidRPr="00A23619" w:rsidRDefault="00BB43CE" w:rsidP="00FB4E81">
      <w:pPr>
        <w:spacing w:line="276" w:lineRule="auto"/>
        <w:rPr>
          <w:rFonts w:ascii="Gill Sans MT" w:hAnsi="Gill Sans MT"/>
          <w:b/>
          <w:bCs/>
          <w:sz w:val="32"/>
          <w:szCs w:val="32"/>
        </w:rPr>
      </w:pPr>
      <w:r>
        <w:rPr>
          <w:rFonts w:ascii="Gill Sans MT" w:hAnsi="Gill Sans MT"/>
          <w:b/>
          <w:bCs/>
          <w:sz w:val="32"/>
          <w:szCs w:val="32"/>
        </w:rPr>
        <w:t>9</w:t>
      </w:r>
      <w:r w:rsidR="00396CDA">
        <w:rPr>
          <w:rFonts w:ascii="Gill Sans MT" w:hAnsi="Gill Sans MT"/>
          <w:b/>
          <w:bCs/>
          <w:sz w:val="32"/>
          <w:szCs w:val="32"/>
        </w:rPr>
        <w:t xml:space="preserve">. </w:t>
      </w:r>
      <w:r w:rsidR="00A23619" w:rsidRPr="00A23619">
        <w:rPr>
          <w:rFonts w:ascii="Gill Sans MT" w:hAnsi="Gill Sans MT"/>
          <w:b/>
          <w:bCs/>
          <w:sz w:val="32"/>
          <w:szCs w:val="32"/>
        </w:rPr>
        <w:t>Conclusion</w:t>
      </w:r>
    </w:p>
    <w:p w14:paraId="43154C8A" w14:textId="77777777" w:rsidR="00A425FD" w:rsidRPr="00A425FD" w:rsidRDefault="00A425FD" w:rsidP="00FB4E81">
      <w:pPr>
        <w:spacing w:line="276" w:lineRule="auto"/>
        <w:rPr>
          <w:rFonts w:ascii="Gill Sans MT" w:hAnsi="Gill Sans MT"/>
        </w:rPr>
      </w:pPr>
      <w:r w:rsidRPr="00A425FD">
        <w:rPr>
          <w:rFonts w:ascii="Gill Sans MT" w:hAnsi="Gill Sans MT"/>
        </w:rPr>
        <w:t>The BBRTQ marks a significant advancement in culturally responsive trauma assessment, offering a theoretically grounded and contextually specific framework for understanding racial trauma among African and African Caribbean populations in the UK. By centring Black British lived experience and embedding UK-specific institutional realities, it moves beyond Eurocentric models and affirms the legitimacy of racialised distress.</w:t>
      </w:r>
    </w:p>
    <w:p w14:paraId="23262EFD" w14:textId="77777777" w:rsidR="00A425FD" w:rsidRPr="00A425FD" w:rsidRDefault="00A425FD" w:rsidP="00FB4E81">
      <w:pPr>
        <w:spacing w:line="276" w:lineRule="auto"/>
        <w:rPr>
          <w:rFonts w:ascii="Gill Sans MT" w:hAnsi="Gill Sans MT"/>
        </w:rPr>
      </w:pPr>
      <w:r w:rsidRPr="00A425FD">
        <w:rPr>
          <w:rFonts w:ascii="Gill Sans MT" w:hAnsi="Gill Sans MT"/>
        </w:rPr>
        <w:t>Designed for use across clinical, educational, policy, and community domains, the BBRTQ provides the language and metrics needed to identify harm, support healing, and drive systemic change. Its psychometric strength must be matched by cultural responsiveness, with future work focused on confirmatory factor analysis, measurement invariance, and participatory research.</w:t>
      </w:r>
    </w:p>
    <w:p w14:paraId="0AE5661F" w14:textId="77777777" w:rsidR="00A425FD" w:rsidRPr="00A425FD" w:rsidRDefault="00A425FD" w:rsidP="00FB4E81">
      <w:pPr>
        <w:spacing w:line="276" w:lineRule="auto"/>
        <w:rPr>
          <w:rFonts w:ascii="Gill Sans MT" w:hAnsi="Gill Sans MT"/>
        </w:rPr>
      </w:pPr>
      <w:r w:rsidRPr="00A425FD">
        <w:rPr>
          <w:rFonts w:ascii="Gill Sans MT" w:hAnsi="Gill Sans MT"/>
        </w:rPr>
        <w:t>As a living tool, the BBRTQ reflects the collective nature of racial trauma and must remain adaptive to intersecting identities and evolving sociopolitical contexts. Its development demands a commitment to cultural specificity, epistemic justice, and transformative impact—not only to diagnose harm but to dismantle the systems that perpetuate it.</w:t>
      </w:r>
    </w:p>
    <w:p w14:paraId="1D8B6E4F" w14:textId="1B693D54" w:rsidR="0052540E" w:rsidRDefault="00A425FD" w:rsidP="00FB4E81">
      <w:pPr>
        <w:spacing w:line="276" w:lineRule="auto"/>
        <w:rPr>
          <w:rFonts w:ascii="Gill Sans MT" w:hAnsi="Gill Sans MT"/>
        </w:rPr>
      </w:pPr>
      <w:r w:rsidRPr="00A425FD">
        <w:rPr>
          <w:rFonts w:ascii="Gill Sans MT" w:hAnsi="Gill Sans MT"/>
        </w:rPr>
        <w:t>Ultimately, the BBRTQ is more than a diagnostic instrument—it is a catalyst for recognition, resistance, and repair. By honouring both the pain and power of Black British experience, it offers a pathway toward healing and systemic accountability.</w:t>
      </w:r>
    </w:p>
    <w:p w14:paraId="53E32F0D" w14:textId="77777777" w:rsidR="00A23619" w:rsidRDefault="00A23619" w:rsidP="00FB4E81">
      <w:pPr>
        <w:pStyle w:val="NoSpacing"/>
        <w:spacing w:line="276" w:lineRule="auto"/>
        <w:rPr>
          <w:sz w:val="16"/>
          <w:szCs w:val="16"/>
        </w:rPr>
      </w:pPr>
    </w:p>
    <w:p w14:paraId="3CB21ACC" w14:textId="77777777" w:rsidR="00712620" w:rsidRDefault="00712620" w:rsidP="00FB4E81">
      <w:pPr>
        <w:pStyle w:val="NoSpacing"/>
        <w:spacing w:line="276" w:lineRule="auto"/>
        <w:rPr>
          <w:sz w:val="16"/>
          <w:szCs w:val="16"/>
        </w:rPr>
      </w:pPr>
    </w:p>
    <w:p w14:paraId="771262BF" w14:textId="77777777" w:rsidR="00712620" w:rsidRDefault="00712620" w:rsidP="00FB4E81">
      <w:pPr>
        <w:pStyle w:val="NoSpacing"/>
        <w:spacing w:line="276" w:lineRule="auto"/>
        <w:rPr>
          <w:sz w:val="16"/>
          <w:szCs w:val="16"/>
        </w:rPr>
      </w:pPr>
    </w:p>
    <w:p w14:paraId="5593BCF1" w14:textId="5468527D" w:rsidR="00EB7011" w:rsidRDefault="00EB7011">
      <w:pPr>
        <w:rPr>
          <w:sz w:val="16"/>
          <w:szCs w:val="16"/>
        </w:rPr>
      </w:pPr>
      <w:r>
        <w:rPr>
          <w:sz w:val="16"/>
          <w:szCs w:val="16"/>
        </w:rPr>
        <w:br w:type="page"/>
      </w:r>
    </w:p>
    <w:p w14:paraId="21674629" w14:textId="77777777" w:rsidR="00EB7011" w:rsidRPr="000D5ED2" w:rsidRDefault="00EB7011" w:rsidP="00EB7011">
      <w:pPr>
        <w:spacing w:line="276" w:lineRule="auto"/>
        <w:rPr>
          <w:rFonts w:ascii="Gill Sans MT" w:hAnsi="Gill Sans MT"/>
          <w:b/>
          <w:bCs/>
        </w:rPr>
      </w:pPr>
    </w:p>
    <w:p w14:paraId="303174D1" w14:textId="782EFD98" w:rsidR="00EB7011" w:rsidRPr="00351710" w:rsidRDefault="00EB7011" w:rsidP="00351710">
      <w:pPr>
        <w:spacing w:line="276" w:lineRule="auto"/>
        <w:rPr>
          <w:rFonts w:ascii="Gill Sans MT" w:hAnsi="Gill Sans MT"/>
          <w:b/>
          <w:bCs/>
          <w:sz w:val="28"/>
          <w:szCs w:val="28"/>
        </w:rPr>
      </w:pPr>
      <w:r w:rsidRPr="00351710">
        <w:rPr>
          <w:rFonts w:ascii="Gill Sans MT" w:hAnsi="Gill Sans MT"/>
          <w:b/>
          <w:bCs/>
          <w:sz w:val="28"/>
          <w:szCs w:val="28"/>
        </w:rPr>
        <w:t>Appendices</w:t>
      </w:r>
    </w:p>
    <w:p w14:paraId="6E317573" w14:textId="4B01E701" w:rsidR="00EB7011" w:rsidRPr="00351710" w:rsidRDefault="00EB7011" w:rsidP="00351710">
      <w:pPr>
        <w:pStyle w:val="ListParagraph"/>
        <w:numPr>
          <w:ilvl w:val="0"/>
          <w:numId w:val="82"/>
        </w:numPr>
        <w:spacing w:line="276" w:lineRule="auto"/>
        <w:ind w:left="426"/>
        <w:rPr>
          <w:rFonts w:ascii="Gill Sans MT" w:hAnsi="Gill Sans MT"/>
          <w:b/>
          <w:bCs/>
        </w:rPr>
      </w:pPr>
      <w:r w:rsidRPr="00351710">
        <w:rPr>
          <w:rFonts w:ascii="Gill Sans MT" w:hAnsi="Gill Sans MT"/>
          <w:b/>
          <w:bCs/>
        </w:rPr>
        <w:t xml:space="preserve">BBRTQ </w:t>
      </w:r>
      <w:r w:rsidRPr="00351710">
        <w:rPr>
          <w:rFonts w:ascii="Gill Sans MT" w:hAnsi="Gill Sans MT"/>
          <w:b/>
          <w:bCs/>
        </w:rPr>
        <w:t>5-point Likert scale:</w:t>
      </w:r>
    </w:p>
    <w:p w14:paraId="6C3D5827" w14:textId="77777777" w:rsidR="00351710" w:rsidRDefault="00351710" w:rsidP="00351710">
      <w:pPr>
        <w:pStyle w:val="ListParagraph"/>
        <w:spacing w:line="276" w:lineRule="auto"/>
        <w:rPr>
          <w:rFonts w:ascii="Gill Sans MT" w:hAnsi="Gill Sans MT"/>
          <w:b/>
          <w:bCs/>
        </w:rPr>
      </w:pPr>
    </w:p>
    <w:p w14:paraId="571C2619" w14:textId="77777777" w:rsidR="00351710" w:rsidRDefault="00351710" w:rsidP="00351710">
      <w:pPr>
        <w:spacing w:line="276" w:lineRule="auto"/>
        <w:rPr>
          <w:rFonts w:ascii="Gill Sans MT" w:hAnsi="Gill Sans MT"/>
        </w:rPr>
      </w:pPr>
      <w:r w:rsidRPr="000D5ED2">
        <w:rPr>
          <w:rFonts w:ascii="Gill Sans MT" w:hAnsi="Gill Sans MT"/>
        </w:rPr>
        <w:t>The Black British Racial Trauma Questionnaire (BBRTQ) consists of 60 items rated on a 5-point Likert scale:</w:t>
      </w:r>
    </w:p>
    <w:p w14:paraId="6C575A56" w14:textId="77777777" w:rsidR="00EB7011" w:rsidRPr="000D5ED2" w:rsidRDefault="00EB7011" w:rsidP="00EB7011">
      <w:pPr>
        <w:pStyle w:val="NoSpacing"/>
      </w:pPr>
    </w:p>
    <w:tbl>
      <w:tblPr>
        <w:tblStyle w:val="TableGrid"/>
        <w:tblW w:w="0" w:type="auto"/>
        <w:tblLook w:val="04A0" w:firstRow="1" w:lastRow="0" w:firstColumn="1" w:lastColumn="0" w:noHBand="0" w:noVBand="1"/>
      </w:tblPr>
      <w:tblGrid>
        <w:gridCol w:w="864"/>
        <w:gridCol w:w="1935"/>
      </w:tblGrid>
      <w:tr w:rsidR="00EB7011" w:rsidRPr="000D5ED2" w14:paraId="06F76279" w14:textId="77777777" w:rsidTr="00341A44">
        <w:tc>
          <w:tcPr>
            <w:tcW w:w="0" w:type="auto"/>
            <w:hideMark/>
          </w:tcPr>
          <w:p w14:paraId="4E6B79B2" w14:textId="77777777" w:rsidR="00EB7011" w:rsidRPr="000D5ED2" w:rsidRDefault="00EB7011" w:rsidP="00341A44">
            <w:pPr>
              <w:spacing w:after="160" w:line="276" w:lineRule="auto"/>
              <w:rPr>
                <w:rFonts w:ascii="Gill Sans MT" w:hAnsi="Gill Sans MT"/>
                <w:b/>
                <w:bCs/>
              </w:rPr>
            </w:pPr>
            <w:r w:rsidRPr="000D5ED2">
              <w:rPr>
                <w:rFonts w:ascii="Gill Sans MT" w:hAnsi="Gill Sans MT"/>
                <w:b/>
                <w:bCs/>
              </w:rPr>
              <w:t>Score</w:t>
            </w:r>
          </w:p>
        </w:tc>
        <w:tc>
          <w:tcPr>
            <w:tcW w:w="0" w:type="auto"/>
            <w:hideMark/>
          </w:tcPr>
          <w:p w14:paraId="0C287404" w14:textId="77777777" w:rsidR="00EB7011" w:rsidRPr="000D5ED2" w:rsidRDefault="00EB7011" w:rsidP="00341A44">
            <w:pPr>
              <w:spacing w:after="160" w:line="276" w:lineRule="auto"/>
              <w:rPr>
                <w:rFonts w:ascii="Gill Sans MT" w:hAnsi="Gill Sans MT"/>
                <w:b/>
                <w:bCs/>
              </w:rPr>
            </w:pPr>
            <w:r w:rsidRPr="000D5ED2">
              <w:rPr>
                <w:rFonts w:ascii="Gill Sans MT" w:hAnsi="Gill Sans MT"/>
                <w:b/>
                <w:bCs/>
              </w:rPr>
              <w:t>Response</w:t>
            </w:r>
          </w:p>
        </w:tc>
      </w:tr>
      <w:tr w:rsidR="00EB7011" w:rsidRPr="000D5ED2" w14:paraId="08DDE91E" w14:textId="77777777" w:rsidTr="00341A44">
        <w:tc>
          <w:tcPr>
            <w:tcW w:w="0" w:type="auto"/>
            <w:hideMark/>
          </w:tcPr>
          <w:p w14:paraId="5B896517" w14:textId="77777777" w:rsidR="00EB7011" w:rsidRPr="000D5ED2" w:rsidRDefault="00EB7011" w:rsidP="00341A44">
            <w:pPr>
              <w:spacing w:after="160" w:line="276" w:lineRule="auto"/>
              <w:rPr>
                <w:rFonts w:ascii="Gill Sans MT" w:hAnsi="Gill Sans MT"/>
              </w:rPr>
            </w:pPr>
            <w:r w:rsidRPr="000D5ED2">
              <w:rPr>
                <w:rFonts w:ascii="Gill Sans MT" w:hAnsi="Gill Sans MT"/>
              </w:rPr>
              <w:t>1</w:t>
            </w:r>
          </w:p>
        </w:tc>
        <w:tc>
          <w:tcPr>
            <w:tcW w:w="0" w:type="auto"/>
            <w:hideMark/>
          </w:tcPr>
          <w:p w14:paraId="40F818D8" w14:textId="77777777" w:rsidR="00EB7011" w:rsidRPr="000D5ED2" w:rsidRDefault="00EB7011" w:rsidP="00341A44">
            <w:pPr>
              <w:spacing w:after="160" w:line="276" w:lineRule="auto"/>
              <w:rPr>
                <w:rFonts w:ascii="Gill Sans MT" w:hAnsi="Gill Sans MT"/>
              </w:rPr>
            </w:pPr>
            <w:r w:rsidRPr="000D5ED2">
              <w:rPr>
                <w:rFonts w:ascii="Gill Sans MT" w:hAnsi="Gill Sans MT"/>
              </w:rPr>
              <w:t>Strongly Disagree</w:t>
            </w:r>
          </w:p>
        </w:tc>
      </w:tr>
      <w:tr w:rsidR="00EB7011" w:rsidRPr="000D5ED2" w14:paraId="6EBF91AD" w14:textId="77777777" w:rsidTr="00341A44">
        <w:tc>
          <w:tcPr>
            <w:tcW w:w="0" w:type="auto"/>
            <w:hideMark/>
          </w:tcPr>
          <w:p w14:paraId="4444E4C9" w14:textId="77777777" w:rsidR="00EB7011" w:rsidRPr="000D5ED2" w:rsidRDefault="00EB7011" w:rsidP="00341A44">
            <w:pPr>
              <w:spacing w:after="160" w:line="276" w:lineRule="auto"/>
              <w:rPr>
                <w:rFonts w:ascii="Gill Sans MT" w:hAnsi="Gill Sans MT"/>
              </w:rPr>
            </w:pPr>
            <w:r w:rsidRPr="000D5ED2">
              <w:rPr>
                <w:rFonts w:ascii="Gill Sans MT" w:hAnsi="Gill Sans MT"/>
              </w:rPr>
              <w:t>2</w:t>
            </w:r>
          </w:p>
        </w:tc>
        <w:tc>
          <w:tcPr>
            <w:tcW w:w="0" w:type="auto"/>
            <w:hideMark/>
          </w:tcPr>
          <w:p w14:paraId="2209D866" w14:textId="77777777" w:rsidR="00EB7011" w:rsidRPr="000D5ED2" w:rsidRDefault="00EB7011" w:rsidP="00341A44">
            <w:pPr>
              <w:spacing w:after="160" w:line="276" w:lineRule="auto"/>
              <w:rPr>
                <w:rFonts w:ascii="Gill Sans MT" w:hAnsi="Gill Sans MT"/>
              </w:rPr>
            </w:pPr>
            <w:r w:rsidRPr="000D5ED2">
              <w:rPr>
                <w:rFonts w:ascii="Gill Sans MT" w:hAnsi="Gill Sans MT"/>
              </w:rPr>
              <w:t>Disagree</w:t>
            </w:r>
          </w:p>
        </w:tc>
      </w:tr>
      <w:tr w:rsidR="00EB7011" w:rsidRPr="000D5ED2" w14:paraId="02058102" w14:textId="77777777" w:rsidTr="00341A44">
        <w:tc>
          <w:tcPr>
            <w:tcW w:w="0" w:type="auto"/>
            <w:hideMark/>
          </w:tcPr>
          <w:p w14:paraId="464484C5" w14:textId="77777777" w:rsidR="00EB7011" w:rsidRPr="000D5ED2" w:rsidRDefault="00EB7011" w:rsidP="00341A44">
            <w:pPr>
              <w:spacing w:after="160" w:line="276" w:lineRule="auto"/>
              <w:rPr>
                <w:rFonts w:ascii="Gill Sans MT" w:hAnsi="Gill Sans MT"/>
              </w:rPr>
            </w:pPr>
            <w:r w:rsidRPr="000D5ED2">
              <w:rPr>
                <w:rFonts w:ascii="Gill Sans MT" w:hAnsi="Gill Sans MT"/>
              </w:rPr>
              <w:t>3</w:t>
            </w:r>
          </w:p>
        </w:tc>
        <w:tc>
          <w:tcPr>
            <w:tcW w:w="0" w:type="auto"/>
            <w:hideMark/>
          </w:tcPr>
          <w:p w14:paraId="4DA65B33" w14:textId="77777777" w:rsidR="00EB7011" w:rsidRPr="000D5ED2" w:rsidRDefault="00EB7011" w:rsidP="00341A44">
            <w:pPr>
              <w:spacing w:after="160" w:line="276" w:lineRule="auto"/>
              <w:rPr>
                <w:rFonts w:ascii="Gill Sans MT" w:hAnsi="Gill Sans MT"/>
              </w:rPr>
            </w:pPr>
            <w:r w:rsidRPr="000D5ED2">
              <w:rPr>
                <w:rFonts w:ascii="Gill Sans MT" w:hAnsi="Gill Sans MT"/>
              </w:rPr>
              <w:t>Neutral</w:t>
            </w:r>
          </w:p>
        </w:tc>
      </w:tr>
      <w:tr w:rsidR="00EB7011" w:rsidRPr="000D5ED2" w14:paraId="0304D3FD" w14:textId="77777777" w:rsidTr="00341A44">
        <w:tc>
          <w:tcPr>
            <w:tcW w:w="0" w:type="auto"/>
            <w:hideMark/>
          </w:tcPr>
          <w:p w14:paraId="2832D629" w14:textId="77777777" w:rsidR="00EB7011" w:rsidRPr="000D5ED2" w:rsidRDefault="00EB7011" w:rsidP="00341A44">
            <w:pPr>
              <w:spacing w:after="160" w:line="276" w:lineRule="auto"/>
              <w:rPr>
                <w:rFonts w:ascii="Gill Sans MT" w:hAnsi="Gill Sans MT"/>
              </w:rPr>
            </w:pPr>
            <w:r w:rsidRPr="000D5ED2">
              <w:rPr>
                <w:rFonts w:ascii="Gill Sans MT" w:hAnsi="Gill Sans MT"/>
              </w:rPr>
              <w:t>4</w:t>
            </w:r>
          </w:p>
        </w:tc>
        <w:tc>
          <w:tcPr>
            <w:tcW w:w="0" w:type="auto"/>
            <w:hideMark/>
          </w:tcPr>
          <w:p w14:paraId="414EB1B9" w14:textId="77777777" w:rsidR="00EB7011" w:rsidRPr="000D5ED2" w:rsidRDefault="00EB7011" w:rsidP="00341A44">
            <w:pPr>
              <w:spacing w:after="160" w:line="276" w:lineRule="auto"/>
              <w:rPr>
                <w:rFonts w:ascii="Gill Sans MT" w:hAnsi="Gill Sans MT"/>
              </w:rPr>
            </w:pPr>
            <w:r w:rsidRPr="000D5ED2">
              <w:rPr>
                <w:rFonts w:ascii="Gill Sans MT" w:hAnsi="Gill Sans MT"/>
              </w:rPr>
              <w:t>Agree</w:t>
            </w:r>
          </w:p>
        </w:tc>
      </w:tr>
      <w:tr w:rsidR="00EB7011" w:rsidRPr="000D5ED2" w14:paraId="5B34A244" w14:textId="77777777" w:rsidTr="00341A44">
        <w:tc>
          <w:tcPr>
            <w:tcW w:w="0" w:type="auto"/>
            <w:hideMark/>
          </w:tcPr>
          <w:p w14:paraId="6B4532DA" w14:textId="77777777" w:rsidR="00EB7011" w:rsidRPr="000D5ED2" w:rsidRDefault="00EB7011" w:rsidP="00341A44">
            <w:pPr>
              <w:spacing w:after="160" w:line="276" w:lineRule="auto"/>
              <w:rPr>
                <w:rFonts w:ascii="Gill Sans MT" w:hAnsi="Gill Sans MT"/>
              </w:rPr>
            </w:pPr>
            <w:r w:rsidRPr="000D5ED2">
              <w:rPr>
                <w:rFonts w:ascii="Gill Sans MT" w:hAnsi="Gill Sans MT"/>
              </w:rPr>
              <w:t>5</w:t>
            </w:r>
          </w:p>
        </w:tc>
        <w:tc>
          <w:tcPr>
            <w:tcW w:w="0" w:type="auto"/>
            <w:hideMark/>
          </w:tcPr>
          <w:p w14:paraId="58BCB9E6" w14:textId="77777777" w:rsidR="00EB7011" w:rsidRPr="000D5ED2" w:rsidRDefault="00EB7011" w:rsidP="00341A44">
            <w:pPr>
              <w:spacing w:after="160" w:line="276" w:lineRule="auto"/>
              <w:rPr>
                <w:rFonts w:ascii="Gill Sans MT" w:hAnsi="Gill Sans MT"/>
              </w:rPr>
            </w:pPr>
            <w:r w:rsidRPr="000D5ED2">
              <w:rPr>
                <w:rFonts w:ascii="Gill Sans MT" w:hAnsi="Gill Sans MT"/>
              </w:rPr>
              <w:t>Strongly Agree</w:t>
            </w:r>
          </w:p>
        </w:tc>
      </w:tr>
    </w:tbl>
    <w:p w14:paraId="0D41F242" w14:textId="77777777" w:rsidR="00EB7011" w:rsidRDefault="00EB7011" w:rsidP="00EB7011">
      <w:pPr>
        <w:spacing w:line="276" w:lineRule="auto"/>
        <w:rPr>
          <w:rFonts w:ascii="Gill Sans MT" w:hAnsi="Gill Sans MT"/>
        </w:rPr>
      </w:pPr>
    </w:p>
    <w:p w14:paraId="35F78281" w14:textId="77777777" w:rsidR="00EB7011" w:rsidRDefault="00EB7011" w:rsidP="00EB7011">
      <w:pPr>
        <w:spacing w:line="276" w:lineRule="auto"/>
        <w:rPr>
          <w:rFonts w:ascii="Gill Sans MT" w:hAnsi="Gill Sans MT"/>
        </w:rPr>
      </w:pPr>
      <w:r w:rsidRPr="000D5ED2">
        <w:rPr>
          <w:rFonts w:ascii="Gill Sans MT" w:hAnsi="Gill Sans MT"/>
        </w:rPr>
        <w:t>Higher scores reflect greater endorsement of racial trauma-related experiences and impacts. Items are grouped into five trauma domains and one strengths-based domain. The strengths-based domain—Resilience, Resistance, and Healing Practices—is scored separately and excluded from trauma burden calculations.</w:t>
      </w:r>
    </w:p>
    <w:p w14:paraId="73564F00" w14:textId="2A874DAE" w:rsidR="00EB7011" w:rsidRPr="000D5ED2" w:rsidRDefault="00351710" w:rsidP="00EB7011">
      <w:pPr>
        <w:spacing w:line="276" w:lineRule="auto"/>
        <w:rPr>
          <w:rFonts w:ascii="Gill Sans MT" w:hAnsi="Gill Sans MT"/>
          <w:b/>
          <w:bCs/>
        </w:rPr>
      </w:pPr>
      <w:r>
        <w:rPr>
          <w:rFonts w:ascii="Gill Sans MT" w:hAnsi="Gill Sans MT"/>
          <w:b/>
          <w:bCs/>
        </w:rPr>
        <w:t>B</w:t>
      </w:r>
      <w:r w:rsidR="00EB7011" w:rsidRPr="000D5ED2">
        <w:rPr>
          <w:rFonts w:ascii="Gill Sans MT" w:hAnsi="Gill Sans MT"/>
          <w:b/>
          <w:bCs/>
        </w:rPr>
        <w:t xml:space="preserve"> Trauma Domain Scoring Framework</w:t>
      </w:r>
    </w:p>
    <w:p w14:paraId="7BBE7086" w14:textId="77777777" w:rsidR="00351710" w:rsidRDefault="00EB7011" w:rsidP="00351710">
      <w:pPr>
        <w:spacing w:line="240" w:lineRule="auto"/>
        <w:rPr>
          <w:rFonts w:ascii="Gill Sans MT" w:hAnsi="Gill Sans MT"/>
        </w:rPr>
      </w:pPr>
      <w:r w:rsidRPr="000D5ED2">
        <w:rPr>
          <w:rFonts w:ascii="Gill Sans MT" w:hAnsi="Gill Sans MT"/>
        </w:rPr>
        <w:t xml:space="preserve">The following five domains contribute to both the Total BBRTQ Score and the </w:t>
      </w:r>
    </w:p>
    <w:p w14:paraId="51219F6C" w14:textId="7198533E" w:rsidR="00EB7011" w:rsidRPr="000D5ED2" w:rsidRDefault="00EB7011" w:rsidP="00351710">
      <w:pPr>
        <w:spacing w:line="240" w:lineRule="auto"/>
        <w:rPr>
          <w:rFonts w:ascii="Gill Sans MT" w:hAnsi="Gill Sans MT"/>
        </w:rPr>
      </w:pPr>
      <w:r w:rsidRPr="000D5ED2">
        <w:rPr>
          <w:rFonts w:ascii="Gill Sans MT" w:hAnsi="Gill Sans MT"/>
        </w:rPr>
        <w:t>Total Trauma Index (TTI):</w:t>
      </w:r>
    </w:p>
    <w:tbl>
      <w:tblPr>
        <w:tblStyle w:val="TableGrid"/>
        <w:tblW w:w="0" w:type="auto"/>
        <w:tblLook w:val="04A0" w:firstRow="1" w:lastRow="0" w:firstColumn="1" w:lastColumn="0" w:noHBand="0" w:noVBand="1"/>
      </w:tblPr>
      <w:tblGrid>
        <w:gridCol w:w="4928"/>
        <w:gridCol w:w="1515"/>
        <w:gridCol w:w="1623"/>
      </w:tblGrid>
      <w:tr w:rsidR="00EB7011" w:rsidRPr="000D5ED2" w14:paraId="79DFBEF0" w14:textId="77777777" w:rsidTr="00341A44">
        <w:tc>
          <w:tcPr>
            <w:tcW w:w="0" w:type="auto"/>
            <w:hideMark/>
          </w:tcPr>
          <w:p w14:paraId="11EDC5C8" w14:textId="77777777" w:rsidR="00EB7011" w:rsidRPr="000D5ED2" w:rsidRDefault="00EB7011" w:rsidP="00341A44">
            <w:pPr>
              <w:spacing w:after="160" w:line="276" w:lineRule="auto"/>
              <w:rPr>
                <w:rFonts w:ascii="Gill Sans MT" w:hAnsi="Gill Sans MT"/>
                <w:b/>
                <w:bCs/>
              </w:rPr>
            </w:pPr>
            <w:r w:rsidRPr="000D5ED2">
              <w:rPr>
                <w:rFonts w:ascii="Gill Sans MT" w:hAnsi="Gill Sans MT"/>
                <w:b/>
                <w:bCs/>
              </w:rPr>
              <w:t>Domain</w:t>
            </w:r>
          </w:p>
        </w:tc>
        <w:tc>
          <w:tcPr>
            <w:tcW w:w="0" w:type="auto"/>
            <w:hideMark/>
          </w:tcPr>
          <w:p w14:paraId="69C9516F" w14:textId="77777777" w:rsidR="00EB7011" w:rsidRPr="000D5ED2" w:rsidRDefault="00EB7011" w:rsidP="00341A44">
            <w:pPr>
              <w:spacing w:after="160" w:line="276" w:lineRule="auto"/>
              <w:jc w:val="center"/>
              <w:rPr>
                <w:rFonts w:ascii="Gill Sans MT" w:hAnsi="Gill Sans MT"/>
                <w:b/>
                <w:bCs/>
              </w:rPr>
            </w:pPr>
            <w:r w:rsidRPr="000D5ED2">
              <w:rPr>
                <w:rFonts w:ascii="Gill Sans MT" w:hAnsi="Gill Sans MT"/>
                <w:b/>
                <w:bCs/>
              </w:rPr>
              <w:t>Item Range</w:t>
            </w:r>
          </w:p>
        </w:tc>
        <w:tc>
          <w:tcPr>
            <w:tcW w:w="0" w:type="auto"/>
            <w:hideMark/>
          </w:tcPr>
          <w:p w14:paraId="6B460FF9" w14:textId="77777777" w:rsidR="00EB7011" w:rsidRPr="000D5ED2" w:rsidRDefault="00EB7011" w:rsidP="00341A44">
            <w:pPr>
              <w:spacing w:after="160" w:line="276" w:lineRule="auto"/>
              <w:jc w:val="center"/>
              <w:rPr>
                <w:rFonts w:ascii="Gill Sans MT" w:hAnsi="Gill Sans MT"/>
                <w:b/>
                <w:bCs/>
              </w:rPr>
            </w:pPr>
            <w:r w:rsidRPr="000D5ED2">
              <w:rPr>
                <w:rFonts w:ascii="Gill Sans MT" w:hAnsi="Gill Sans MT"/>
                <w:b/>
                <w:bCs/>
              </w:rPr>
              <w:t>Score Range</w:t>
            </w:r>
          </w:p>
        </w:tc>
      </w:tr>
      <w:tr w:rsidR="00EB7011" w:rsidRPr="000D5ED2" w14:paraId="160D7451" w14:textId="77777777" w:rsidTr="00341A44">
        <w:tc>
          <w:tcPr>
            <w:tcW w:w="0" w:type="auto"/>
            <w:hideMark/>
          </w:tcPr>
          <w:p w14:paraId="17ACE437" w14:textId="77777777" w:rsidR="00EB7011" w:rsidRPr="000D5ED2" w:rsidRDefault="00EB7011" w:rsidP="00341A44">
            <w:pPr>
              <w:spacing w:after="160" w:line="276" w:lineRule="auto"/>
              <w:rPr>
                <w:rFonts w:ascii="Gill Sans MT" w:hAnsi="Gill Sans MT"/>
              </w:rPr>
            </w:pPr>
            <w:r w:rsidRPr="000D5ED2">
              <w:rPr>
                <w:rFonts w:ascii="Gill Sans MT" w:hAnsi="Gill Sans MT"/>
              </w:rPr>
              <w:t>Emotional Impact of Racialised Experiences</w:t>
            </w:r>
          </w:p>
        </w:tc>
        <w:tc>
          <w:tcPr>
            <w:tcW w:w="0" w:type="auto"/>
            <w:hideMark/>
          </w:tcPr>
          <w:p w14:paraId="5EBBE287" w14:textId="77777777" w:rsidR="00EB7011" w:rsidRPr="000D5ED2" w:rsidRDefault="00EB7011" w:rsidP="00341A44">
            <w:pPr>
              <w:spacing w:after="160" w:line="276" w:lineRule="auto"/>
              <w:jc w:val="center"/>
              <w:rPr>
                <w:rFonts w:ascii="Gill Sans MT" w:hAnsi="Gill Sans MT"/>
              </w:rPr>
            </w:pPr>
            <w:r w:rsidRPr="000D5ED2">
              <w:rPr>
                <w:rFonts w:ascii="Gill Sans MT" w:hAnsi="Gill Sans MT"/>
              </w:rPr>
              <w:t>1–10</w:t>
            </w:r>
          </w:p>
        </w:tc>
        <w:tc>
          <w:tcPr>
            <w:tcW w:w="0" w:type="auto"/>
            <w:hideMark/>
          </w:tcPr>
          <w:p w14:paraId="68EE38FF" w14:textId="77777777" w:rsidR="00EB7011" w:rsidRPr="000D5ED2" w:rsidRDefault="00EB7011" w:rsidP="00341A44">
            <w:pPr>
              <w:spacing w:after="160" w:line="276" w:lineRule="auto"/>
              <w:jc w:val="center"/>
              <w:rPr>
                <w:rFonts w:ascii="Gill Sans MT" w:hAnsi="Gill Sans MT"/>
              </w:rPr>
            </w:pPr>
            <w:r w:rsidRPr="000D5ED2">
              <w:rPr>
                <w:rFonts w:ascii="Gill Sans MT" w:hAnsi="Gill Sans MT"/>
              </w:rPr>
              <w:t>10–50</w:t>
            </w:r>
          </w:p>
        </w:tc>
      </w:tr>
      <w:tr w:rsidR="00EB7011" w:rsidRPr="000D5ED2" w14:paraId="59D49CC0" w14:textId="77777777" w:rsidTr="00341A44">
        <w:tc>
          <w:tcPr>
            <w:tcW w:w="0" w:type="auto"/>
            <w:hideMark/>
          </w:tcPr>
          <w:p w14:paraId="1D340D90" w14:textId="77777777" w:rsidR="00EB7011" w:rsidRPr="000D5ED2" w:rsidRDefault="00EB7011" w:rsidP="00341A44">
            <w:pPr>
              <w:spacing w:after="160" w:line="276" w:lineRule="auto"/>
              <w:rPr>
                <w:rFonts w:ascii="Gill Sans MT" w:hAnsi="Gill Sans MT"/>
              </w:rPr>
            </w:pPr>
            <w:r w:rsidRPr="000D5ED2">
              <w:rPr>
                <w:rFonts w:ascii="Gill Sans MT" w:hAnsi="Gill Sans MT"/>
              </w:rPr>
              <w:t>Identity Conflict and Cultural Disconnection</w:t>
            </w:r>
          </w:p>
        </w:tc>
        <w:tc>
          <w:tcPr>
            <w:tcW w:w="0" w:type="auto"/>
            <w:hideMark/>
          </w:tcPr>
          <w:p w14:paraId="70F90163" w14:textId="77777777" w:rsidR="00EB7011" w:rsidRPr="000D5ED2" w:rsidRDefault="00EB7011" w:rsidP="00341A44">
            <w:pPr>
              <w:spacing w:after="160" w:line="276" w:lineRule="auto"/>
              <w:jc w:val="center"/>
              <w:rPr>
                <w:rFonts w:ascii="Gill Sans MT" w:hAnsi="Gill Sans MT"/>
              </w:rPr>
            </w:pPr>
            <w:r w:rsidRPr="000D5ED2">
              <w:rPr>
                <w:rFonts w:ascii="Gill Sans MT" w:hAnsi="Gill Sans MT"/>
              </w:rPr>
              <w:t>11–20</w:t>
            </w:r>
          </w:p>
        </w:tc>
        <w:tc>
          <w:tcPr>
            <w:tcW w:w="0" w:type="auto"/>
            <w:hideMark/>
          </w:tcPr>
          <w:p w14:paraId="1BB71606" w14:textId="77777777" w:rsidR="00EB7011" w:rsidRPr="000D5ED2" w:rsidRDefault="00EB7011" w:rsidP="00341A44">
            <w:pPr>
              <w:spacing w:after="160" w:line="276" w:lineRule="auto"/>
              <w:jc w:val="center"/>
              <w:rPr>
                <w:rFonts w:ascii="Gill Sans MT" w:hAnsi="Gill Sans MT"/>
              </w:rPr>
            </w:pPr>
            <w:r w:rsidRPr="000D5ED2">
              <w:rPr>
                <w:rFonts w:ascii="Gill Sans MT" w:hAnsi="Gill Sans MT"/>
              </w:rPr>
              <w:t>10–50</w:t>
            </w:r>
          </w:p>
        </w:tc>
      </w:tr>
      <w:tr w:rsidR="00EB7011" w:rsidRPr="000D5ED2" w14:paraId="4BA1EBF2" w14:textId="77777777" w:rsidTr="00341A44">
        <w:tc>
          <w:tcPr>
            <w:tcW w:w="0" w:type="auto"/>
            <w:hideMark/>
          </w:tcPr>
          <w:p w14:paraId="4C8E50E9" w14:textId="77777777" w:rsidR="00EB7011" w:rsidRPr="000D5ED2" w:rsidRDefault="00EB7011" w:rsidP="00341A44">
            <w:pPr>
              <w:spacing w:after="160" w:line="276" w:lineRule="auto"/>
              <w:rPr>
                <w:rFonts w:ascii="Gill Sans MT" w:hAnsi="Gill Sans MT"/>
              </w:rPr>
            </w:pPr>
            <w:r w:rsidRPr="000D5ED2">
              <w:rPr>
                <w:rFonts w:ascii="Gill Sans MT" w:hAnsi="Gill Sans MT"/>
              </w:rPr>
              <w:t>Intergenerational Transmission of Racial Trauma</w:t>
            </w:r>
          </w:p>
        </w:tc>
        <w:tc>
          <w:tcPr>
            <w:tcW w:w="0" w:type="auto"/>
            <w:hideMark/>
          </w:tcPr>
          <w:p w14:paraId="0AC2C859" w14:textId="77777777" w:rsidR="00EB7011" w:rsidRPr="000D5ED2" w:rsidRDefault="00EB7011" w:rsidP="00341A44">
            <w:pPr>
              <w:spacing w:after="160" w:line="276" w:lineRule="auto"/>
              <w:jc w:val="center"/>
              <w:rPr>
                <w:rFonts w:ascii="Gill Sans MT" w:hAnsi="Gill Sans MT"/>
              </w:rPr>
            </w:pPr>
            <w:r w:rsidRPr="000D5ED2">
              <w:rPr>
                <w:rFonts w:ascii="Gill Sans MT" w:hAnsi="Gill Sans MT"/>
              </w:rPr>
              <w:t>21–30</w:t>
            </w:r>
          </w:p>
        </w:tc>
        <w:tc>
          <w:tcPr>
            <w:tcW w:w="0" w:type="auto"/>
            <w:hideMark/>
          </w:tcPr>
          <w:p w14:paraId="6D8CBFAB" w14:textId="77777777" w:rsidR="00EB7011" w:rsidRPr="000D5ED2" w:rsidRDefault="00EB7011" w:rsidP="00341A44">
            <w:pPr>
              <w:spacing w:after="160" w:line="276" w:lineRule="auto"/>
              <w:jc w:val="center"/>
              <w:rPr>
                <w:rFonts w:ascii="Gill Sans MT" w:hAnsi="Gill Sans MT"/>
              </w:rPr>
            </w:pPr>
            <w:r w:rsidRPr="000D5ED2">
              <w:rPr>
                <w:rFonts w:ascii="Gill Sans MT" w:hAnsi="Gill Sans MT"/>
              </w:rPr>
              <w:t>10–50</w:t>
            </w:r>
          </w:p>
        </w:tc>
      </w:tr>
      <w:tr w:rsidR="00EB7011" w:rsidRPr="000D5ED2" w14:paraId="5A153F89" w14:textId="77777777" w:rsidTr="00341A44">
        <w:tc>
          <w:tcPr>
            <w:tcW w:w="0" w:type="auto"/>
            <w:hideMark/>
          </w:tcPr>
          <w:p w14:paraId="1DE58140" w14:textId="77777777" w:rsidR="00EB7011" w:rsidRPr="000D5ED2" w:rsidRDefault="00EB7011" w:rsidP="00341A44">
            <w:pPr>
              <w:spacing w:after="160" w:line="276" w:lineRule="auto"/>
              <w:rPr>
                <w:rFonts w:ascii="Gill Sans MT" w:hAnsi="Gill Sans MT"/>
              </w:rPr>
            </w:pPr>
            <w:r w:rsidRPr="000D5ED2">
              <w:rPr>
                <w:rFonts w:ascii="Gill Sans MT" w:hAnsi="Gill Sans MT"/>
              </w:rPr>
              <w:t>Systemic Exclusion and Institutional Mistrust</w:t>
            </w:r>
          </w:p>
        </w:tc>
        <w:tc>
          <w:tcPr>
            <w:tcW w:w="0" w:type="auto"/>
            <w:hideMark/>
          </w:tcPr>
          <w:p w14:paraId="089C4207" w14:textId="77777777" w:rsidR="00EB7011" w:rsidRPr="000D5ED2" w:rsidRDefault="00EB7011" w:rsidP="00341A44">
            <w:pPr>
              <w:spacing w:after="160" w:line="276" w:lineRule="auto"/>
              <w:jc w:val="center"/>
              <w:rPr>
                <w:rFonts w:ascii="Gill Sans MT" w:hAnsi="Gill Sans MT"/>
              </w:rPr>
            </w:pPr>
            <w:r w:rsidRPr="000D5ED2">
              <w:rPr>
                <w:rFonts w:ascii="Gill Sans MT" w:hAnsi="Gill Sans MT"/>
              </w:rPr>
              <w:t>31–40</w:t>
            </w:r>
          </w:p>
        </w:tc>
        <w:tc>
          <w:tcPr>
            <w:tcW w:w="0" w:type="auto"/>
            <w:hideMark/>
          </w:tcPr>
          <w:p w14:paraId="6D9DCED9" w14:textId="77777777" w:rsidR="00EB7011" w:rsidRPr="000D5ED2" w:rsidRDefault="00EB7011" w:rsidP="00341A44">
            <w:pPr>
              <w:spacing w:after="160" w:line="276" w:lineRule="auto"/>
              <w:jc w:val="center"/>
              <w:rPr>
                <w:rFonts w:ascii="Gill Sans MT" w:hAnsi="Gill Sans MT"/>
              </w:rPr>
            </w:pPr>
            <w:r w:rsidRPr="000D5ED2">
              <w:rPr>
                <w:rFonts w:ascii="Gill Sans MT" w:hAnsi="Gill Sans MT"/>
              </w:rPr>
              <w:t>10–50</w:t>
            </w:r>
          </w:p>
        </w:tc>
      </w:tr>
      <w:tr w:rsidR="00EB7011" w:rsidRPr="000D5ED2" w14:paraId="00753F5F" w14:textId="77777777" w:rsidTr="00341A44">
        <w:tc>
          <w:tcPr>
            <w:tcW w:w="0" w:type="auto"/>
            <w:hideMark/>
          </w:tcPr>
          <w:p w14:paraId="7C334967" w14:textId="77777777" w:rsidR="00EB7011" w:rsidRPr="000D5ED2" w:rsidRDefault="00EB7011" w:rsidP="00341A44">
            <w:pPr>
              <w:spacing w:after="160" w:line="276" w:lineRule="auto"/>
              <w:rPr>
                <w:rFonts w:ascii="Gill Sans MT" w:hAnsi="Gill Sans MT"/>
              </w:rPr>
            </w:pPr>
            <w:r w:rsidRPr="000D5ED2">
              <w:rPr>
                <w:rFonts w:ascii="Gill Sans MT" w:hAnsi="Gill Sans MT"/>
              </w:rPr>
              <w:t>Survival Stress and Adaptive Coping Patterns</w:t>
            </w:r>
          </w:p>
        </w:tc>
        <w:tc>
          <w:tcPr>
            <w:tcW w:w="0" w:type="auto"/>
            <w:hideMark/>
          </w:tcPr>
          <w:p w14:paraId="5693DE11" w14:textId="77777777" w:rsidR="00EB7011" w:rsidRPr="000D5ED2" w:rsidRDefault="00EB7011" w:rsidP="00341A44">
            <w:pPr>
              <w:spacing w:after="160" w:line="276" w:lineRule="auto"/>
              <w:jc w:val="center"/>
              <w:rPr>
                <w:rFonts w:ascii="Gill Sans MT" w:hAnsi="Gill Sans MT"/>
              </w:rPr>
            </w:pPr>
            <w:r w:rsidRPr="000D5ED2">
              <w:rPr>
                <w:rFonts w:ascii="Gill Sans MT" w:hAnsi="Gill Sans MT"/>
              </w:rPr>
              <w:t>51–60</w:t>
            </w:r>
          </w:p>
        </w:tc>
        <w:tc>
          <w:tcPr>
            <w:tcW w:w="0" w:type="auto"/>
            <w:hideMark/>
          </w:tcPr>
          <w:p w14:paraId="01BB1084" w14:textId="77777777" w:rsidR="00EB7011" w:rsidRPr="000D5ED2" w:rsidRDefault="00EB7011" w:rsidP="00341A44">
            <w:pPr>
              <w:spacing w:after="160" w:line="276" w:lineRule="auto"/>
              <w:jc w:val="center"/>
              <w:rPr>
                <w:rFonts w:ascii="Gill Sans MT" w:hAnsi="Gill Sans MT"/>
              </w:rPr>
            </w:pPr>
            <w:r w:rsidRPr="000D5ED2">
              <w:rPr>
                <w:rFonts w:ascii="Gill Sans MT" w:hAnsi="Gill Sans MT"/>
              </w:rPr>
              <w:t>10–50</w:t>
            </w:r>
          </w:p>
        </w:tc>
      </w:tr>
    </w:tbl>
    <w:p w14:paraId="2D0CC175" w14:textId="77777777" w:rsidR="00EB7011" w:rsidRDefault="00EB7011" w:rsidP="00EB7011">
      <w:pPr>
        <w:spacing w:line="276" w:lineRule="auto"/>
        <w:rPr>
          <w:rFonts w:ascii="Gill Sans MT" w:hAnsi="Gill Sans MT"/>
        </w:rPr>
      </w:pPr>
      <w:r w:rsidRPr="000D5ED2">
        <w:rPr>
          <w:rFonts w:ascii="Gill Sans MT" w:hAnsi="Gill Sans MT"/>
          <w:sz w:val="20"/>
          <w:szCs w:val="20"/>
        </w:rPr>
        <w:t>Each domain score is calculated by summing responses to its 10 items. No reverse scoring is applied</w:t>
      </w:r>
      <w:r w:rsidRPr="000D5ED2">
        <w:rPr>
          <w:rFonts w:ascii="Gill Sans MT" w:hAnsi="Gill Sans MT"/>
        </w:rPr>
        <w:t>.</w:t>
      </w:r>
    </w:p>
    <w:p w14:paraId="5D667AD7" w14:textId="77777777" w:rsidR="00EB7011" w:rsidRDefault="00EB7011" w:rsidP="00EB7011">
      <w:pPr>
        <w:spacing w:line="276" w:lineRule="auto"/>
        <w:rPr>
          <w:rFonts w:ascii="Gill Sans MT" w:hAnsi="Gill Sans MT"/>
          <w:b/>
          <w:bCs/>
        </w:rPr>
      </w:pPr>
    </w:p>
    <w:p w14:paraId="3F8372E5" w14:textId="77777777" w:rsidR="00EB7011" w:rsidRDefault="00EB7011" w:rsidP="00EB7011">
      <w:pPr>
        <w:spacing w:line="276" w:lineRule="auto"/>
        <w:rPr>
          <w:rFonts w:ascii="Gill Sans MT" w:hAnsi="Gill Sans MT"/>
          <w:b/>
          <w:bCs/>
        </w:rPr>
      </w:pPr>
    </w:p>
    <w:p w14:paraId="30DB82D3" w14:textId="77777777" w:rsidR="00EB7011" w:rsidRDefault="00EB7011" w:rsidP="00EB7011">
      <w:pPr>
        <w:spacing w:line="276" w:lineRule="auto"/>
        <w:rPr>
          <w:rFonts w:ascii="Gill Sans MT" w:hAnsi="Gill Sans MT"/>
          <w:b/>
          <w:bCs/>
        </w:rPr>
      </w:pPr>
    </w:p>
    <w:p w14:paraId="6B0D43A2" w14:textId="12DC2E1E" w:rsidR="00EB7011" w:rsidRPr="000D5ED2" w:rsidRDefault="00351710" w:rsidP="00EB7011">
      <w:pPr>
        <w:spacing w:line="276" w:lineRule="auto"/>
        <w:rPr>
          <w:rFonts w:ascii="Gill Sans MT" w:hAnsi="Gill Sans MT"/>
          <w:b/>
          <w:bCs/>
        </w:rPr>
      </w:pPr>
      <w:r>
        <w:rPr>
          <w:rFonts w:ascii="Gill Sans MT" w:hAnsi="Gill Sans MT"/>
          <w:b/>
          <w:bCs/>
        </w:rPr>
        <w:lastRenderedPageBreak/>
        <w:t>C.</w:t>
      </w:r>
      <w:r w:rsidR="00EB7011" w:rsidRPr="000D5ED2">
        <w:rPr>
          <w:rFonts w:ascii="Gill Sans MT" w:hAnsi="Gill Sans MT"/>
          <w:b/>
          <w:bCs/>
        </w:rPr>
        <w:t xml:space="preserve"> Total BBRTQ Score</w:t>
      </w:r>
    </w:p>
    <w:p w14:paraId="76E88360" w14:textId="77777777" w:rsidR="00EB7011" w:rsidRDefault="00EB7011" w:rsidP="00EB7011">
      <w:pPr>
        <w:spacing w:line="276" w:lineRule="auto"/>
        <w:rPr>
          <w:rFonts w:ascii="Gill Sans MT" w:hAnsi="Gill Sans MT"/>
        </w:rPr>
      </w:pPr>
      <w:r w:rsidRPr="000D5ED2">
        <w:rPr>
          <w:rFonts w:ascii="Gill Sans MT" w:hAnsi="Gill Sans MT"/>
        </w:rPr>
        <w:t>The Total Score reflects overall endorsement across all 60 items, including both trauma and resilience domains.</w:t>
      </w:r>
    </w:p>
    <w:p w14:paraId="5104FEDF" w14:textId="77777777" w:rsidR="00EB7011" w:rsidRDefault="00EB7011" w:rsidP="00EB7011">
      <w:pPr>
        <w:pStyle w:val="NoSpacing"/>
      </w:pPr>
    </w:p>
    <w:tbl>
      <w:tblPr>
        <w:tblStyle w:val="TableGridLight"/>
        <w:tblW w:w="0" w:type="auto"/>
        <w:tblLook w:val="04A0" w:firstRow="1" w:lastRow="0" w:firstColumn="1" w:lastColumn="0" w:noHBand="0" w:noVBand="1"/>
      </w:tblPr>
      <w:tblGrid>
        <w:gridCol w:w="1623"/>
        <w:gridCol w:w="4672"/>
      </w:tblGrid>
      <w:tr w:rsidR="00EB7011" w:rsidRPr="000D5ED2" w14:paraId="1E7C34DC" w14:textId="77777777" w:rsidTr="00341A44">
        <w:tc>
          <w:tcPr>
            <w:tcW w:w="0" w:type="auto"/>
            <w:hideMark/>
          </w:tcPr>
          <w:p w14:paraId="47B29ABC" w14:textId="77777777" w:rsidR="00EB7011" w:rsidRPr="000D5ED2" w:rsidRDefault="00EB7011" w:rsidP="00341A44">
            <w:pPr>
              <w:spacing w:after="160" w:line="276" w:lineRule="auto"/>
              <w:rPr>
                <w:rFonts w:ascii="Gill Sans MT" w:hAnsi="Gill Sans MT"/>
                <w:b/>
                <w:bCs/>
              </w:rPr>
            </w:pPr>
            <w:r w:rsidRPr="000D5ED2">
              <w:rPr>
                <w:rFonts w:ascii="Gill Sans MT" w:hAnsi="Gill Sans MT"/>
                <w:b/>
                <w:bCs/>
              </w:rPr>
              <w:t>Score Range</w:t>
            </w:r>
          </w:p>
        </w:tc>
        <w:tc>
          <w:tcPr>
            <w:tcW w:w="0" w:type="auto"/>
            <w:hideMark/>
          </w:tcPr>
          <w:p w14:paraId="29E70374" w14:textId="77777777" w:rsidR="00EB7011" w:rsidRPr="000D5ED2" w:rsidRDefault="00EB7011" w:rsidP="00341A44">
            <w:pPr>
              <w:spacing w:after="160" w:line="276" w:lineRule="auto"/>
              <w:rPr>
                <w:rFonts w:ascii="Gill Sans MT" w:hAnsi="Gill Sans MT"/>
                <w:b/>
                <w:bCs/>
              </w:rPr>
            </w:pPr>
            <w:r w:rsidRPr="000D5ED2">
              <w:rPr>
                <w:rFonts w:ascii="Gill Sans MT" w:hAnsi="Gill Sans MT"/>
                <w:b/>
                <w:bCs/>
              </w:rPr>
              <w:t>Interpretation</w:t>
            </w:r>
          </w:p>
        </w:tc>
      </w:tr>
      <w:tr w:rsidR="00EB7011" w:rsidRPr="000D5ED2" w14:paraId="0A7A00FE" w14:textId="77777777" w:rsidTr="00341A44">
        <w:tc>
          <w:tcPr>
            <w:tcW w:w="0" w:type="auto"/>
            <w:hideMark/>
          </w:tcPr>
          <w:p w14:paraId="1E04ACD9" w14:textId="77777777" w:rsidR="00EB7011" w:rsidRPr="000D5ED2" w:rsidRDefault="00EB7011" w:rsidP="00341A44">
            <w:pPr>
              <w:spacing w:after="160" w:line="276" w:lineRule="auto"/>
              <w:rPr>
                <w:rFonts w:ascii="Gill Sans MT" w:hAnsi="Gill Sans MT"/>
              </w:rPr>
            </w:pPr>
            <w:r w:rsidRPr="000D5ED2">
              <w:rPr>
                <w:rFonts w:ascii="Gill Sans MT" w:hAnsi="Gill Sans MT"/>
              </w:rPr>
              <w:t>60–119</w:t>
            </w:r>
          </w:p>
        </w:tc>
        <w:tc>
          <w:tcPr>
            <w:tcW w:w="0" w:type="auto"/>
            <w:hideMark/>
          </w:tcPr>
          <w:p w14:paraId="3467BAE7" w14:textId="77777777" w:rsidR="00EB7011" w:rsidRPr="000D5ED2" w:rsidRDefault="00EB7011" w:rsidP="00341A44">
            <w:pPr>
              <w:spacing w:after="160" w:line="276" w:lineRule="auto"/>
              <w:rPr>
                <w:rFonts w:ascii="Gill Sans MT" w:hAnsi="Gill Sans MT"/>
              </w:rPr>
            </w:pPr>
            <w:r w:rsidRPr="000D5ED2">
              <w:rPr>
                <w:rFonts w:ascii="Gill Sans MT" w:hAnsi="Gill Sans MT"/>
              </w:rPr>
              <w:t>Low endorsement of racial trauma</w:t>
            </w:r>
          </w:p>
        </w:tc>
      </w:tr>
      <w:tr w:rsidR="00EB7011" w:rsidRPr="000D5ED2" w14:paraId="033454AB" w14:textId="77777777" w:rsidTr="00341A44">
        <w:tc>
          <w:tcPr>
            <w:tcW w:w="0" w:type="auto"/>
            <w:hideMark/>
          </w:tcPr>
          <w:p w14:paraId="0584D849" w14:textId="77777777" w:rsidR="00EB7011" w:rsidRPr="000D5ED2" w:rsidRDefault="00EB7011" w:rsidP="00341A44">
            <w:pPr>
              <w:spacing w:after="160" w:line="276" w:lineRule="auto"/>
              <w:rPr>
                <w:rFonts w:ascii="Gill Sans MT" w:hAnsi="Gill Sans MT"/>
              </w:rPr>
            </w:pPr>
            <w:r w:rsidRPr="000D5ED2">
              <w:rPr>
                <w:rFonts w:ascii="Gill Sans MT" w:hAnsi="Gill Sans MT"/>
              </w:rPr>
              <w:t>120–179</w:t>
            </w:r>
          </w:p>
        </w:tc>
        <w:tc>
          <w:tcPr>
            <w:tcW w:w="0" w:type="auto"/>
            <w:hideMark/>
          </w:tcPr>
          <w:p w14:paraId="546A0AFC" w14:textId="77777777" w:rsidR="00EB7011" w:rsidRPr="000D5ED2" w:rsidRDefault="00EB7011" w:rsidP="00341A44">
            <w:pPr>
              <w:spacing w:after="160" w:line="276" w:lineRule="auto"/>
              <w:rPr>
                <w:rFonts w:ascii="Gill Sans MT" w:hAnsi="Gill Sans MT"/>
              </w:rPr>
            </w:pPr>
            <w:r w:rsidRPr="000D5ED2">
              <w:rPr>
                <w:rFonts w:ascii="Gill Sans MT" w:hAnsi="Gill Sans MT"/>
              </w:rPr>
              <w:t xml:space="preserve">Moderate </w:t>
            </w:r>
            <w:proofErr w:type="gramStart"/>
            <w:r w:rsidRPr="000D5ED2">
              <w:rPr>
                <w:rFonts w:ascii="Gill Sans MT" w:hAnsi="Gill Sans MT"/>
              </w:rPr>
              <w:t>endorsement;</w:t>
            </w:r>
            <w:proofErr w:type="gramEnd"/>
            <w:r w:rsidRPr="000D5ED2">
              <w:rPr>
                <w:rFonts w:ascii="Gill Sans MT" w:hAnsi="Gill Sans MT"/>
              </w:rPr>
              <w:t xml:space="preserve"> monitor and explore</w:t>
            </w:r>
          </w:p>
        </w:tc>
      </w:tr>
      <w:tr w:rsidR="00EB7011" w:rsidRPr="000D5ED2" w14:paraId="42F9E11D" w14:textId="77777777" w:rsidTr="00341A44">
        <w:tc>
          <w:tcPr>
            <w:tcW w:w="0" w:type="auto"/>
            <w:hideMark/>
          </w:tcPr>
          <w:p w14:paraId="09A0E5E9" w14:textId="77777777" w:rsidR="00EB7011" w:rsidRPr="000D5ED2" w:rsidRDefault="00EB7011" w:rsidP="00341A44">
            <w:pPr>
              <w:spacing w:after="160" w:line="276" w:lineRule="auto"/>
              <w:rPr>
                <w:rFonts w:ascii="Gill Sans MT" w:hAnsi="Gill Sans MT"/>
              </w:rPr>
            </w:pPr>
            <w:r w:rsidRPr="000D5ED2">
              <w:rPr>
                <w:rFonts w:ascii="Gill Sans MT" w:hAnsi="Gill Sans MT"/>
              </w:rPr>
              <w:t>180–239</w:t>
            </w:r>
          </w:p>
        </w:tc>
        <w:tc>
          <w:tcPr>
            <w:tcW w:w="0" w:type="auto"/>
            <w:hideMark/>
          </w:tcPr>
          <w:p w14:paraId="7CA0E18D" w14:textId="77777777" w:rsidR="00EB7011" w:rsidRPr="000D5ED2" w:rsidRDefault="00EB7011" w:rsidP="00341A44">
            <w:pPr>
              <w:spacing w:after="160" w:line="276" w:lineRule="auto"/>
              <w:rPr>
                <w:rFonts w:ascii="Gill Sans MT" w:hAnsi="Gill Sans MT"/>
              </w:rPr>
            </w:pPr>
            <w:r w:rsidRPr="000D5ED2">
              <w:rPr>
                <w:rFonts w:ascii="Gill Sans MT" w:hAnsi="Gill Sans MT"/>
              </w:rPr>
              <w:t>Elevated racial trauma; clinical attention</w:t>
            </w:r>
          </w:p>
        </w:tc>
      </w:tr>
      <w:tr w:rsidR="00EB7011" w:rsidRPr="000D5ED2" w14:paraId="35E87B30" w14:textId="77777777" w:rsidTr="00341A44">
        <w:tc>
          <w:tcPr>
            <w:tcW w:w="0" w:type="auto"/>
            <w:hideMark/>
          </w:tcPr>
          <w:p w14:paraId="073DECAE" w14:textId="77777777" w:rsidR="00EB7011" w:rsidRPr="000D5ED2" w:rsidRDefault="00EB7011" w:rsidP="00341A44">
            <w:pPr>
              <w:spacing w:after="160" w:line="276" w:lineRule="auto"/>
              <w:rPr>
                <w:rFonts w:ascii="Gill Sans MT" w:hAnsi="Gill Sans MT"/>
              </w:rPr>
            </w:pPr>
            <w:r w:rsidRPr="000D5ED2">
              <w:rPr>
                <w:rFonts w:ascii="Gill Sans MT" w:hAnsi="Gill Sans MT"/>
              </w:rPr>
              <w:t>240–300</w:t>
            </w:r>
          </w:p>
        </w:tc>
        <w:tc>
          <w:tcPr>
            <w:tcW w:w="0" w:type="auto"/>
            <w:hideMark/>
          </w:tcPr>
          <w:p w14:paraId="6DAD8C33" w14:textId="77777777" w:rsidR="00EB7011" w:rsidRPr="000D5ED2" w:rsidRDefault="00EB7011" w:rsidP="00341A44">
            <w:pPr>
              <w:spacing w:after="160" w:line="276" w:lineRule="auto"/>
              <w:rPr>
                <w:rFonts w:ascii="Gill Sans MT" w:hAnsi="Gill Sans MT"/>
              </w:rPr>
            </w:pPr>
            <w:r w:rsidRPr="000D5ED2">
              <w:rPr>
                <w:rFonts w:ascii="Gill Sans MT" w:hAnsi="Gill Sans MT"/>
              </w:rPr>
              <w:t>High racial trauma; consider intervention</w:t>
            </w:r>
          </w:p>
        </w:tc>
      </w:tr>
    </w:tbl>
    <w:p w14:paraId="32CAA140" w14:textId="77777777" w:rsidR="00EB7011" w:rsidRDefault="00EB7011" w:rsidP="00EB7011">
      <w:pPr>
        <w:spacing w:line="276" w:lineRule="auto"/>
        <w:rPr>
          <w:rFonts w:ascii="Gill Sans MT" w:hAnsi="Gill Sans MT"/>
          <w:b/>
          <w:bCs/>
        </w:rPr>
      </w:pPr>
    </w:p>
    <w:p w14:paraId="2298F2A9" w14:textId="00A231B8" w:rsidR="00EB7011" w:rsidRPr="000D5ED2" w:rsidRDefault="00351710" w:rsidP="00EB7011">
      <w:pPr>
        <w:spacing w:line="276" w:lineRule="auto"/>
        <w:rPr>
          <w:rFonts w:ascii="Gill Sans MT" w:hAnsi="Gill Sans MT"/>
          <w:b/>
          <w:bCs/>
        </w:rPr>
      </w:pPr>
      <w:r>
        <w:rPr>
          <w:rFonts w:ascii="Gill Sans MT" w:hAnsi="Gill Sans MT"/>
          <w:b/>
          <w:bCs/>
        </w:rPr>
        <w:t>D.</w:t>
      </w:r>
      <w:r w:rsidR="00EB7011" w:rsidRPr="000D5ED2">
        <w:rPr>
          <w:rFonts w:ascii="Gill Sans MT" w:hAnsi="Gill Sans MT"/>
          <w:b/>
          <w:bCs/>
        </w:rPr>
        <w:t xml:space="preserve"> Total Trauma Index (TTI)</w:t>
      </w:r>
    </w:p>
    <w:p w14:paraId="60A21223" w14:textId="77777777" w:rsidR="00EB7011" w:rsidRPr="000D5ED2" w:rsidRDefault="00EB7011" w:rsidP="00EB7011">
      <w:pPr>
        <w:spacing w:line="276" w:lineRule="auto"/>
        <w:rPr>
          <w:rFonts w:ascii="Gill Sans MT" w:hAnsi="Gill Sans MT"/>
        </w:rPr>
      </w:pPr>
      <w:r w:rsidRPr="000D5ED2">
        <w:rPr>
          <w:rFonts w:ascii="Gill Sans MT" w:hAnsi="Gill Sans MT"/>
        </w:rPr>
        <w:t>The TTI isolates cumulative trauma burden by excluding the Resilience domain.</w:t>
      </w:r>
    </w:p>
    <w:p w14:paraId="449EB343" w14:textId="695A1B56" w:rsidR="00EB7011" w:rsidRPr="000D5ED2" w:rsidRDefault="00EB7011" w:rsidP="00EB7011">
      <w:pPr>
        <w:spacing w:line="276" w:lineRule="auto"/>
        <w:rPr>
          <w:rFonts w:ascii="Gill Sans MT" w:hAnsi="Gill Sans MT"/>
          <w:b/>
          <w:bCs/>
        </w:rPr>
      </w:pPr>
      <w:r w:rsidRPr="000D5ED2">
        <w:rPr>
          <w:rFonts w:ascii="Gill Sans MT" w:hAnsi="Gill Sans MT"/>
          <w:b/>
          <w:bCs/>
        </w:rPr>
        <w:t>TTI Domain Composition</w:t>
      </w:r>
    </w:p>
    <w:tbl>
      <w:tblPr>
        <w:tblStyle w:val="TableGrid"/>
        <w:tblW w:w="0" w:type="auto"/>
        <w:tblLook w:val="04A0" w:firstRow="1" w:lastRow="0" w:firstColumn="1" w:lastColumn="0" w:noHBand="0" w:noVBand="1"/>
      </w:tblPr>
      <w:tblGrid>
        <w:gridCol w:w="4928"/>
        <w:gridCol w:w="1515"/>
        <w:gridCol w:w="1623"/>
      </w:tblGrid>
      <w:tr w:rsidR="00EB7011" w:rsidRPr="000D5ED2" w14:paraId="2819C1FE" w14:textId="77777777" w:rsidTr="00341A44">
        <w:tc>
          <w:tcPr>
            <w:tcW w:w="0" w:type="auto"/>
            <w:hideMark/>
          </w:tcPr>
          <w:p w14:paraId="174FF66C" w14:textId="77777777" w:rsidR="00EB7011" w:rsidRPr="000D5ED2" w:rsidRDefault="00EB7011" w:rsidP="00341A44">
            <w:pPr>
              <w:spacing w:after="160" w:line="276" w:lineRule="auto"/>
              <w:rPr>
                <w:rFonts w:ascii="Gill Sans MT" w:hAnsi="Gill Sans MT"/>
                <w:b/>
                <w:bCs/>
              </w:rPr>
            </w:pPr>
            <w:r w:rsidRPr="000D5ED2">
              <w:rPr>
                <w:rFonts w:ascii="Gill Sans MT" w:hAnsi="Gill Sans MT"/>
                <w:b/>
                <w:bCs/>
              </w:rPr>
              <w:t>Domain</w:t>
            </w:r>
          </w:p>
        </w:tc>
        <w:tc>
          <w:tcPr>
            <w:tcW w:w="0" w:type="auto"/>
            <w:hideMark/>
          </w:tcPr>
          <w:p w14:paraId="71AD41FB" w14:textId="77777777" w:rsidR="00EB7011" w:rsidRPr="000D5ED2" w:rsidRDefault="00EB7011" w:rsidP="00341A44">
            <w:pPr>
              <w:spacing w:after="160" w:line="276" w:lineRule="auto"/>
              <w:rPr>
                <w:rFonts w:ascii="Gill Sans MT" w:hAnsi="Gill Sans MT"/>
                <w:b/>
                <w:bCs/>
              </w:rPr>
            </w:pPr>
            <w:r w:rsidRPr="000D5ED2">
              <w:rPr>
                <w:rFonts w:ascii="Gill Sans MT" w:hAnsi="Gill Sans MT"/>
                <w:b/>
                <w:bCs/>
              </w:rPr>
              <w:t>Item Range</w:t>
            </w:r>
          </w:p>
        </w:tc>
        <w:tc>
          <w:tcPr>
            <w:tcW w:w="0" w:type="auto"/>
            <w:hideMark/>
          </w:tcPr>
          <w:p w14:paraId="1EC93598" w14:textId="77777777" w:rsidR="00EB7011" w:rsidRPr="000D5ED2" w:rsidRDefault="00EB7011" w:rsidP="00341A44">
            <w:pPr>
              <w:spacing w:after="160" w:line="276" w:lineRule="auto"/>
              <w:rPr>
                <w:rFonts w:ascii="Gill Sans MT" w:hAnsi="Gill Sans MT"/>
                <w:b/>
                <w:bCs/>
              </w:rPr>
            </w:pPr>
            <w:r w:rsidRPr="000D5ED2">
              <w:rPr>
                <w:rFonts w:ascii="Gill Sans MT" w:hAnsi="Gill Sans MT"/>
                <w:b/>
                <w:bCs/>
              </w:rPr>
              <w:t>Score Range</w:t>
            </w:r>
          </w:p>
        </w:tc>
      </w:tr>
      <w:tr w:rsidR="00EB7011" w:rsidRPr="000D5ED2" w14:paraId="63E4B3E2" w14:textId="77777777" w:rsidTr="00341A44">
        <w:tc>
          <w:tcPr>
            <w:tcW w:w="0" w:type="auto"/>
            <w:hideMark/>
          </w:tcPr>
          <w:p w14:paraId="7F33E278" w14:textId="77777777" w:rsidR="00EB7011" w:rsidRPr="000D5ED2" w:rsidRDefault="00EB7011" w:rsidP="00341A44">
            <w:pPr>
              <w:spacing w:after="160" w:line="276" w:lineRule="auto"/>
              <w:rPr>
                <w:rFonts w:ascii="Gill Sans MT" w:hAnsi="Gill Sans MT"/>
              </w:rPr>
            </w:pPr>
            <w:r w:rsidRPr="000D5ED2">
              <w:rPr>
                <w:rFonts w:ascii="Gill Sans MT" w:hAnsi="Gill Sans MT"/>
              </w:rPr>
              <w:t>Emotional Impact of Racialised Experiences</w:t>
            </w:r>
          </w:p>
        </w:tc>
        <w:tc>
          <w:tcPr>
            <w:tcW w:w="0" w:type="auto"/>
            <w:hideMark/>
          </w:tcPr>
          <w:p w14:paraId="04841474" w14:textId="77777777" w:rsidR="00EB7011" w:rsidRPr="000D5ED2" w:rsidRDefault="00EB7011" w:rsidP="00341A44">
            <w:pPr>
              <w:spacing w:after="160" w:line="276" w:lineRule="auto"/>
              <w:rPr>
                <w:rFonts w:ascii="Gill Sans MT" w:hAnsi="Gill Sans MT"/>
              </w:rPr>
            </w:pPr>
            <w:r w:rsidRPr="000D5ED2">
              <w:rPr>
                <w:rFonts w:ascii="Gill Sans MT" w:hAnsi="Gill Sans MT"/>
              </w:rPr>
              <w:t>1–10</w:t>
            </w:r>
          </w:p>
        </w:tc>
        <w:tc>
          <w:tcPr>
            <w:tcW w:w="0" w:type="auto"/>
            <w:hideMark/>
          </w:tcPr>
          <w:p w14:paraId="5A11472F" w14:textId="77777777" w:rsidR="00EB7011" w:rsidRPr="000D5ED2" w:rsidRDefault="00EB7011" w:rsidP="00341A44">
            <w:pPr>
              <w:spacing w:after="160" w:line="276" w:lineRule="auto"/>
              <w:rPr>
                <w:rFonts w:ascii="Gill Sans MT" w:hAnsi="Gill Sans MT"/>
              </w:rPr>
            </w:pPr>
            <w:r w:rsidRPr="000D5ED2">
              <w:rPr>
                <w:rFonts w:ascii="Gill Sans MT" w:hAnsi="Gill Sans MT"/>
              </w:rPr>
              <w:t>10–50</w:t>
            </w:r>
          </w:p>
        </w:tc>
      </w:tr>
      <w:tr w:rsidR="00EB7011" w:rsidRPr="000D5ED2" w14:paraId="725BA94A" w14:textId="77777777" w:rsidTr="00341A44">
        <w:tc>
          <w:tcPr>
            <w:tcW w:w="0" w:type="auto"/>
            <w:hideMark/>
          </w:tcPr>
          <w:p w14:paraId="57D5CED3" w14:textId="77777777" w:rsidR="00EB7011" w:rsidRPr="000D5ED2" w:rsidRDefault="00EB7011" w:rsidP="00341A44">
            <w:pPr>
              <w:spacing w:after="160" w:line="276" w:lineRule="auto"/>
              <w:rPr>
                <w:rFonts w:ascii="Gill Sans MT" w:hAnsi="Gill Sans MT"/>
              </w:rPr>
            </w:pPr>
            <w:r w:rsidRPr="000D5ED2">
              <w:rPr>
                <w:rFonts w:ascii="Gill Sans MT" w:hAnsi="Gill Sans MT"/>
              </w:rPr>
              <w:t>Identity Conflict and Cultural Disconnection</w:t>
            </w:r>
          </w:p>
        </w:tc>
        <w:tc>
          <w:tcPr>
            <w:tcW w:w="0" w:type="auto"/>
            <w:hideMark/>
          </w:tcPr>
          <w:p w14:paraId="406C59CE" w14:textId="77777777" w:rsidR="00EB7011" w:rsidRPr="000D5ED2" w:rsidRDefault="00EB7011" w:rsidP="00341A44">
            <w:pPr>
              <w:spacing w:after="160" w:line="276" w:lineRule="auto"/>
              <w:rPr>
                <w:rFonts w:ascii="Gill Sans MT" w:hAnsi="Gill Sans MT"/>
              </w:rPr>
            </w:pPr>
            <w:r w:rsidRPr="000D5ED2">
              <w:rPr>
                <w:rFonts w:ascii="Gill Sans MT" w:hAnsi="Gill Sans MT"/>
              </w:rPr>
              <w:t>11–20</w:t>
            </w:r>
          </w:p>
        </w:tc>
        <w:tc>
          <w:tcPr>
            <w:tcW w:w="0" w:type="auto"/>
            <w:hideMark/>
          </w:tcPr>
          <w:p w14:paraId="17BE15EB" w14:textId="77777777" w:rsidR="00EB7011" w:rsidRPr="000D5ED2" w:rsidRDefault="00EB7011" w:rsidP="00341A44">
            <w:pPr>
              <w:spacing w:after="160" w:line="276" w:lineRule="auto"/>
              <w:rPr>
                <w:rFonts w:ascii="Gill Sans MT" w:hAnsi="Gill Sans MT"/>
              </w:rPr>
            </w:pPr>
            <w:r w:rsidRPr="000D5ED2">
              <w:rPr>
                <w:rFonts w:ascii="Gill Sans MT" w:hAnsi="Gill Sans MT"/>
              </w:rPr>
              <w:t>10–50</w:t>
            </w:r>
          </w:p>
        </w:tc>
      </w:tr>
      <w:tr w:rsidR="00EB7011" w:rsidRPr="000D5ED2" w14:paraId="2D26D3C4" w14:textId="77777777" w:rsidTr="00341A44">
        <w:tc>
          <w:tcPr>
            <w:tcW w:w="0" w:type="auto"/>
            <w:hideMark/>
          </w:tcPr>
          <w:p w14:paraId="417A82AE" w14:textId="77777777" w:rsidR="00EB7011" w:rsidRPr="000D5ED2" w:rsidRDefault="00EB7011" w:rsidP="00341A44">
            <w:pPr>
              <w:spacing w:after="160" w:line="276" w:lineRule="auto"/>
              <w:rPr>
                <w:rFonts w:ascii="Gill Sans MT" w:hAnsi="Gill Sans MT"/>
              </w:rPr>
            </w:pPr>
            <w:r w:rsidRPr="000D5ED2">
              <w:rPr>
                <w:rFonts w:ascii="Gill Sans MT" w:hAnsi="Gill Sans MT"/>
              </w:rPr>
              <w:t>Intergenerational Transmission of Racial Trauma</w:t>
            </w:r>
          </w:p>
        </w:tc>
        <w:tc>
          <w:tcPr>
            <w:tcW w:w="0" w:type="auto"/>
            <w:hideMark/>
          </w:tcPr>
          <w:p w14:paraId="13F41E5C" w14:textId="77777777" w:rsidR="00EB7011" w:rsidRPr="000D5ED2" w:rsidRDefault="00EB7011" w:rsidP="00341A44">
            <w:pPr>
              <w:spacing w:after="160" w:line="276" w:lineRule="auto"/>
              <w:rPr>
                <w:rFonts w:ascii="Gill Sans MT" w:hAnsi="Gill Sans MT"/>
              </w:rPr>
            </w:pPr>
            <w:r w:rsidRPr="000D5ED2">
              <w:rPr>
                <w:rFonts w:ascii="Gill Sans MT" w:hAnsi="Gill Sans MT"/>
              </w:rPr>
              <w:t>21–30</w:t>
            </w:r>
          </w:p>
        </w:tc>
        <w:tc>
          <w:tcPr>
            <w:tcW w:w="0" w:type="auto"/>
            <w:hideMark/>
          </w:tcPr>
          <w:p w14:paraId="173D7E66" w14:textId="77777777" w:rsidR="00EB7011" w:rsidRPr="000D5ED2" w:rsidRDefault="00EB7011" w:rsidP="00341A44">
            <w:pPr>
              <w:spacing w:after="160" w:line="276" w:lineRule="auto"/>
              <w:rPr>
                <w:rFonts w:ascii="Gill Sans MT" w:hAnsi="Gill Sans MT"/>
              </w:rPr>
            </w:pPr>
            <w:r w:rsidRPr="000D5ED2">
              <w:rPr>
                <w:rFonts w:ascii="Gill Sans MT" w:hAnsi="Gill Sans MT"/>
              </w:rPr>
              <w:t>10–50</w:t>
            </w:r>
          </w:p>
        </w:tc>
      </w:tr>
      <w:tr w:rsidR="00EB7011" w:rsidRPr="000D5ED2" w14:paraId="5EBF5699" w14:textId="77777777" w:rsidTr="00341A44">
        <w:tc>
          <w:tcPr>
            <w:tcW w:w="0" w:type="auto"/>
            <w:hideMark/>
          </w:tcPr>
          <w:p w14:paraId="4596CF55" w14:textId="77777777" w:rsidR="00EB7011" w:rsidRPr="000D5ED2" w:rsidRDefault="00EB7011" w:rsidP="00341A44">
            <w:pPr>
              <w:spacing w:after="160" w:line="276" w:lineRule="auto"/>
              <w:rPr>
                <w:rFonts w:ascii="Gill Sans MT" w:hAnsi="Gill Sans MT"/>
              </w:rPr>
            </w:pPr>
            <w:r w:rsidRPr="000D5ED2">
              <w:rPr>
                <w:rFonts w:ascii="Gill Sans MT" w:hAnsi="Gill Sans MT"/>
              </w:rPr>
              <w:t>Systemic Exclusion and Institutional Mistrust</w:t>
            </w:r>
          </w:p>
        </w:tc>
        <w:tc>
          <w:tcPr>
            <w:tcW w:w="0" w:type="auto"/>
            <w:hideMark/>
          </w:tcPr>
          <w:p w14:paraId="459CD482" w14:textId="77777777" w:rsidR="00EB7011" w:rsidRPr="000D5ED2" w:rsidRDefault="00EB7011" w:rsidP="00341A44">
            <w:pPr>
              <w:spacing w:after="160" w:line="276" w:lineRule="auto"/>
              <w:rPr>
                <w:rFonts w:ascii="Gill Sans MT" w:hAnsi="Gill Sans MT"/>
              </w:rPr>
            </w:pPr>
            <w:r w:rsidRPr="000D5ED2">
              <w:rPr>
                <w:rFonts w:ascii="Gill Sans MT" w:hAnsi="Gill Sans MT"/>
              </w:rPr>
              <w:t>31–40</w:t>
            </w:r>
          </w:p>
        </w:tc>
        <w:tc>
          <w:tcPr>
            <w:tcW w:w="0" w:type="auto"/>
            <w:hideMark/>
          </w:tcPr>
          <w:p w14:paraId="2C9156E5" w14:textId="77777777" w:rsidR="00EB7011" w:rsidRPr="000D5ED2" w:rsidRDefault="00EB7011" w:rsidP="00341A44">
            <w:pPr>
              <w:spacing w:after="160" w:line="276" w:lineRule="auto"/>
              <w:rPr>
                <w:rFonts w:ascii="Gill Sans MT" w:hAnsi="Gill Sans MT"/>
              </w:rPr>
            </w:pPr>
            <w:r w:rsidRPr="000D5ED2">
              <w:rPr>
                <w:rFonts w:ascii="Gill Sans MT" w:hAnsi="Gill Sans MT"/>
              </w:rPr>
              <w:t>10–50</w:t>
            </w:r>
          </w:p>
        </w:tc>
      </w:tr>
      <w:tr w:rsidR="00EB7011" w:rsidRPr="000D5ED2" w14:paraId="044F3155" w14:textId="77777777" w:rsidTr="00341A44">
        <w:tc>
          <w:tcPr>
            <w:tcW w:w="0" w:type="auto"/>
            <w:hideMark/>
          </w:tcPr>
          <w:p w14:paraId="6D6A0964" w14:textId="77777777" w:rsidR="00EB7011" w:rsidRPr="000D5ED2" w:rsidRDefault="00EB7011" w:rsidP="00341A44">
            <w:pPr>
              <w:spacing w:after="160" w:line="276" w:lineRule="auto"/>
              <w:rPr>
                <w:rFonts w:ascii="Gill Sans MT" w:hAnsi="Gill Sans MT"/>
              </w:rPr>
            </w:pPr>
            <w:r w:rsidRPr="000D5ED2">
              <w:rPr>
                <w:rFonts w:ascii="Gill Sans MT" w:hAnsi="Gill Sans MT"/>
              </w:rPr>
              <w:t>Survival Stress and Adaptive Coping Patterns</w:t>
            </w:r>
          </w:p>
        </w:tc>
        <w:tc>
          <w:tcPr>
            <w:tcW w:w="0" w:type="auto"/>
            <w:hideMark/>
          </w:tcPr>
          <w:p w14:paraId="17F72B0E" w14:textId="77777777" w:rsidR="00EB7011" w:rsidRPr="000D5ED2" w:rsidRDefault="00EB7011" w:rsidP="00341A44">
            <w:pPr>
              <w:spacing w:after="160" w:line="276" w:lineRule="auto"/>
              <w:rPr>
                <w:rFonts w:ascii="Gill Sans MT" w:hAnsi="Gill Sans MT"/>
              </w:rPr>
            </w:pPr>
            <w:r w:rsidRPr="000D5ED2">
              <w:rPr>
                <w:rFonts w:ascii="Gill Sans MT" w:hAnsi="Gill Sans MT"/>
              </w:rPr>
              <w:t>51–60</w:t>
            </w:r>
          </w:p>
        </w:tc>
        <w:tc>
          <w:tcPr>
            <w:tcW w:w="0" w:type="auto"/>
            <w:hideMark/>
          </w:tcPr>
          <w:p w14:paraId="003B76F4" w14:textId="77777777" w:rsidR="00EB7011" w:rsidRPr="000D5ED2" w:rsidRDefault="00EB7011" w:rsidP="00341A44">
            <w:pPr>
              <w:spacing w:after="160" w:line="276" w:lineRule="auto"/>
              <w:rPr>
                <w:rFonts w:ascii="Gill Sans MT" w:hAnsi="Gill Sans MT"/>
              </w:rPr>
            </w:pPr>
            <w:r w:rsidRPr="000D5ED2">
              <w:rPr>
                <w:rFonts w:ascii="Gill Sans MT" w:hAnsi="Gill Sans MT"/>
              </w:rPr>
              <w:t>10–50</w:t>
            </w:r>
          </w:p>
        </w:tc>
      </w:tr>
      <w:tr w:rsidR="00EB7011" w:rsidRPr="000D5ED2" w14:paraId="001A5C11" w14:textId="77777777" w:rsidTr="00341A44">
        <w:tc>
          <w:tcPr>
            <w:tcW w:w="0" w:type="auto"/>
            <w:hideMark/>
          </w:tcPr>
          <w:p w14:paraId="6D243051" w14:textId="77777777" w:rsidR="00EB7011" w:rsidRPr="000D5ED2" w:rsidRDefault="00EB7011" w:rsidP="00341A44">
            <w:pPr>
              <w:spacing w:after="160" w:line="276" w:lineRule="auto"/>
              <w:rPr>
                <w:rFonts w:ascii="Gill Sans MT" w:hAnsi="Gill Sans MT"/>
              </w:rPr>
            </w:pPr>
            <w:r w:rsidRPr="000D5ED2">
              <w:rPr>
                <w:rFonts w:ascii="Gill Sans MT" w:hAnsi="Gill Sans MT"/>
                <w:b/>
                <w:bCs/>
              </w:rPr>
              <w:t>Total Trauma Index (TTI)</w:t>
            </w:r>
          </w:p>
        </w:tc>
        <w:tc>
          <w:tcPr>
            <w:tcW w:w="0" w:type="auto"/>
            <w:hideMark/>
          </w:tcPr>
          <w:p w14:paraId="205E829C" w14:textId="77777777" w:rsidR="00EB7011" w:rsidRPr="000D5ED2" w:rsidRDefault="00EB7011" w:rsidP="00341A44">
            <w:pPr>
              <w:spacing w:after="160" w:line="276" w:lineRule="auto"/>
              <w:rPr>
                <w:rFonts w:ascii="Gill Sans MT" w:hAnsi="Gill Sans MT"/>
              </w:rPr>
            </w:pPr>
            <w:r w:rsidRPr="000D5ED2">
              <w:rPr>
                <w:rFonts w:ascii="Gill Sans MT" w:hAnsi="Gill Sans MT"/>
              </w:rPr>
              <w:t>50 items</w:t>
            </w:r>
          </w:p>
        </w:tc>
        <w:tc>
          <w:tcPr>
            <w:tcW w:w="0" w:type="auto"/>
            <w:hideMark/>
          </w:tcPr>
          <w:p w14:paraId="64C54CA6" w14:textId="77777777" w:rsidR="00EB7011" w:rsidRPr="000D5ED2" w:rsidRDefault="00EB7011" w:rsidP="00341A44">
            <w:pPr>
              <w:spacing w:after="160" w:line="276" w:lineRule="auto"/>
              <w:rPr>
                <w:rFonts w:ascii="Gill Sans MT" w:hAnsi="Gill Sans MT"/>
              </w:rPr>
            </w:pPr>
            <w:r w:rsidRPr="000D5ED2">
              <w:rPr>
                <w:rFonts w:ascii="Gill Sans MT" w:hAnsi="Gill Sans MT"/>
                <w:b/>
                <w:bCs/>
              </w:rPr>
              <w:t>50–250</w:t>
            </w:r>
          </w:p>
        </w:tc>
      </w:tr>
    </w:tbl>
    <w:p w14:paraId="6EBB731B" w14:textId="77777777" w:rsidR="00351710" w:rsidRDefault="00351710" w:rsidP="00EB7011">
      <w:pPr>
        <w:spacing w:line="276" w:lineRule="auto"/>
        <w:rPr>
          <w:rFonts w:ascii="Gill Sans MT" w:hAnsi="Gill Sans MT"/>
          <w:b/>
          <w:bCs/>
        </w:rPr>
      </w:pPr>
    </w:p>
    <w:p w14:paraId="62712E49" w14:textId="0E78FB10" w:rsidR="00EB7011" w:rsidRPr="000D5ED2" w:rsidRDefault="00351710" w:rsidP="00351710">
      <w:pPr>
        <w:spacing w:line="276" w:lineRule="auto"/>
        <w:rPr>
          <w:rFonts w:ascii="Gill Sans MT" w:hAnsi="Gill Sans MT"/>
          <w:b/>
          <w:bCs/>
        </w:rPr>
      </w:pPr>
      <w:r>
        <w:rPr>
          <w:rFonts w:ascii="Gill Sans MT" w:hAnsi="Gill Sans MT"/>
          <w:b/>
          <w:bCs/>
        </w:rPr>
        <w:t xml:space="preserve">E. </w:t>
      </w:r>
      <w:r w:rsidR="00EB7011">
        <w:rPr>
          <w:rFonts w:ascii="Gill Sans MT" w:hAnsi="Gill Sans MT"/>
          <w:b/>
          <w:bCs/>
        </w:rPr>
        <w:t xml:space="preserve"> </w:t>
      </w:r>
      <w:r w:rsidR="00EB7011" w:rsidRPr="000D5ED2">
        <w:rPr>
          <w:rFonts w:ascii="Gill Sans MT" w:hAnsi="Gill Sans MT"/>
          <w:b/>
          <w:bCs/>
        </w:rPr>
        <w:t>TTI Severity Bands</w:t>
      </w:r>
    </w:p>
    <w:tbl>
      <w:tblPr>
        <w:tblStyle w:val="TableGrid"/>
        <w:tblW w:w="0" w:type="auto"/>
        <w:tblLook w:val="04A0" w:firstRow="1" w:lastRow="0" w:firstColumn="1" w:lastColumn="0" w:noHBand="0" w:noVBand="1"/>
      </w:tblPr>
      <w:tblGrid>
        <w:gridCol w:w="1356"/>
        <w:gridCol w:w="1782"/>
        <w:gridCol w:w="5104"/>
      </w:tblGrid>
      <w:tr w:rsidR="00EB7011" w:rsidRPr="000D5ED2" w14:paraId="40FE7B6A" w14:textId="77777777" w:rsidTr="00341A44">
        <w:tc>
          <w:tcPr>
            <w:tcW w:w="0" w:type="auto"/>
            <w:hideMark/>
          </w:tcPr>
          <w:p w14:paraId="2B09A0B6" w14:textId="77777777" w:rsidR="00EB7011" w:rsidRPr="000D5ED2" w:rsidRDefault="00EB7011" w:rsidP="00341A44">
            <w:pPr>
              <w:spacing w:after="160" w:line="276" w:lineRule="auto"/>
              <w:rPr>
                <w:rFonts w:ascii="Gill Sans MT" w:hAnsi="Gill Sans MT"/>
                <w:b/>
                <w:bCs/>
              </w:rPr>
            </w:pPr>
            <w:r w:rsidRPr="000D5ED2">
              <w:rPr>
                <w:rFonts w:ascii="Gill Sans MT" w:hAnsi="Gill Sans MT"/>
                <w:b/>
                <w:bCs/>
              </w:rPr>
              <w:t>TTI Score</w:t>
            </w:r>
          </w:p>
        </w:tc>
        <w:tc>
          <w:tcPr>
            <w:tcW w:w="0" w:type="auto"/>
            <w:hideMark/>
          </w:tcPr>
          <w:p w14:paraId="2B672B47" w14:textId="77777777" w:rsidR="00EB7011" w:rsidRPr="000D5ED2" w:rsidRDefault="00EB7011" w:rsidP="00341A44">
            <w:pPr>
              <w:spacing w:after="160" w:line="276" w:lineRule="auto"/>
              <w:rPr>
                <w:rFonts w:ascii="Gill Sans MT" w:hAnsi="Gill Sans MT"/>
                <w:b/>
                <w:bCs/>
              </w:rPr>
            </w:pPr>
            <w:r w:rsidRPr="000D5ED2">
              <w:rPr>
                <w:rFonts w:ascii="Gill Sans MT" w:hAnsi="Gill Sans MT"/>
                <w:b/>
                <w:bCs/>
              </w:rPr>
              <w:t>Severity Band</w:t>
            </w:r>
          </w:p>
        </w:tc>
        <w:tc>
          <w:tcPr>
            <w:tcW w:w="0" w:type="auto"/>
            <w:hideMark/>
          </w:tcPr>
          <w:p w14:paraId="2FF40F5F" w14:textId="77777777" w:rsidR="00EB7011" w:rsidRPr="000D5ED2" w:rsidRDefault="00EB7011" w:rsidP="00341A44">
            <w:pPr>
              <w:spacing w:after="160" w:line="276" w:lineRule="auto"/>
              <w:rPr>
                <w:rFonts w:ascii="Gill Sans MT" w:hAnsi="Gill Sans MT"/>
                <w:b/>
                <w:bCs/>
              </w:rPr>
            </w:pPr>
            <w:r w:rsidRPr="000D5ED2">
              <w:rPr>
                <w:rFonts w:ascii="Gill Sans MT" w:hAnsi="Gill Sans MT"/>
                <w:b/>
                <w:bCs/>
              </w:rPr>
              <w:t>Suggested Action</w:t>
            </w:r>
          </w:p>
        </w:tc>
      </w:tr>
      <w:tr w:rsidR="00EB7011" w:rsidRPr="000D5ED2" w14:paraId="10CC0C6A" w14:textId="77777777" w:rsidTr="00341A44">
        <w:tc>
          <w:tcPr>
            <w:tcW w:w="0" w:type="auto"/>
            <w:hideMark/>
          </w:tcPr>
          <w:p w14:paraId="7DD16B6B" w14:textId="77777777" w:rsidR="00EB7011" w:rsidRPr="000D5ED2" w:rsidRDefault="00EB7011" w:rsidP="00341A44">
            <w:pPr>
              <w:spacing w:after="160" w:line="276" w:lineRule="auto"/>
              <w:rPr>
                <w:rFonts w:ascii="Gill Sans MT" w:hAnsi="Gill Sans MT"/>
              </w:rPr>
            </w:pPr>
            <w:r w:rsidRPr="000D5ED2">
              <w:rPr>
                <w:rFonts w:ascii="Gill Sans MT" w:hAnsi="Gill Sans MT"/>
              </w:rPr>
              <w:t>50–99</w:t>
            </w:r>
          </w:p>
        </w:tc>
        <w:tc>
          <w:tcPr>
            <w:tcW w:w="0" w:type="auto"/>
            <w:hideMark/>
          </w:tcPr>
          <w:p w14:paraId="6612E6DF" w14:textId="77777777" w:rsidR="00EB7011" w:rsidRPr="000D5ED2" w:rsidRDefault="00EB7011" w:rsidP="00341A44">
            <w:pPr>
              <w:spacing w:after="160" w:line="276" w:lineRule="auto"/>
              <w:rPr>
                <w:rFonts w:ascii="Gill Sans MT" w:hAnsi="Gill Sans MT"/>
              </w:rPr>
            </w:pPr>
            <w:r w:rsidRPr="000D5ED2">
              <w:rPr>
                <w:rFonts w:ascii="Gill Sans MT" w:hAnsi="Gill Sans MT"/>
              </w:rPr>
              <w:t>Severe</w:t>
            </w:r>
          </w:p>
        </w:tc>
        <w:tc>
          <w:tcPr>
            <w:tcW w:w="0" w:type="auto"/>
            <w:hideMark/>
          </w:tcPr>
          <w:p w14:paraId="7E2FF4B7" w14:textId="77777777" w:rsidR="00EB7011" w:rsidRPr="000D5ED2" w:rsidRDefault="00EB7011" w:rsidP="00341A44">
            <w:pPr>
              <w:spacing w:after="160" w:line="276" w:lineRule="auto"/>
              <w:rPr>
                <w:rFonts w:ascii="Gill Sans MT" w:hAnsi="Gill Sans MT"/>
              </w:rPr>
            </w:pPr>
            <w:r w:rsidRPr="000D5ED2">
              <w:rPr>
                <w:rFonts w:ascii="Gill Sans MT" w:hAnsi="Gill Sans MT"/>
              </w:rPr>
              <w:t>Prioritise intensive support and systemic advocacy</w:t>
            </w:r>
          </w:p>
        </w:tc>
      </w:tr>
      <w:tr w:rsidR="00EB7011" w:rsidRPr="000D5ED2" w14:paraId="53D2C2C2" w14:textId="77777777" w:rsidTr="00341A44">
        <w:tc>
          <w:tcPr>
            <w:tcW w:w="0" w:type="auto"/>
            <w:hideMark/>
          </w:tcPr>
          <w:p w14:paraId="7F0502C4" w14:textId="77777777" w:rsidR="00EB7011" w:rsidRPr="000D5ED2" w:rsidRDefault="00EB7011" w:rsidP="00341A44">
            <w:pPr>
              <w:spacing w:after="160" w:line="276" w:lineRule="auto"/>
              <w:rPr>
                <w:rFonts w:ascii="Gill Sans MT" w:hAnsi="Gill Sans MT"/>
              </w:rPr>
            </w:pPr>
            <w:r w:rsidRPr="000D5ED2">
              <w:rPr>
                <w:rFonts w:ascii="Gill Sans MT" w:hAnsi="Gill Sans MT"/>
              </w:rPr>
              <w:t>100–149</w:t>
            </w:r>
          </w:p>
        </w:tc>
        <w:tc>
          <w:tcPr>
            <w:tcW w:w="0" w:type="auto"/>
            <w:hideMark/>
          </w:tcPr>
          <w:p w14:paraId="7E48053F" w14:textId="77777777" w:rsidR="00EB7011" w:rsidRPr="000D5ED2" w:rsidRDefault="00EB7011" w:rsidP="00341A44">
            <w:pPr>
              <w:spacing w:after="160" w:line="276" w:lineRule="auto"/>
              <w:rPr>
                <w:rFonts w:ascii="Gill Sans MT" w:hAnsi="Gill Sans MT"/>
              </w:rPr>
            </w:pPr>
            <w:r w:rsidRPr="000D5ED2">
              <w:rPr>
                <w:rFonts w:ascii="Gill Sans MT" w:hAnsi="Gill Sans MT"/>
              </w:rPr>
              <w:t>High</w:t>
            </w:r>
          </w:p>
        </w:tc>
        <w:tc>
          <w:tcPr>
            <w:tcW w:w="0" w:type="auto"/>
            <w:hideMark/>
          </w:tcPr>
          <w:p w14:paraId="2BFE3F65" w14:textId="77777777" w:rsidR="00EB7011" w:rsidRPr="000D5ED2" w:rsidRDefault="00EB7011" w:rsidP="00341A44">
            <w:pPr>
              <w:spacing w:after="160" w:line="276" w:lineRule="auto"/>
              <w:rPr>
                <w:rFonts w:ascii="Gill Sans MT" w:hAnsi="Gill Sans MT"/>
              </w:rPr>
            </w:pPr>
            <w:r w:rsidRPr="000D5ED2">
              <w:rPr>
                <w:rFonts w:ascii="Gill Sans MT" w:hAnsi="Gill Sans MT"/>
              </w:rPr>
              <w:t>Trauma-informed therapy recommended</w:t>
            </w:r>
          </w:p>
        </w:tc>
      </w:tr>
      <w:tr w:rsidR="00EB7011" w:rsidRPr="000D5ED2" w14:paraId="6B297708" w14:textId="77777777" w:rsidTr="00341A44">
        <w:tc>
          <w:tcPr>
            <w:tcW w:w="0" w:type="auto"/>
            <w:hideMark/>
          </w:tcPr>
          <w:p w14:paraId="578667BD" w14:textId="77777777" w:rsidR="00EB7011" w:rsidRPr="000D5ED2" w:rsidRDefault="00EB7011" w:rsidP="00341A44">
            <w:pPr>
              <w:spacing w:after="160" w:line="276" w:lineRule="auto"/>
              <w:rPr>
                <w:rFonts w:ascii="Gill Sans MT" w:hAnsi="Gill Sans MT"/>
              </w:rPr>
            </w:pPr>
            <w:r w:rsidRPr="000D5ED2">
              <w:rPr>
                <w:rFonts w:ascii="Gill Sans MT" w:hAnsi="Gill Sans MT"/>
              </w:rPr>
              <w:t>150–199</w:t>
            </w:r>
          </w:p>
        </w:tc>
        <w:tc>
          <w:tcPr>
            <w:tcW w:w="0" w:type="auto"/>
            <w:hideMark/>
          </w:tcPr>
          <w:p w14:paraId="5A46A0A4" w14:textId="77777777" w:rsidR="00EB7011" w:rsidRPr="000D5ED2" w:rsidRDefault="00EB7011" w:rsidP="00341A44">
            <w:pPr>
              <w:spacing w:after="160" w:line="276" w:lineRule="auto"/>
              <w:rPr>
                <w:rFonts w:ascii="Gill Sans MT" w:hAnsi="Gill Sans MT"/>
              </w:rPr>
            </w:pPr>
            <w:r w:rsidRPr="000D5ED2">
              <w:rPr>
                <w:rFonts w:ascii="Gill Sans MT" w:hAnsi="Gill Sans MT"/>
              </w:rPr>
              <w:t>Moderate</w:t>
            </w:r>
          </w:p>
        </w:tc>
        <w:tc>
          <w:tcPr>
            <w:tcW w:w="0" w:type="auto"/>
            <w:hideMark/>
          </w:tcPr>
          <w:p w14:paraId="628D8B64" w14:textId="77777777" w:rsidR="00EB7011" w:rsidRPr="000D5ED2" w:rsidRDefault="00EB7011" w:rsidP="00341A44">
            <w:pPr>
              <w:spacing w:after="160" w:line="276" w:lineRule="auto"/>
              <w:rPr>
                <w:rFonts w:ascii="Gill Sans MT" w:hAnsi="Gill Sans MT"/>
              </w:rPr>
            </w:pPr>
            <w:r w:rsidRPr="000D5ED2">
              <w:rPr>
                <w:rFonts w:ascii="Gill Sans MT" w:hAnsi="Gill Sans MT"/>
              </w:rPr>
              <w:t>Psychoeducation or brief intervention</w:t>
            </w:r>
          </w:p>
        </w:tc>
      </w:tr>
      <w:tr w:rsidR="00EB7011" w:rsidRPr="000D5ED2" w14:paraId="11C03A60" w14:textId="77777777" w:rsidTr="00341A44">
        <w:tc>
          <w:tcPr>
            <w:tcW w:w="0" w:type="auto"/>
            <w:hideMark/>
          </w:tcPr>
          <w:p w14:paraId="30C869D7" w14:textId="77777777" w:rsidR="00EB7011" w:rsidRPr="000D5ED2" w:rsidRDefault="00EB7011" w:rsidP="00341A44">
            <w:pPr>
              <w:spacing w:after="160" w:line="276" w:lineRule="auto"/>
              <w:rPr>
                <w:rFonts w:ascii="Gill Sans MT" w:hAnsi="Gill Sans MT"/>
              </w:rPr>
            </w:pPr>
            <w:r w:rsidRPr="000D5ED2">
              <w:rPr>
                <w:rFonts w:ascii="Gill Sans MT" w:hAnsi="Gill Sans MT"/>
              </w:rPr>
              <w:t>200–250</w:t>
            </w:r>
          </w:p>
        </w:tc>
        <w:tc>
          <w:tcPr>
            <w:tcW w:w="0" w:type="auto"/>
            <w:hideMark/>
          </w:tcPr>
          <w:p w14:paraId="1391215E" w14:textId="77777777" w:rsidR="00EB7011" w:rsidRPr="000D5ED2" w:rsidRDefault="00EB7011" w:rsidP="00341A44">
            <w:pPr>
              <w:spacing w:after="160" w:line="276" w:lineRule="auto"/>
              <w:rPr>
                <w:rFonts w:ascii="Gill Sans MT" w:hAnsi="Gill Sans MT"/>
              </w:rPr>
            </w:pPr>
            <w:r w:rsidRPr="000D5ED2">
              <w:rPr>
                <w:rFonts w:ascii="Gill Sans MT" w:hAnsi="Gill Sans MT"/>
              </w:rPr>
              <w:t>Low</w:t>
            </w:r>
          </w:p>
        </w:tc>
        <w:tc>
          <w:tcPr>
            <w:tcW w:w="0" w:type="auto"/>
            <w:hideMark/>
          </w:tcPr>
          <w:p w14:paraId="41B9D8D5" w14:textId="77777777" w:rsidR="00EB7011" w:rsidRPr="000D5ED2" w:rsidRDefault="00EB7011" w:rsidP="00341A44">
            <w:pPr>
              <w:spacing w:after="160" w:line="276" w:lineRule="auto"/>
              <w:rPr>
                <w:rFonts w:ascii="Gill Sans MT" w:hAnsi="Gill Sans MT"/>
              </w:rPr>
            </w:pPr>
            <w:r w:rsidRPr="000D5ED2">
              <w:rPr>
                <w:rFonts w:ascii="Gill Sans MT" w:hAnsi="Gill Sans MT"/>
              </w:rPr>
              <w:t>Monitor; may reflect resilience or low exposure</w:t>
            </w:r>
          </w:p>
        </w:tc>
      </w:tr>
    </w:tbl>
    <w:p w14:paraId="168C23EF" w14:textId="77777777" w:rsidR="00EB7011" w:rsidRDefault="00EB7011" w:rsidP="00EB7011">
      <w:pPr>
        <w:spacing w:line="276" w:lineRule="auto"/>
        <w:rPr>
          <w:rFonts w:ascii="Gill Sans MT" w:hAnsi="Gill Sans MT"/>
          <w:b/>
          <w:bCs/>
        </w:rPr>
      </w:pPr>
    </w:p>
    <w:p w14:paraId="194B3E00" w14:textId="77777777" w:rsidR="00EB7011" w:rsidRDefault="00EB7011" w:rsidP="00EB7011">
      <w:pPr>
        <w:spacing w:line="276" w:lineRule="auto"/>
        <w:rPr>
          <w:rFonts w:ascii="Gill Sans MT" w:hAnsi="Gill Sans MT"/>
          <w:b/>
          <w:bCs/>
        </w:rPr>
      </w:pPr>
    </w:p>
    <w:p w14:paraId="7E07D964" w14:textId="79912A15" w:rsidR="00EB7011" w:rsidRPr="000D5ED2" w:rsidRDefault="00351710" w:rsidP="00EB7011">
      <w:pPr>
        <w:spacing w:line="276" w:lineRule="auto"/>
        <w:rPr>
          <w:rFonts w:ascii="Gill Sans MT" w:hAnsi="Gill Sans MT"/>
          <w:b/>
          <w:bCs/>
        </w:rPr>
      </w:pPr>
      <w:r>
        <w:rPr>
          <w:rFonts w:ascii="Gill Sans MT" w:hAnsi="Gill Sans MT"/>
          <w:b/>
          <w:bCs/>
        </w:rPr>
        <w:lastRenderedPageBreak/>
        <w:t>F.</w:t>
      </w:r>
      <w:r w:rsidR="00EB7011" w:rsidRPr="000D5ED2">
        <w:rPr>
          <w:rFonts w:ascii="Gill Sans MT" w:hAnsi="Gill Sans MT"/>
          <w:b/>
          <w:bCs/>
        </w:rPr>
        <w:t xml:space="preserve"> Resilience, Resistance, and Healing Practices Score</w:t>
      </w:r>
    </w:p>
    <w:p w14:paraId="0E2BD37B" w14:textId="77777777" w:rsidR="00EB7011" w:rsidRDefault="00EB7011" w:rsidP="00EB7011">
      <w:pPr>
        <w:spacing w:line="276" w:lineRule="auto"/>
        <w:rPr>
          <w:rFonts w:ascii="Gill Sans MT" w:hAnsi="Gill Sans MT"/>
        </w:rPr>
      </w:pPr>
      <w:r w:rsidRPr="000D5ED2">
        <w:rPr>
          <w:rFonts w:ascii="Gill Sans MT" w:hAnsi="Gill Sans MT"/>
        </w:rPr>
        <w:t>This domain is scored independently and reflects culturally grounded coping, community solidarity, and post-traumatic growth. It is excluded from the TTI to preserve the clarity of trauma burden scoring.</w:t>
      </w:r>
    </w:p>
    <w:p w14:paraId="425CDCCA" w14:textId="77777777" w:rsidR="00EB7011" w:rsidRPr="000D5ED2" w:rsidRDefault="00EB7011" w:rsidP="00EB7011">
      <w:pPr>
        <w:pStyle w:val="NoSpacing"/>
      </w:pPr>
    </w:p>
    <w:tbl>
      <w:tblPr>
        <w:tblStyle w:val="TableGrid"/>
        <w:tblW w:w="0" w:type="auto"/>
        <w:tblLook w:val="04A0" w:firstRow="1" w:lastRow="0" w:firstColumn="1" w:lastColumn="0" w:noHBand="0" w:noVBand="1"/>
      </w:tblPr>
      <w:tblGrid>
        <w:gridCol w:w="1623"/>
        <w:gridCol w:w="6176"/>
      </w:tblGrid>
      <w:tr w:rsidR="00EB7011" w:rsidRPr="000D5ED2" w14:paraId="380A469A" w14:textId="77777777" w:rsidTr="00341A44">
        <w:tc>
          <w:tcPr>
            <w:tcW w:w="0" w:type="auto"/>
            <w:hideMark/>
          </w:tcPr>
          <w:p w14:paraId="7F8F19AE" w14:textId="77777777" w:rsidR="00EB7011" w:rsidRPr="000D5ED2" w:rsidRDefault="00EB7011" w:rsidP="00341A44">
            <w:pPr>
              <w:spacing w:after="160" w:line="276" w:lineRule="auto"/>
              <w:rPr>
                <w:rFonts w:ascii="Gill Sans MT" w:hAnsi="Gill Sans MT"/>
                <w:b/>
                <w:bCs/>
              </w:rPr>
            </w:pPr>
            <w:r w:rsidRPr="000D5ED2">
              <w:rPr>
                <w:rFonts w:ascii="Gill Sans MT" w:hAnsi="Gill Sans MT"/>
                <w:b/>
                <w:bCs/>
              </w:rPr>
              <w:t>Score Range</w:t>
            </w:r>
          </w:p>
        </w:tc>
        <w:tc>
          <w:tcPr>
            <w:tcW w:w="0" w:type="auto"/>
            <w:hideMark/>
          </w:tcPr>
          <w:p w14:paraId="2FD9226C" w14:textId="77777777" w:rsidR="00EB7011" w:rsidRPr="000D5ED2" w:rsidRDefault="00EB7011" w:rsidP="00341A44">
            <w:pPr>
              <w:spacing w:after="160" w:line="276" w:lineRule="auto"/>
              <w:rPr>
                <w:rFonts w:ascii="Gill Sans MT" w:hAnsi="Gill Sans MT"/>
                <w:b/>
                <w:bCs/>
              </w:rPr>
            </w:pPr>
            <w:r w:rsidRPr="000D5ED2">
              <w:rPr>
                <w:rFonts w:ascii="Gill Sans MT" w:hAnsi="Gill Sans MT"/>
                <w:b/>
                <w:bCs/>
              </w:rPr>
              <w:t>Interpretation</w:t>
            </w:r>
          </w:p>
        </w:tc>
      </w:tr>
      <w:tr w:rsidR="00EB7011" w:rsidRPr="000D5ED2" w14:paraId="3329F5FF" w14:textId="77777777" w:rsidTr="00341A44">
        <w:tc>
          <w:tcPr>
            <w:tcW w:w="0" w:type="auto"/>
            <w:hideMark/>
          </w:tcPr>
          <w:p w14:paraId="7D4352B7" w14:textId="77777777" w:rsidR="00EB7011" w:rsidRPr="000D5ED2" w:rsidRDefault="00EB7011" w:rsidP="00341A44">
            <w:pPr>
              <w:spacing w:after="160" w:line="276" w:lineRule="auto"/>
              <w:rPr>
                <w:rFonts w:ascii="Gill Sans MT" w:hAnsi="Gill Sans MT"/>
              </w:rPr>
            </w:pPr>
            <w:r w:rsidRPr="000D5ED2">
              <w:rPr>
                <w:rFonts w:ascii="Gill Sans MT" w:hAnsi="Gill Sans MT"/>
              </w:rPr>
              <w:t>10–25</w:t>
            </w:r>
          </w:p>
        </w:tc>
        <w:tc>
          <w:tcPr>
            <w:tcW w:w="0" w:type="auto"/>
            <w:hideMark/>
          </w:tcPr>
          <w:p w14:paraId="1AC92F58" w14:textId="77777777" w:rsidR="00EB7011" w:rsidRPr="000D5ED2" w:rsidRDefault="00EB7011" w:rsidP="00341A44">
            <w:pPr>
              <w:spacing w:after="160" w:line="276" w:lineRule="auto"/>
              <w:rPr>
                <w:rFonts w:ascii="Gill Sans MT" w:hAnsi="Gill Sans MT"/>
              </w:rPr>
            </w:pPr>
            <w:r w:rsidRPr="000D5ED2">
              <w:rPr>
                <w:rFonts w:ascii="Gill Sans MT" w:hAnsi="Gill Sans MT"/>
              </w:rPr>
              <w:t>Low engagement with healing and protective factors</w:t>
            </w:r>
          </w:p>
        </w:tc>
      </w:tr>
      <w:tr w:rsidR="00EB7011" w:rsidRPr="000D5ED2" w14:paraId="02B43AB0" w14:textId="77777777" w:rsidTr="00341A44">
        <w:tc>
          <w:tcPr>
            <w:tcW w:w="0" w:type="auto"/>
            <w:hideMark/>
          </w:tcPr>
          <w:p w14:paraId="6BCF05DC" w14:textId="77777777" w:rsidR="00EB7011" w:rsidRPr="000D5ED2" w:rsidRDefault="00EB7011" w:rsidP="00341A44">
            <w:pPr>
              <w:spacing w:after="160" w:line="276" w:lineRule="auto"/>
              <w:rPr>
                <w:rFonts w:ascii="Gill Sans MT" w:hAnsi="Gill Sans MT"/>
              </w:rPr>
            </w:pPr>
            <w:r w:rsidRPr="000D5ED2">
              <w:rPr>
                <w:rFonts w:ascii="Gill Sans MT" w:hAnsi="Gill Sans MT"/>
              </w:rPr>
              <w:t>26–35</w:t>
            </w:r>
          </w:p>
        </w:tc>
        <w:tc>
          <w:tcPr>
            <w:tcW w:w="0" w:type="auto"/>
            <w:hideMark/>
          </w:tcPr>
          <w:p w14:paraId="0020BB0B" w14:textId="77777777" w:rsidR="00EB7011" w:rsidRPr="000D5ED2" w:rsidRDefault="00EB7011" w:rsidP="00341A44">
            <w:pPr>
              <w:spacing w:after="160" w:line="276" w:lineRule="auto"/>
              <w:rPr>
                <w:rFonts w:ascii="Gill Sans MT" w:hAnsi="Gill Sans MT"/>
              </w:rPr>
            </w:pPr>
            <w:r w:rsidRPr="000D5ED2">
              <w:rPr>
                <w:rFonts w:ascii="Gill Sans MT" w:hAnsi="Gill Sans MT"/>
              </w:rPr>
              <w:t>Moderate resilience and resistance</w:t>
            </w:r>
          </w:p>
        </w:tc>
      </w:tr>
      <w:tr w:rsidR="00EB7011" w:rsidRPr="000D5ED2" w14:paraId="4759FCCF" w14:textId="77777777" w:rsidTr="00341A44">
        <w:tc>
          <w:tcPr>
            <w:tcW w:w="0" w:type="auto"/>
            <w:hideMark/>
          </w:tcPr>
          <w:p w14:paraId="573C336D" w14:textId="77777777" w:rsidR="00EB7011" w:rsidRPr="000D5ED2" w:rsidRDefault="00EB7011" w:rsidP="00341A44">
            <w:pPr>
              <w:spacing w:after="160" w:line="276" w:lineRule="auto"/>
              <w:rPr>
                <w:rFonts w:ascii="Gill Sans MT" w:hAnsi="Gill Sans MT"/>
              </w:rPr>
            </w:pPr>
            <w:r w:rsidRPr="000D5ED2">
              <w:rPr>
                <w:rFonts w:ascii="Gill Sans MT" w:hAnsi="Gill Sans MT"/>
              </w:rPr>
              <w:t>36–50</w:t>
            </w:r>
          </w:p>
        </w:tc>
        <w:tc>
          <w:tcPr>
            <w:tcW w:w="0" w:type="auto"/>
            <w:hideMark/>
          </w:tcPr>
          <w:p w14:paraId="3B8DBB5F" w14:textId="77777777" w:rsidR="00EB7011" w:rsidRPr="000D5ED2" w:rsidRDefault="00EB7011" w:rsidP="00341A44">
            <w:pPr>
              <w:spacing w:after="160" w:line="276" w:lineRule="auto"/>
              <w:rPr>
                <w:rFonts w:ascii="Gill Sans MT" w:hAnsi="Gill Sans MT"/>
              </w:rPr>
            </w:pPr>
            <w:r w:rsidRPr="000D5ED2">
              <w:rPr>
                <w:rFonts w:ascii="Gill Sans MT" w:hAnsi="Gill Sans MT"/>
              </w:rPr>
              <w:t>Strong culturally grounded coping and post-traumatic growth</w:t>
            </w:r>
          </w:p>
        </w:tc>
      </w:tr>
    </w:tbl>
    <w:p w14:paraId="3E34A777" w14:textId="77777777" w:rsidR="00351710" w:rsidRDefault="00351710" w:rsidP="00EB7011">
      <w:pPr>
        <w:spacing w:line="276" w:lineRule="auto"/>
        <w:rPr>
          <w:rFonts w:ascii="Gill Sans MT" w:hAnsi="Gill Sans MT"/>
        </w:rPr>
      </w:pPr>
    </w:p>
    <w:p w14:paraId="62446E1C" w14:textId="3A3C812E" w:rsidR="00EB7011" w:rsidRDefault="00EB7011" w:rsidP="00EB7011">
      <w:pPr>
        <w:spacing w:line="276" w:lineRule="auto"/>
        <w:rPr>
          <w:rFonts w:ascii="Gill Sans MT" w:hAnsi="Gill Sans MT"/>
        </w:rPr>
      </w:pPr>
      <w:r w:rsidRPr="000D5ED2">
        <w:rPr>
          <w:rFonts w:ascii="Gill Sans MT" w:hAnsi="Gill Sans MT"/>
        </w:rPr>
        <w:t>High scores may buffer distress in other domains. Low scores may signal limited access to healing resources, cultural affirmation, or community support.</w:t>
      </w:r>
    </w:p>
    <w:p w14:paraId="384FEF3E" w14:textId="15F957A8" w:rsidR="00EB7011" w:rsidRPr="000D5ED2" w:rsidRDefault="00351710" w:rsidP="00EB7011">
      <w:pPr>
        <w:spacing w:line="276" w:lineRule="auto"/>
        <w:rPr>
          <w:rFonts w:ascii="Gill Sans MT" w:hAnsi="Gill Sans MT"/>
          <w:b/>
          <w:bCs/>
        </w:rPr>
      </w:pPr>
      <w:r>
        <w:rPr>
          <w:rFonts w:ascii="Gill Sans MT" w:hAnsi="Gill Sans MT"/>
          <w:b/>
          <w:bCs/>
        </w:rPr>
        <w:t>G.</w:t>
      </w:r>
      <w:r w:rsidR="00EB7011" w:rsidRPr="000D5ED2">
        <w:rPr>
          <w:rFonts w:ascii="Gill Sans MT" w:hAnsi="Gill Sans MT"/>
          <w:b/>
          <w:bCs/>
        </w:rPr>
        <w:t xml:space="preserve"> Scoring Notes</w:t>
      </w:r>
    </w:p>
    <w:tbl>
      <w:tblPr>
        <w:tblStyle w:val="TableGrid"/>
        <w:tblW w:w="0" w:type="auto"/>
        <w:tblLook w:val="04A0" w:firstRow="1" w:lastRow="0" w:firstColumn="1" w:lastColumn="0" w:noHBand="0" w:noVBand="1"/>
      </w:tblPr>
      <w:tblGrid>
        <w:gridCol w:w="2084"/>
        <w:gridCol w:w="7652"/>
      </w:tblGrid>
      <w:tr w:rsidR="00EB7011" w:rsidRPr="000D5ED2" w14:paraId="5507F05B" w14:textId="77777777" w:rsidTr="00341A44">
        <w:tc>
          <w:tcPr>
            <w:tcW w:w="0" w:type="auto"/>
            <w:hideMark/>
          </w:tcPr>
          <w:p w14:paraId="6D99FB42" w14:textId="77777777" w:rsidR="00EB7011" w:rsidRPr="000D5ED2" w:rsidRDefault="00EB7011" w:rsidP="00341A44">
            <w:pPr>
              <w:spacing w:after="160" w:line="276" w:lineRule="auto"/>
              <w:rPr>
                <w:rFonts w:ascii="Gill Sans MT" w:hAnsi="Gill Sans MT"/>
                <w:b/>
                <w:bCs/>
              </w:rPr>
            </w:pPr>
            <w:r w:rsidRPr="000D5ED2">
              <w:rPr>
                <w:rFonts w:ascii="Gill Sans MT" w:hAnsi="Gill Sans MT"/>
                <w:b/>
                <w:bCs/>
              </w:rPr>
              <w:t>Note</w:t>
            </w:r>
          </w:p>
        </w:tc>
        <w:tc>
          <w:tcPr>
            <w:tcW w:w="0" w:type="auto"/>
            <w:hideMark/>
          </w:tcPr>
          <w:p w14:paraId="4748F5BB" w14:textId="77777777" w:rsidR="00EB7011" w:rsidRPr="000D5ED2" w:rsidRDefault="00EB7011" w:rsidP="00341A44">
            <w:pPr>
              <w:spacing w:after="160" w:line="276" w:lineRule="auto"/>
              <w:rPr>
                <w:rFonts w:ascii="Gill Sans MT" w:hAnsi="Gill Sans MT"/>
                <w:b/>
                <w:bCs/>
              </w:rPr>
            </w:pPr>
            <w:r w:rsidRPr="000D5ED2">
              <w:rPr>
                <w:rFonts w:ascii="Gill Sans MT" w:hAnsi="Gill Sans MT"/>
                <w:b/>
                <w:bCs/>
              </w:rPr>
              <w:t>Description</w:t>
            </w:r>
          </w:p>
        </w:tc>
      </w:tr>
      <w:tr w:rsidR="00EB7011" w:rsidRPr="000D5ED2" w14:paraId="602279A4" w14:textId="77777777" w:rsidTr="00341A44">
        <w:tc>
          <w:tcPr>
            <w:tcW w:w="0" w:type="auto"/>
            <w:hideMark/>
          </w:tcPr>
          <w:p w14:paraId="2C9CC2B4" w14:textId="77777777" w:rsidR="00EB7011" w:rsidRPr="000D5ED2" w:rsidRDefault="00EB7011" w:rsidP="00341A44">
            <w:pPr>
              <w:spacing w:after="160" w:line="276" w:lineRule="auto"/>
              <w:rPr>
                <w:rFonts w:ascii="Gill Sans MT" w:hAnsi="Gill Sans MT"/>
              </w:rPr>
            </w:pPr>
            <w:r w:rsidRPr="000D5ED2">
              <w:rPr>
                <w:rFonts w:ascii="Gill Sans MT" w:hAnsi="Gill Sans MT"/>
              </w:rPr>
              <w:t>Domain Score Range</w:t>
            </w:r>
          </w:p>
        </w:tc>
        <w:tc>
          <w:tcPr>
            <w:tcW w:w="0" w:type="auto"/>
            <w:hideMark/>
          </w:tcPr>
          <w:p w14:paraId="14E63F98" w14:textId="77777777" w:rsidR="00EB7011" w:rsidRPr="000D5ED2" w:rsidRDefault="00EB7011" w:rsidP="00341A44">
            <w:pPr>
              <w:spacing w:after="160" w:line="276" w:lineRule="auto"/>
              <w:rPr>
                <w:rFonts w:ascii="Gill Sans MT" w:hAnsi="Gill Sans MT"/>
              </w:rPr>
            </w:pPr>
            <w:r w:rsidRPr="000D5ED2">
              <w:rPr>
                <w:rFonts w:ascii="Gill Sans MT" w:hAnsi="Gill Sans MT"/>
              </w:rPr>
              <w:t>Each trauma domain score ranges from 10 to 50.</w:t>
            </w:r>
          </w:p>
        </w:tc>
      </w:tr>
      <w:tr w:rsidR="00EB7011" w:rsidRPr="000D5ED2" w14:paraId="6FF2FBB5" w14:textId="77777777" w:rsidTr="00341A44">
        <w:tc>
          <w:tcPr>
            <w:tcW w:w="0" w:type="auto"/>
            <w:hideMark/>
          </w:tcPr>
          <w:p w14:paraId="25A17719" w14:textId="77777777" w:rsidR="00EB7011" w:rsidRPr="000D5ED2" w:rsidRDefault="00EB7011" w:rsidP="00341A44">
            <w:pPr>
              <w:spacing w:after="160" w:line="276" w:lineRule="auto"/>
              <w:rPr>
                <w:rFonts w:ascii="Gill Sans MT" w:hAnsi="Gill Sans MT"/>
              </w:rPr>
            </w:pPr>
            <w:r w:rsidRPr="000D5ED2">
              <w:rPr>
                <w:rFonts w:ascii="Gill Sans MT" w:hAnsi="Gill Sans MT"/>
              </w:rPr>
              <w:t>Resilience Buffering</w:t>
            </w:r>
          </w:p>
        </w:tc>
        <w:tc>
          <w:tcPr>
            <w:tcW w:w="0" w:type="auto"/>
            <w:hideMark/>
          </w:tcPr>
          <w:p w14:paraId="3E62D0D9" w14:textId="77777777" w:rsidR="00EB7011" w:rsidRPr="000D5ED2" w:rsidRDefault="00EB7011" w:rsidP="00341A44">
            <w:pPr>
              <w:spacing w:after="160" w:line="276" w:lineRule="auto"/>
              <w:rPr>
                <w:rFonts w:ascii="Gill Sans MT" w:hAnsi="Gill Sans MT"/>
              </w:rPr>
            </w:pPr>
            <w:r w:rsidRPr="000D5ED2">
              <w:rPr>
                <w:rFonts w:ascii="Gill Sans MT" w:hAnsi="Gill Sans MT"/>
              </w:rPr>
              <w:t>High resilience scores may moderate distress observed in trauma domains.</w:t>
            </w:r>
          </w:p>
        </w:tc>
      </w:tr>
      <w:tr w:rsidR="00EB7011" w:rsidRPr="000D5ED2" w14:paraId="5604C83D" w14:textId="77777777" w:rsidTr="00341A44">
        <w:tc>
          <w:tcPr>
            <w:tcW w:w="0" w:type="auto"/>
            <w:hideMark/>
          </w:tcPr>
          <w:p w14:paraId="57AF37A7" w14:textId="77777777" w:rsidR="00EB7011" w:rsidRPr="000D5ED2" w:rsidRDefault="00EB7011" w:rsidP="00341A44">
            <w:pPr>
              <w:spacing w:after="160" w:line="276" w:lineRule="auto"/>
              <w:rPr>
                <w:rFonts w:ascii="Gill Sans MT" w:hAnsi="Gill Sans MT"/>
              </w:rPr>
            </w:pPr>
            <w:r w:rsidRPr="000D5ED2">
              <w:rPr>
                <w:rFonts w:ascii="Gill Sans MT" w:hAnsi="Gill Sans MT"/>
              </w:rPr>
              <w:t>Suppression Indicators</w:t>
            </w:r>
          </w:p>
        </w:tc>
        <w:tc>
          <w:tcPr>
            <w:tcW w:w="0" w:type="auto"/>
            <w:hideMark/>
          </w:tcPr>
          <w:p w14:paraId="77F6E6E5" w14:textId="77777777" w:rsidR="00EB7011" w:rsidRPr="000D5ED2" w:rsidRDefault="00EB7011" w:rsidP="00341A44">
            <w:pPr>
              <w:spacing w:after="160" w:line="276" w:lineRule="auto"/>
              <w:rPr>
                <w:rFonts w:ascii="Gill Sans MT" w:hAnsi="Gill Sans MT"/>
              </w:rPr>
            </w:pPr>
            <w:r w:rsidRPr="000D5ED2">
              <w:rPr>
                <w:rFonts w:ascii="Gill Sans MT" w:hAnsi="Gill Sans MT"/>
              </w:rPr>
              <w:t>Survival Stress ≥40 + Emotional Impact ≤20 may indicate psychological suppression or dissociative coping.</w:t>
            </w:r>
          </w:p>
        </w:tc>
      </w:tr>
      <w:tr w:rsidR="00EB7011" w:rsidRPr="000D5ED2" w14:paraId="107B85B4" w14:textId="77777777" w:rsidTr="00341A44">
        <w:tc>
          <w:tcPr>
            <w:tcW w:w="0" w:type="auto"/>
            <w:hideMark/>
          </w:tcPr>
          <w:p w14:paraId="1082BF7A" w14:textId="77777777" w:rsidR="00EB7011" w:rsidRPr="000D5ED2" w:rsidRDefault="00EB7011" w:rsidP="00341A44">
            <w:pPr>
              <w:spacing w:after="160" w:line="276" w:lineRule="auto"/>
              <w:rPr>
                <w:rFonts w:ascii="Gill Sans MT" w:hAnsi="Gill Sans MT"/>
              </w:rPr>
            </w:pPr>
            <w:r w:rsidRPr="000D5ED2">
              <w:rPr>
                <w:rFonts w:ascii="Gill Sans MT" w:hAnsi="Gill Sans MT"/>
              </w:rPr>
              <w:t>Clinical Utility</w:t>
            </w:r>
          </w:p>
        </w:tc>
        <w:tc>
          <w:tcPr>
            <w:tcW w:w="0" w:type="auto"/>
            <w:hideMark/>
          </w:tcPr>
          <w:p w14:paraId="02F873B5" w14:textId="77777777" w:rsidR="00EB7011" w:rsidRPr="000D5ED2" w:rsidRDefault="00EB7011" w:rsidP="00341A44">
            <w:pPr>
              <w:spacing w:after="160" w:line="276" w:lineRule="auto"/>
              <w:rPr>
                <w:rFonts w:ascii="Gill Sans MT" w:hAnsi="Gill Sans MT"/>
              </w:rPr>
            </w:pPr>
            <w:r w:rsidRPr="000D5ED2">
              <w:rPr>
                <w:rFonts w:ascii="Gill Sans MT" w:hAnsi="Gill Sans MT"/>
              </w:rPr>
              <w:t>Use domain-level profiles to guide formulation—avoid relying solely on total scores.</w:t>
            </w:r>
          </w:p>
        </w:tc>
      </w:tr>
    </w:tbl>
    <w:p w14:paraId="6DC4FE8A" w14:textId="04573D99" w:rsidR="00351710" w:rsidRDefault="00351710" w:rsidP="00EB7011">
      <w:pPr>
        <w:spacing w:line="276" w:lineRule="auto"/>
        <w:rPr>
          <w:rFonts w:ascii="Gill Sans MT" w:hAnsi="Gill Sans MT"/>
          <w:b/>
          <w:bCs/>
        </w:rPr>
      </w:pPr>
    </w:p>
    <w:p w14:paraId="21E2CB7C" w14:textId="77777777" w:rsidR="00351710" w:rsidRDefault="00351710">
      <w:pPr>
        <w:rPr>
          <w:rFonts w:ascii="Gill Sans MT" w:hAnsi="Gill Sans MT"/>
          <w:b/>
          <w:bCs/>
        </w:rPr>
      </w:pPr>
      <w:r>
        <w:rPr>
          <w:rFonts w:ascii="Gill Sans MT" w:hAnsi="Gill Sans MT"/>
          <w:b/>
          <w:bCs/>
        </w:rPr>
        <w:br w:type="page"/>
      </w:r>
    </w:p>
    <w:p w14:paraId="637B2EEF" w14:textId="4BC5E83A" w:rsidR="00EB7011" w:rsidRPr="000D5ED2" w:rsidRDefault="00351710" w:rsidP="00EB7011">
      <w:pPr>
        <w:spacing w:line="276" w:lineRule="auto"/>
        <w:rPr>
          <w:rFonts w:ascii="Gill Sans MT" w:hAnsi="Gill Sans MT"/>
          <w:b/>
          <w:bCs/>
        </w:rPr>
      </w:pPr>
      <w:r>
        <w:rPr>
          <w:rFonts w:ascii="Gill Sans MT" w:hAnsi="Gill Sans MT"/>
          <w:b/>
          <w:bCs/>
        </w:rPr>
        <w:lastRenderedPageBreak/>
        <w:t>H.</w:t>
      </w:r>
      <w:r w:rsidR="00EB7011" w:rsidRPr="000D5ED2">
        <w:rPr>
          <w:rFonts w:ascii="Gill Sans MT" w:hAnsi="Gill Sans MT"/>
          <w:b/>
          <w:bCs/>
        </w:rPr>
        <w:t xml:space="preserve"> Profile-Based Interpretation</w:t>
      </w:r>
    </w:p>
    <w:tbl>
      <w:tblPr>
        <w:tblStyle w:val="TableGrid"/>
        <w:tblW w:w="0" w:type="auto"/>
        <w:tblLook w:val="04A0" w:firstRow="1" w:lastRow="0" w:firstColumn="1" w:lastColumn="0" w:noHBand="0" w:noVBand="1"/>
      </w:tblPr>
      <w:tblGrid>
        <w:gridCol w:w="2436"/>
        <w:gridCol w:w="3526"/>
        <w:gridCol w:w="3774"/>
      </w:tblGrid>
      <w:tr w:rsidR="00EB7011" w:rsidRPr="000D5ED2" w14:paraId="70AC8C27" w14:textId="77777777" w:rsidTr="00341A44">
        <w:tc>
          <w:tcPr>
            <w:tcW w:w="0" w:type="auto"/>
            <w:hideMark/>
          </w:tcPr>
          <w:p w14:paraId="07C4774C" w14:textId="77777777" w:rsidR="00EB7011" w:rsidRPr="000D5ED2" w:rsidRDefault="00EB7011" w:rsidP="00341A44">
            <w:pPr>
              <w:spacing w:after="160" w:line="276" w:lineRule="auto"/>
              <w:rPr>
                <w:rFonts w:ascii="Gill Sans MT" w:hAnsi="Gill Sans MT"/>
                <w:b/>
                <w:bCs/>
              </w:rPr>
            </w:pPr>
            <w:r w:rsidRPr="000D5ED2">
              <w:rPr>
                <w:rFonts w:ascii="Gill Sans MT" w:hAnsi="Gill Sans MT"/>
                <w:b/>
                <w:bCs/>
              </w:rPr>
              <w:t>Profile</w:t>
            </w:r>
          </w:p>
        </w:tc>
        <w:tc>
          <w:tcPr>
            <w:tcW w:w="0" w:type="auto"/>
            <w:hideMark/>
          </w:tcPr>
          <w:p w14:paraId="17214460" w14:textId="77777777" w:rsidR="00EB7011" w:rsidRPr="000D5ED2" w:rsidRDefault="00EB7011" w:rsidP="00341A44">
            <w:pPr>
              <w:spacing w:after="160" w:line="276" w:lineRule="auto"/>
              <w:rPr>
                <w:rFonts w:ascii="Gill Sans MT" w:hAnsi="Gill Sans MT"/>
                <w:b/>
                <w:bCs/>
              </w:rPr>
            </w:pPr>
            <w:r w:rsidRPr="000D5ED2">
              <w:rPr>
                <w:rFonts w:ascii="Gill Sans MT" w:hAnsi="Gill Sans MT"/>
                <w:b/>
                <w:bCs/>
              </w:rPr>
              <w:t>Score Pattern</w:t>
            </w:r>
          </w:p>
        </w:tc>
        <w:tc>
          <w:tcPr>
            <w:tcW w:w="0" w:type="auto"/>
            <w:hideMark/>
          </w:tcPr>
          <w:p w14:paraId="7248DF54" w14:textId="77777777" w:rsidR="00EB7011" w:rsidRPr="000D5ED2" w:rsidRDefault="00EB7011" w:rsidP="00341A44">
            <w:pPr>
              <w:spacing w:after="160" w:line="276" w:lineRule="auto"/>
              <w:rPr>
                <w:rFonts w:ascii="Gill Sans MT" w:hAnsi="Gill Sans MT"/>
                <w:b/>
                <w:bCs/>
              </w:rPr>
            </w:pPr>
            <w:r w:rsidRPr="000D5ED2">
              <w:rPr>
                <w:rFonts w:ascii="Gill Sans MT" w:hAnsi="Gill Sans MT"/>
                <w:b/>
                <w:bCs/>
              </w:rPr>
              <w:t>What It Suggests</w:t>
            </w:r>
          </w:p>
        </w:tc>
      </w:tr>
      <w:tr w:rsidR="00EB7011" w:rsidRPr="000D5ED2" w14:paraId="273D9A6D" w14:textId="77777777" w:rsidTr="00341A44">
        <w:tc>
          <w:tcPr>
            <w:tcW w:w="0" w:type="auto"/>
            <w:hideMark/>
          </w:tcPr>
          <w:p w14:paraId="2689B113" w14:textId="77777777" w:rsidR="00EB7011" w:rsidRPr="000D5ED2" w:rsidRDefault="00EB7011" w:rsidP="00341A44">
            <w:pPr>
              <w:spacing w:after="160" w:line="276" w:lineRule="auto"/>
              <w:rPr>
                <w:rFonts w:ascii="Gill Sans MT" w:hAnsi="Gill Sans MT"/>
              </w:rPr>
            </w:pPr>
            <w:r w:rsidRPr="000D5ED2">
              <w:rPr>
                <w:rFonts w:ascii="Gill Sans MT" w:hAnsi="Gill Sans MT"/>
              </w:rPr>
              <w:t>Institutional Harm with Low Resilience</w:t>
            </w:r>
          </w:p>
        </w:tc>
        <w:tc>
          <w:tcPr>
            <w:tcW w:w="0" w:type="auto"/>
            <w:hideMark/>
          </w:tcPr>
          <w:p w14:paraId="0B5AF7F4" w14:textId="77777777" w:rsidR="00EB7011" w:rsidRPr="000D5ED2" w:rsidRDefault="00EB7011" w:rsidP="00341A44">
            <w:pPr>
              <w:spacing w:after="160" w:line="276" w:lineRule="auto"/>
              <w:rPr>
                <w:rFonts w:ascii="Gill Sans MT" w:hAnsi="Gill Sans MT"/>
              </w:rPr>
            </w:pPr>
            <w:r w:rsidRPr="000D5ED2">
              <w:rPr>
                <w:rFonts w:ascii="Gill Sans MT" w:hAnsi="Gill Sans MT"/>
              </w:rPr>
              <w:t>Systemic Exclusion ≥40 and Resilience ≤25</w:t>
            </w:r>
          </w:p>
        </w:tc>
        <w:tc>
          <w:tcPr>
            <w:tcW w:w="0" w:type="auto"/>
            <w:hideMark/>
          </w:tcPr>
          <w:p w14:paraId="3BE6FB25" w14:textId="77777777" w:rsidR="00EB7011" w:rsidRPr="000D5ED2" w:rsidRDefault="00EB7011" w:rsidP="00341A44">
            <w:pPr>
              <w:spacing w:after="160" w:line="276" w:lineRule="auto"/>
              <w:rPr>
                <w:rFonts w:ascii="Gill Sans MT" w:hAnsi="Gill Sans MT"/>
              </w:rPr>
            </w:pPr>
            <w:r w:rsidRPr="000D5ED2">
              <w:rPr>
                <w:rFonts w:ascii="Gill Sans MT" w:hAnsi="Gill Sans MT"/>
              </w:rPr>
              <w:t>High mistrust of institutions with limited coping resources</w:t>
            </w:r>
          </w:p>
        </w:tc>
      </w:tr>
      <w:tr w:rsidR="00EB7011" w:rsidRPr="000D5ED2" w14:paraId="7CC85D46" w14:textId="77777777" w:rsidTr="00341A44">
        <w:tc>
          <w:tcPr>
            <w:tcW w:w="0" w:type="auto"/>
            <w:hideMark/>
          </w:tcPr>
          <w:p w14:paraId="015A153A" w14:textId="77777777" w:rsidR="00EB7011" w:rsidRPr="000D5ED2" w:rsidRDefault="00EB7011" w:rsidP="00341A44">
            <w:pPr>
              <w:spacing w:after="160" w:line="276" w:lineRule="auto"/>
              <w:rPr>
                <w:rFonts w:ascii="Gill Sans MT" w:hAnsi="Gill Sans MT"/>
              </w:rPr>
            </w:pPr>
            <w:r w:rsidRPr="000D5ED2">
              <w:rPr>
                <w:rFonts w:ascii="Gill Sans MT" w:hAnsi="Gill Sans MT"/>
              </w:rPr>
              <w:t>Survival Under Pressure</w:t>
            </w:r>
          </w:p>
        </w:tc>
        <w:tc>
          <w:tcPr>
            <w:tcW w:w="0" w:type="auto"/>
            <w:hideMark/>
          </w:tcPr>
          <w:p w14:paraId="77ED0C70" w14:textId="77777777" w:rsidR="00EB7011" w:rsidRPr="000D5ED2" w:rsidRDefault="00EB7011" w:rsidP="00341A44">
            <w:pPr>
              <w:spacing w:after="160" w:line="276" w:lineRule="auto"/>
              <w:rPr>
                <w:rFonts w:ascii="Gill Sans MT" w:hAnsi="Gill Sans MT"/>
              </w:rPr>
            </w:pPr>
            <w:r w:rsidRPr="000D5ED2">
              <w:rPr>
                <w:rFonts w:ascii="Gill Sans MT" w:hAnsi="Gill Sans MT"/>
              </w:rPr>
              <w:t>Survival Stress ≥40 and Resilience ≥36</w:t>
            </w:r>
          </w:p>
        </w:tc>
        <w:tc>
          <w:tcPr>
            <w:tcW w:w="0" w:type="auto"/>
            <w:hideMark/>
          </w:tcPr>
          <w:p w14:paraId="5C0311A2" w14:textId="77777777" w:rsidR="00EB7011" w:rsidRPr="000D5ED2" w:rsidRDefault="00EB7011" w:rsidP="00341A44">
            <w:pPr>
              <w:spacing w:after="160" w:line="276" w:lineRule="auto"/>
              <w:rPr>
                <w:rFonts w:ascii="Gill Sans MT" w:hAnsi="Gill Sans MT"/>
              </w:rPr>
            </w:pPr>
            <w:r w:rsidRPr="000D5ED2">
              <w:rPr>
                <w:rFonts w:ascii="Gill Sans MT" w:hAnsi="Gill Sans MT"/>
              </w:rPr>
              <w:t>Coping well despite ongoing racial stress; strength-based adaptation</w:t>
            </w:r>
          </w:p>
        </w:tc>
      </w:tr>
      <w:tr w:rsidR="00EB7011" w:rsidRPr="000D5ED2" w14:paraId="7CF9C3BB" w14:textId="77777777" w:rsidTr="00341A44">
        <w:tc>
          <w:tcPr>
            <w:tcW w:w="0" w:type="auto"/>
            <w:hideMark/>
          </w:tcPr>
          <w:p w14:paraId="2DAF3613" w14:textId="77777777" w:rsidR="00EB7011" w:rsidRPr="000D5ED2" w:rsidRDefault="00EB7011" w:rsidP="00341A44">
            <w:pPr>
              <w:spacing w:after="160" w:line="276" w:lineRule="auto"/>
              <w:rPr>
                <w:rFonts w:ascii="Gill Sans MT" w:hAnsi="Gill Sans MT"/>
              </w:rPr>
            </w:pPr>
            <w:r w:rsidRPr="000D5ED2">
              <w:rPr>
                <w:rFonts w:ascii="Gill Sans MT" w:hAnsi="Gill Sans MT"/>
              </w:rPr>
              <w:t>Inherited Trauma, Not Yet Activated</w:t>
            </w:r>
          </w:p>
        </w:tc>
        <w:tc>
          <w:tcPr>
            <w:tcW w:w="0" w:type="auto"/>
            <w:hideMark/>
          </w:tcPr>
          <w:p w14:paraId="35BA4341" w14:textId="77777777" w:rsidR="00EB7011" w:rsidRPr="000D5ED2" w:rsidRDefault="00EB7011" w:rsidP="00341A44">
            <w:pPr>
              <w:spacing w:after="160" w:line="276" w:lineRule="auto"/>
              <w:rPr>
                <w:rFonts w:ascii="Gill Sans MT" w:hAnsi="Gill Sans MT"/>
              </w:rPr>
            </w:pPr>
            <w:r w:rsidRPr="000D5ED2">
              <w:rPr>
                <w:rFonts w:ascii="Gill Sans MT" w:hAnsi="Gill Sans MT"/>
              </w:rPr>
              <w:t>Intergenerational Trauma ≥40 and Emotional Impact 26–39</w:t>
            </w:r>
          </w:p>
        </w:tc>
        <w:tc>
          <w:tcPr>
            <w:tcW w:w="0" w:type="auto"/>
            <w:hideMark/>
          </w:tcPr>
          <w:p w14:paraId="45B2F1F9" w14:textId="77777777" w:rsidR="00EB7011" w:rsidRPr="000D5ED2" w:rsidRDefault="00EB7011" w:rsidP="00341A44">
            <w:pPr>
              <w:spacing w:after="160" w:line="276" w:lineRule="auto"/>
              <w:rPr>
                <w:rFonts w:ascii="Gill Sans MT" w:hAnsi="Gill Sans MT"/>
              </w:rPr>
            </w:pPr>
            <w:r w:rsidRPr="000D5ED2">
              <w:rPr>
                <w:rFonts w:ascii="Gill Sans MT" w:hAnsi="Gill Sans MT"/>
              </w:rPr>
              <w:t>Carrying historical trauma that may not yet feel emotionally intense</w:t>
            </w:r>
          </w:p>
        </w:tc>
      </w:tr>
      <w:tr w:rsidR="00EB7011" w:rsidRPr="000D5ED2" w14:paraId="1CBE2F00" w14:textId="77777777" w:rsidTr="00341A44">
        <w:tc>
          <w:tcPr>
            <w:tcW w:w="0" w:type="auto"/>
            <w:hideMark/>
          </w:tcPr>
          <w:p w14:paraId="14D6DAD1" w14:textId="77777777" w:rsidR="00EB7011" w:rsidRPr="000D5ED2" w:rsidRDefault="00EB7011" w:rsidP="00341A44">
            <w:pPr>
              <w:spacing w:after="160" w:line="276" w:lineRule="auto"/>
              <w:rPr>
                <w:rFonts w:ascii="Gill Sans MT" w:hAnsi="Gill Sans MT"/>
              </w:rPr>
            </w:pPr>
            <w:r w:rsidRPr="000D5ED2">
              <w:rPr>
                <w:rFonts w:ascii="Gill Sans MT" w:hAnsi="Gill Sans MT"/>
              </w:rPr>
              <w:t>Emotional Suppression</w:t>
            </w:r>
          </w:p>
        </w:tc>
        <w:tc>
          <w:tcPr>
            <w:tcW w:w="0" w:type="auto"/>
            <w:hideMark/>
          </w:tcPr>
          <w:p w14:paraId="11953D66" w14:textId="77777777" w:rsidR="00EB7011" w:rsidRPr="000D5ED2" w:rsidRDefault="00EB7011" w:rsidP="00341A44">
            <w:pPr>
              <w:spacing w:after="160" w:line="276" w:lineRule="auto"/>
              <w:rPr>
                <w:rFonts w:ascii="Gill Sans MT" w:hAnsi="Gill Sans MT"/>
              </w:rPr>
            </w:pPr>
            <w:r w:rsidRPr="000D5ED2">
              <w:rPr>
                <w:rFonts w:ascii="Gill Sans MT" w:hAnsi="Gill Sans MT"/>
              </w:rPr>
              <w:t>Survival Stress ≥40 and Emotional Impact ≤20</w:t>
            </w:r>
          </w:p>
        </w:tc>
        <w:tc>
          <w:tcPr>
            <w:tcW w:w="0" w:type="auto"/>
            <w:hideMark/>
          </w:tcPr>
          <w:p w14:paraId="256131BF" w14:textId="77777777" w:rsidR="00EB7011" w:rsidRPr="000D5ED2" w:rsidRDefault="00EB7011" w:rsidP="00341A44">
            <w:pPr>
              <w:spacing w:after="160" w:line="276" w:lineRule="auto"/>
              <w:rPr>
                <w:rFonts w:ascii="Gill Sans MT" w:hAnsi="Gill Sans MT"/>
              </w:rPr>
            </w:pPr>
            <w:r w:rsidRPr="000D5ED2">
              <w:rPr>
                <w:rFonts w:ascii="Gill Sans MT" w:hAnsi="Gill Sans MT"/>
              </w:rPr>
              <w:t>Possible emotional numbing or avoidance; monitor for dissociative coping</w:t>
            </w:r>
          </w:p>
        </w:tc>
      </w:tr>
    </w:tbl>
    <w:p w14:paraId="127FA739" w14:textId="77777777" w:rsidR="00D702A6" w:rsidRDefault="00D702A6" w:rsidP="00EB7011">
      <w:pPr>
        <w:spacing w:line="276" w:lineRule="auto"/>
        <w:rPr>
          <w:rFonts w:ascii="Gill Sans MT" w:hAnsi="Gill Sans MT"/>
        </w:rPr>
      </w:pPr>
    </w:p>
    <w:p w14:paraId="471DD8D5" w14:textId="5A308588" w:rsidR="00EB7011" w:rsidRDefault="00EB7011" w:rsidP="00EB7011">
      <w:pPr>
        <w:spacing w:line="276" w:lineRule="auto"/>
        <w:rPr>
          <w:rFonts w:ascii="Gill Sans MT" w:hAnsi="Gill Sans MT"/>
        </w:rPr>
      </w:pPr>
      <w:r w:rsidRPr="009A262C">
        <w:rPr>
          <w:rFonts w:ascii="Gill Sans MT" w:hAnsi="Gill Sans MT"/>
        </w:rPr>
        <w:t>This approach enables nuanced case formulation and supports culturally responsive care.</w:t>
      </w:r>
    </w:p>
    <w:p w14:paraId="721FFD6D" w14:textId="77777777" w:rsidR="00712620" w:rsidRDefault="00712620" w:rsidP="00FB4E81">
      <w:pPr>
        <w:pStyle w:val="NoSpacing"/>
        <w:spacing w:line="276" w:lineRule="auto"/>
        <w:rPr>
          <w:sz w:val="16"/>
          <w:szCs w:val="16"/>
        </w:rPr>
      </w:pPr>
    </w:p>
    <w:p w14:paraId="25EBE1E6" w14:textId="27EF9DFC" w:rsidR="00737154" w:rsidRDefault="00EB7011" w:rsidP="00FB4E81">
      <w:pPr>
        <w:spacing w:line="276" w:lineRule="auto"/>
        <w:rPr>
          <w:rFonts w:ascii="Gill Sans MT" w:hAnsi="Gill Sans MT"/>
          <w:b/>
          <w:bCs/>
          <w:sz w:val="32"/>
          <w:szCs w:val="32"/>
        </w:rPr>
      </w:pPr>
      <w:r>
        <w:rPr>
          <w:rFonts w:ascii="Gill Sans MT" w:hAnsi="Gill Sans MT"/>
          <w:b/>
          <w:bCs/>
          <w:sz w:val="32"/>
          <w:szCs w:val="32"/>
        </w:rPr>
        <w:t>11</w:t>
      </w:r>
      <w:r w:rsidR="00712620">
        <w:rPr>
          <w:rFonts w:ascii="Gill Sans MT" w:hAnsi="Gill Sans MT"/>
          <w:b/>
          <w:bCs/>
          <w:sz w:val="32"/>
          <w:szCs w:val="32"/>
        </w:rPr>
        <w:t xml:space="preserve">. </w:t>
      </w:r>
      <w:r w:rsidR="00737154" w:rsidRPr="00737154">
        <w:rPr>
          <w:rFonts w:ascii="Gill Sans MT" w:hAnsi="Gill Sans MT"/>
          <w:b/>
          <w:bCs/>
          <w:sz w:val="32"/>
          <w:szCs w:val="32"/>
        </w:rPr>
        <w:t xml:space="preserve">Reference </w:t>
      </w:r>
    </w:p>
    <w:p w14:paraId="202544BB" w14:textId="7AF67A76" w:rsidR="008F24C8" w:rsidRPr="008F24C8" w:rsidRDefault="008F24C8" w:rsidP="00FB4E81">
      <w:pPr>
        <w:spacing w:line="276" w:lineRule="auto"/>
        <w:rPr>
          <w:rFonts w:ascii="Gill Sans MT" w:hAnsi="Gill Sans MT"/>
        </w:rPr>
      </w:pPr>
      <w:r w:rsidRPr="008F24C8">
        <w:rPr>
          <w:rFonts w:ascii="Gill Sans MT" w:hAnsi="Gill Sans MT"/>
        </w:rPr>
        <w:t xml:space="preserve">Alleyne, A. (2024). Black British help-seeking and emotional suppression: An interpretative phenomenological analysis. </w:t>
      </w:r>
      <w:r w:rsidRPr="008F24C8">
        <w:rPr>
          <w:rFonts w:ascii="Gill Sans MT" w:hAnsi="Gill Sans MT"/>
          <w:i/>
          <w:iCs/>
        </w:rPr>
        <w:t>Journal of Black Psychology, 50</w:t>
      </w:r>
      <w:r w:rsidRPr="008F24C8">
        <w:rPr>
          <w:rFonts w:ascii="Gill Sans MT" w:hAnsi="Gill Sans MT"/>
        </w:rPr>
        <w:t>(1), 22–39.</w:t>
      </w:r>
    </w:p>
    <w:p w14:paraId="50CA8D2E" w14:textId="77777777" w:rsidR="008F24C8" w:rsidRPr="008F24C8" w:rsidRDefault="008F24C8" w:rsidP="00FB4E81">
      <w:pPr>
        <w:spacing w:line="276" w:lineRule="auto"/>
        <w:rPr>
          <w:rFonts w:ascii="Gill Sans MT" w:hAnsi="Gill Sans MT"/>
        </w:rPr>
      </w:pPr>
      <w:r w:rsidRPr="008F24C8">
        <w:rPr>
          <w:rFonts w:ascii="Gill Sans MT" w:hAnsi="Gill Sans MT"/>
        </w:rPr>
        <w:t>Anderson, R. E., McKenny, M. C., &amp; Stevenson, H. C. (2019). RECAST theory and the UConn Racial/Ethnic Stress &amp; Trauma Survey (</w:t>
      </w:r>
      <w:proofErr w:type="spellStart"/>
      <w:r w:rsidRPr="008F24C8">
        <w:rPr>
          <w:rFonts w:ascii="Gill Sans MT" w:hAnsi="Gill Sans MT"/>
        </w:rPr>
        <w:t>UnRESTS</w:t>
      </w:r>
      <w:proofErr w:type="spellEnd"/>
      <w:r w:rsidRPr="008F24C8">
        <w:rPr>
          <w:rFonts w:ascii="Gill Sans MT" w:hAnsi="Gill Sans MT"/>
        </w:rPr>
        <w:t xml:space="preserve">): Measuring racial trauma in emerging adults. </w:t>
      </w:r>
      <w:r w:rsidRPr="008F24C8">
        <w:rPr>
          <w:rFonts w:ascii="Gill Sans MT" w:hAnsi="Gill Sans MT"/>
          <w:i/>
          <w:iCs/>
        </w:rPr>
        <w:t>University of Connecticut</w:t>
      </w:r>
      <w:r w:rsidRPr="008F24C8">
        <w:rPr>
          <w:rFonts w:ascii="Gill Sans MT" w:hAnsi="Gill Sans MT"/>
        </w:rPr>
        <w:t>.</w:t>
      </w:r>
    </w:p>
    <w:p w14:paraId="0596EFFC"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Arday, J. (2021). Dismantling power and privilege in British higher education: Race, curriculum and epistemic exclusion. </w:t>
      </w:r>
      <w:r w:rsidRPr="008F24C8">
        <w:rPr>
          <w:rFonts w:ascii="Gill Sans MT" w:hAnsi="Gill Sans MT"/>
          <w:i/>
          <w:iCs/>
        </w:rPr>
        <w:t>British Journal of Sociology of Education, 42</w:t>
      </w:r>
      <w:r w:rsidRPr="008F24C8">
        <w:rPr>
          <w:rFonts w:ascii="Gill Sans MT" w:hAnsi="Gill Sans MT"/>
        </w:rPr>
        <w:t>(5–6), 798–815.</w:t>
      </w:r>
    </w:p>
    <w:p w14:paraId="0A815AF6"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Aspinall, P. J. (2021). The BAME acronym and its implications for ethnic group categorisation in the UK. </w:t>
      </w:r>
      <w:r w:rsidRPr="008F24C8">
        <w:rPr>
          <w:rFonts w:ascii="Gill Sans MT" w:hAnsi="Gill Sans MT"/>
          <w:i/>
          <w:iCs/>
        </w:rPr>
        <w:t>Ethnic and Racial Studies, 44</w:t>
      </w:r>
      <w:r w:rsidRPr="008F24C8">
        <w:rPr>
          <w:rFonts w:ascii="Gill Sans MT" w:hAnsi="Gill Sans MT"/>
        </w:rPr>
        <w:t xml:space="preserve">(6), 1021–1030. </w:t>
      </w:r>
      <w:hyperlink r:id="rId8" w:history="1">
        <w:r w:rsidRPr="008F24C8">
          <w:rPr>
            <w:rStyle w:val="Hyperlink"/>
            <w:rFonts w:ascii="Gill Sans MT" w:hAnsi="Gill Sans MT"/>
          </w:rPr>
          <w:t>https://doi.org/10.1080/01419870.2020.1851389</w:t>
        </w:r>
      </w:hyperlink>
    </w:p>
    <w:p w14:paraId="1F8B3CA0"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Bakare, L. (2024). The problem with BAME: Rethinking racial categorisation in Britain. </w:t>
      </w:r>
      <w:r w:rsidRPr="008F24C8">
        <w:rPr>
          <w:rFonts w:ascii="Gill Sans MT" w:hAnsi="Gill Sans MT"/>
          <w:i/>
          <w:iCs/>
        </w:rPr>
        <w:t>Race &amp; Class, 65</w:t>
      </w:r>
      <w:r w:rsidRPr="008F24C8">
        <w:rPr>
          <w:rFonts w:ascii="Gill Sans MT" w:hAnsi="Gill Sans MT"/>
        </w:rPr>
        <w:t>(1), 45–62.</w:t>
      </w:r>
    </w:p>
    <w:p w14:paraId="3BA194E0"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Bryant-Davis, T., &amp; Ocampo, C. (2005). Racist incident-based trauma. </w:t>
      </w:r>
      <w:r w:rsidRPr="008F24C8">
        <w:rPr>
          <w:rFonts w:ascii="Gill Sans MT" w:hAnsi="Gill Sans MT"/>
          <w:i/>
          <w:iCs/>
        </w:rPr>
        <w:t xml:space="preserve">The </w:t>
      </w:r>
      <w:proofErr w:type="spellStart"/>
      <w:r w:rsidRPr="008F24C8">
        <w:rPr>
          <w:rFonts w:ascii="Gill Sans MT" w:hAnsi="Gill Sans MT"/>
          <w:i/>
          <w:iCs/>
        </w:rPr>
        <w:t>Counseling</w:t>
      </w:r>
      <w:proofErr w:type="spellEnd"/>
      <w:r w:rsidRPr="008F24C8">
        <w:rPr>
          <w:rFonts w:ascii="Gill Sans MT" w:hAnsi="Gill Sans MT"/>
          <w:i/>
          <w:iCs/>
        </w:rPr>
        <w:t xml:space="preserve"> Psychologist, 33</w:t>
      </w:r>
      <w:r w:rsidRPr="008F24C8">
        <w:rPr>
          <w:rFonts w:ascii="Gill Sans MT" w:hAnsi="Gill Sans MT"/>
        </w:rPr>
        <w:t xml:space="preserve">(4), 479–500. </w:t>
      </w:r>
      <w:hyperlink r:id="rId9" w:history="1">
        <w:r w:rsidRPr="008F24C8">
          <w:rPr>
            <w:rStyle w:val="Hyperlink"/>
            <w:rFonts w:ascii="Gill Sans MT" w:hAnsi="Gill Sans MT"/>
          </w:rPr>
          <w:t>https://doi.org/10.1177/0011000005276465</w:t>
        </w:r>
      </w:hyperlink>
    </w:p>
    <w:p w14:paraId="40D92B8B"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Carter, R. T. (2007). Racism and psychological and emotional injury: Recognizing and assessing race-based traumatic stress. </w:t>
      </w:r>
      <w:r w:rsidRPr="008F24C8">
        <w:rPr>
          <w:rFonts w:ascii="Gill Sans MT" w:hAnsi="Gill Sans MT"/>
          <w:i/>
          <w:iCs/>
        </w:rPr>
        <w:t xml:space="preserve">The </w:t>
      </w:r>
      <w:proofErr w:type="spellStart"/>
      <w:r w:rsidRPr="008F24C8">
        <w:rPr>
          <w:rFonts w:ascii="Gill Sans MT" w:hAnsi="Gill Sans MT"/>
          <w:i/>
          <w:iCs/>
        </w:rPr>
        <w:t>Counseling</w:t>
      </w:r>
      <w:proofErr w:type="spellEnd"/>
      <w:r w:rsidRPr="008F24C8">
        <w:rPr>
          <w:rFonts w:ascii="Gill Sans MT" w:hAnsi="Gill Sans MT"/>
          <w:i/>
          <w:iCs/>
        </w:rPr>
        <w:t xml:space="preserve"> Psychologist, 35</w:t>
      </w:r>
      <w:r w:rsidRPr="008F24C8">
        <w:rPr>
          <w:rFonts w:ascii="Gill Sans MT" w:hAnsi="Gill Sans MT"/>
        </w:rPr>
        <w:t xml:space="preserve">(1), 13–105. </w:t>
      </w:r>
      <w:hyperlink r:id="rId10" w:history="1">
        <w:r w:rsidRPr="008F24C8">
          <w:rPr>
            <w:rStyle w:val="Hyperlink"/>
            <w:rFonts w:ascii="Gill Sans MT" w:hAnsi="Gill Sans MT"/>
          </w:rPr>
          <w:t>https://doi.org/10.1177/0011000006292033</w:t>
        </w:r>
      </w:hyperlink>
    </w:p>
    <w:p w14:paraId="666848FD"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Carter, R. T., Forsyth, J. M., </w:t>
      </w:r>
      <w:proofErr w:type="spellStart"/>
      <w:r w:rsidRPr="008F24C8">
        <w:rPr>
          <w:rFonts w:ascii="Gill Sans MT" w:hAnsi="Gill Sans MT"/>
        </w:rPr>
        <w:t>Mazzula</w:t>
      </w:r>
      <w:proofErr w:type="spellEnd"/>
      <w:r w:rsidRPr="008F24C8">
        <w:rPr>
          <w:rFonts w:ascii="Gill Sans MT" w:hAnsi="Gill Sans MT"/>
        </w:rPr>
        <w:t xml:space="preserve">, S. L., &amp; Williams, B. (2013). Racial discrimination and race-based traumatic stress: An examination of the biopsychosocial model of race-based stress. </w:t>
      </w:r>
      <w:r w:rsidRPr="008F24C8">
        <w:rPr>
          <w:rFonts w:ascii="Gill Sans MT" w:hAnsi="Gill Sans MT"/>
          <w:i/>
          <w:iCs/>
        </w:rPr>
        <w:t xml:space="preserve">Journal of Multicultural </w:t>
      </w:r>
      <w:proofErr w:type="spellStart"/>
      <w:r w:rsidRPr="008F24C8">
        <w:rPr>
          <w:rFonts w:ascii="Gill Sans MT" w:hAnsi="Gill Sans MT"/>
          <w:i/>
          <w:iCs/>
        </w:rPr>
        <w:t>Counseling</w:t>
      </w:r>
      <w:proofErr w:type="spellEnd"/>
      <w:r w:rsidRPr="008F24C8">
        <w:rPr>
          <w:rFonts w:ascii="Gill Sans MT" w:hAnsi="Gill Sans MT"/>
          <w:i/>
          <w:iCs/>
        </w:rPr>
        <w:t xml:space="preserve"> and Development, 41</w:t>
      </w:r>
      <w:r w:rsidRPr="008F24C8">
        <w:rPr>
          <w:rFonts w:ascii="Gill Sans MT" w:hAnsi="Gill Sans MT"/>
        </w:rPr>
        <w:t xml:space="preserve">(1), 2–20. </w:t>
      </w:r>
      <w:hyperlink r:id="rId11" w:history="1">
        <w:r w:rsidRPr="008F24C8">
          <w:rPr>
            <w:rStyle w:val="Hyperlink"/>
            <w:rFonts w:ascii="Gill Sans MT" w:hAnsi="Gill Sans MT"/>
          </w:rPr>
          <w:t>https://doi.org/10.1002/j.2161-1912.2013.00023.x</w:t>
        </w:r>
      </w:hyperlink>
    </w:p>
    <w:p w14:paraId="49C4F56A" w14:textId="77777777" w:rsidR="008F24C8" w:rsidRPr="008F24C8" w:rsidRDefault="008F24C8" w:rsidP="00FB4E81">
      <w:pPr>
        <w:spacing w:line="276" w:lineRule="auto"/>
        <w:rPr>
          <w:rFonts w:ascii="Gill Sans MT" w:hAnsi="Gill Sans MT"/>
        </w:rPr>
      </w:pPr>
      <w:r w:rsidRPr="008F24C8">
        <w:rPr>
          <w:rFonts w:ascii="Gill Sans MT" w:hAnsi="Gill Sans MT"/>
        </w:rPr>
        <w:lastRenderedPageBreak/>
        <w:t xml:space="preserve">Carter, R. T., &amp; Pieterse, A. L. (2020). </w:t>
      </w:r>
      <w:r w:rsidRPr="008F24C8">
        <w:rPr>
          <w:rFonts w:ascii="Gill Sans MT" w:hAnsi="Gill Sans MT"/>
          <w:i/>
          <w:iCs/>
        </w:rPr>
        <w:t>Measuring the effects of racism: Guidelines for the assessment and treatment of race-based traumatic stress injury</w:t>
      </w:r>
      <w:r w:rsidRPr="008F24C8">
        <w:rPr>
          <w:rFonts w:ascii="Gill Sans MT" w:hAnsi="Gill Sans MT"/>
        </w:rPr>
        <w:t>. Columbia University Press.</w:t>
      </w:r>
    </w:p>
    <w:p w14:paraId="2407C5BE" w14:textId="77777777" w:rsidR="008F24C8" w:rsidRPr="008F24C8" w:rsidRDefault="008F24C8" w:rsidP="00FB4E81">
      <w:pPr>
        <w:spacing w:line="276" w:lineRule="auto"/>
        <w:rPr>
          <w:rFonts w:ascii="Gill Sans MT" w:hAnsi="Gill Sans MT"/>
        </w:rPr>
      </w:pPr>
      <w:proofErr w:type="spellStart"/>
      <w:r w:rsidRPr="008F24C8">
        <w:rPr>
          <w:rFonts w:ascii="Gill Sans MT" w:hAnsi="Gill Sans MT"/>
        </w:rPr>
        <w:t>Cénat</w:t>
      </w:r>
      <w:proofErr w:type="spellEnd"/>
      <w:r w:rsidRPr="008F24C8">
        <w:rPr>
          <w:rFonts w:ascii="Gill Sans MT" w:hAnsi="Gill Sans MT"/>
        </w:rPr>
        <w:t xml:space="preserve">, J. M. (2023). Complex racial trauma: Theory, definition, and assessment. </w:t>
      </w:r>
      <w:r w:rsidRPr="008F24C8">
        <w:rPr>
          <w:rFonts w:ascii="Gill Sans MT" w:hAnsi="Gill Sans MT"/>
          <w:i/>
          <w:iCs/>
        </w:rPr>
        <w:t>Journal of Traumatic Stress, 36</w:t>
      </w:r>
      <w:r w:rsidRPr="008F24C8">
        <w:rPr>
          <w:rFonts w:ascii="Gill Sans MT" w:hAnsi="Gill Sans MT"/>
        </w:rPr>
        <w:t xml:space="preserve">(1), 5–17. </w:t>
      </w:r>
      <w:hyperlink r:id="rId12" w:history="1">
        <w:r w:rsidRPr="008F24C8">
          <w:rPr>
            <w:rStyle w:val="Hyperlink"/>
            <w:rFonts w:ascii="Gill Sans MT" w:hAnsi="Gill Sans MT"/>
          </w:rPr>
          <w:t>https://doi.org/10.1002/jts.22891</w:t>
        </w:r>
      </w:hyperlink>
    </w:p>
    <w:p w14:paraId="5939C285"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Connor, K. M., &amp; Davidson, J. R. T. (2003). Development of a new resilience scale: The Connor-Davidson Resilience Scale (CD-RISC). </w:t>
      </w:r>
      <w:r w:rsidRPr="008F24C8">
        <w:rPr>
          <w:rFonts w:ascii="Gill Sans MT" w:hAnsi="Gill Sans MT"/>
          <w:i/>
          <w:iCs/>
        </w:rPr>
        <w:t>Depression and Anxiety, 18</w:t>
      </w:r>
      <w:r w:rsidRPr="008F24C8">
        <w:rPr>
          <w:rFonts w:ascii="Gill Sans MT" w:hAnsi="Gill Sans MT"/>
        </w:rPr>
        <w:t xml:space="preserve">(2), 76–82. </w:t>
      </w:r>
      <w:hyperlink r:id="rId13" w:history="1">
        <w:r w:rsidRPr="008F24C8">
          <w:rPr>
            <w:rStyle w:val="Hyperlink"/>
            <w:rFonts w:ascii="Gill Sans MT" w:hAnsi="Gill Sans MT"/>
          </w:rPr>
          <w:t>https://doi.org/10.1002/da.10113</w:t>
        </w:r>
      </w:hyperlink>
    </w:p>
    <w:p w14:paraId="17E84083"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Devonport, T. J., Nicholls, W., &amp; Fullerton, C. (2023). Mental health inequalities in Black African, Black Caribbean and Black-mixed populations in the UK: A systematic review. </w:t>
      </w:r>
      <w:r w:rsidRPr="008F24C8">
        <w:rPr>
          <w:rFonts w:ascii="Gill Sans MT" w:hAnsi="Gill Sans MT"/>
          <w:i/>
          <w:iCs/>
        </w:rPr>
        <w:t>Ethnicity &amp; Health, 28</w:t>
      </w:r>
      <w:r w:rsidRPr="008F24C8">
        <w:rPr>
          <w:rFonts w:ascii="Gill Sans MT" w:hAnsi="Gill Sans MT"/>
        </w:rPr>
        <w:t xml:space="preserve">(2), 123–145. </w:t>
      </w:r>
      <w:hyperlink r:id="rId14" w:history="1">
        <w:r w:rsidRPr="008F24C8">
          <w:rPr>
            <w:rStyle w:val="Hyperlink"/>
            <w:rFonts w:ascii="Gill Sans MT" w:hAnsi="Gill Sans MT"/>
          </w:rPr>
          <w:t>https://doi.org/10.1080/13557858.2022.2046281</w:t>
        </w:r>
      </w:hyperlink>
    </w:p>
    <w:p w14:paraId="43FF8D0C"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Felitti, V. J., Anda, R. F., Nordenberg, D., Williamson, D. F., Spitz, A. M., Edwards, V., Koss, M. P., &amp; Marks, J. S. (1998). Relationship of childhood abuse and household dysfunction to many of the leading causes of death in adults: The Adverse Childhood Experiences (ACE) Study. </w:t>
      </w:r>
      <w:r w:rsidRPr="008F24C8">
        <w:rPr>
          <w:rFonts w:ascii="Gill Sans MT" w:hAnsi="Gill Sans MT"/>
          <w:i/>
          <w:iCs/>
        </w:rPr>
        <w:t>American Journal of Preventive Medicine, 14</w:t>
      </w:r>
      <w:r w:rsidRPr="008F24C8">
        <w:rPr>
          <w:rFonts w:ascii="Gill Sans MT" w:hAnsi="Gill Sans MT"/>
        </w:rPr>
        <w:t xml:space="preserve">(4), 245–258. </w:t>
      </w:r>
      <w:hyperlink r:id="rId15" w:history="1">
        <w:r w:rsidRPr="008F24C8">
          <w:rPr>
            <w:rStyle w:val="Hyperlink"/>
            <w:rFonts w:ascii="Gill Sans MT" w:hAnsi="Gill Sans MT"/>
          </w:rPr>
          <w:t>https://doi.org/10.1016/S0749-3797(98)00017-8</w:t>
        </w:r>
      </w:hyperlink>
    </w:p>
    <w:p w14:paraId="3DD2ECB0"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Fernando, S. (2017). </w:t>
      </w:r>
      <w:r w:rsidRPr="008F24C8">
        <w:rPr>
          <w:rFonts w:ascii="Gill Sans MT" w:hAnsi="Gill Sans MT"/>
          <w:i/>
          <w:iCs/>
        </w:rPr>
        <w:t>Institutional racism in psychiatry and clinical psychology: Race matters in mental health</w:t>
      </w:r>
      <w:r w:rsidRPr="008F24C8">
        <w:rPr>
          <w:rFonts w:ascii="Gill Sans MT" w:hAnsi="Gill Sans MT"/>
        </w:rPr>
        <w:t>. Palgrave Macmillan.</w:t>
      </w:r>
    </w:p>
    <w:p w14:paraId="5FCEE1EB"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Fricker, M. (2007). </w:t>
      </w:r>
      <w:r w:rsidRPr="008F24C8">
        <w:rPr>
          <w:rFonts w:ascii="Gill Sans MT" w:hAnsi="Gill Sans MT"/>
          <w:i/>
          <w:iCs/>
        </w:rPr>
        <w:t>Epistemic injustice: Power and the ethics of knowing</w:t>
      </w:r>
      <w:r w:rsidRPr="008F24C8">
        <w:rPr>
          <w:rFonts w:ascii="Gill Sans MT" w:hAnsi="Gill Sans MT"/>
        </w:rPr>
        <w:t>. Oxford University Press.</w:t>
      </w:r>
    </w:p>
    <w:p w14:paraId="1EBDE73D"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Goldberg, D. P. (1972). </w:t>
      </w:r>
      <w:r w:rsidRPr="008F24C8">
        <w:rPr>
          <w:rFonts w:ascii="Gill Sans MT" w:hAnsi="Gill Sans MT"/>
          <w:i/>
          <w:iCs/>
        </w:rPr>
        <w:t>The detection of psychiatric illness by questionnaire</w:t>
      </w:r>
      <w:r w:rsidRPr="008F24C8">
        <w:rPr>
          <w:rFonts w:ascii="Gill Sans MT" w:hAnsi="Gill Sans MT"/>
        </w:rPr>
        <w:t>. Oxford University Press.</w:t>
      </w:r>
    </w:p>
    <w:p w14:paraId="765CD417"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Helms, J. E. (1990). </w:t>
      </w:r>
      <w:r w:rsidRPr="008F24C8">
        <w:rPr>
          <w:rFonts w:ascii="Gill Sans MT" w:hAnsi="Gill Sans MT"/>
          <w:i/>
          <w:iCs/>
        </w:rPr>
        <w:t>Black and White racial identity: Theory, research, and practice</w:t>
      </w:r>
      <w:r w:rsidRPr="008F24C8">
        <w:rPr>
          <w:rFonts w:ascii="Gill Sans MT" w:hAnsi="Gill Sans MT"/>
        </w:rPr>
        <w:t>. Greenwood Press.</w:t>
      </w:r>
    </w:p>
    <w:p w14:paraId="62417AC1"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Helms, J. E., Nicolas, G., &amp; Green, C. E. (2010). Racist incident-based trauma. </w:t>
      </w:r>
      <w:r w:rsidRPr="008F24C8">
        <w:rPr>
          <w:rFonts w:ascii="Gill Sans MT" w:hAnsi="Gill Sans MT"/>
          <w:i/>
          <w:iCs/>
        </w:rPr>
        <w:t xml:space="preserve">The </w:t>
      </w:r>
      <w:proofErr w:type="spellStart"/>
      <w:r w:rsidRPr="008F24C8">
        <w:rPr>
          <w:rFonts w:ascii="Gill Sans MT" w:hAnsi="Gill Sans MT"/>
          <w:i/>
          <w:iCs/>
        </w:rPr>
        <w:t>Counseling</w:t>
      </w:r>
      <w:proofErr w:type="spellEnd"/>
      <w:r w:rsidRPr="008F24C8">
        <w:rPr>
          <w:rFonts w:ascii="Gill Sans MT" w:hAnsi="Gill Sans MT"/>
          <w:i/>
          <w:iCs/>
        </w:rPr>
        <w:t xml:space="preserve"> Psychologist, 38</w:t>
      </w:r>
      <w:r w:rsidRPr="008F24C8">
        <w:rPr>
          <w:rFonts w:ascii="Gill Sans MT" w:hAnsi="Gill Sans MT"/>
        </w:rPr>
        <w:t xml:space="preserve">(2), 143–176. </w:t>
      </w:r>
      <w:hyperlink r:id="rId16" w:history="1">
        <w:r w:rsidRPr="008F24C8">
          <w:rPr>
            <w:rStyle w:val="Hyperlink"/>
            <w:rFonts w:ascii="Gill Sans MT" w:hAnsi="Gill Sans MT"/>
          </w:rPr>
          <w:t>https://doi.org/10.1177/0011000009351930</w:t>
        </w:r>
      </w:hyperlink>
    </w:p>
    <w:p w14:paraId="050F1675"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Khan, O. (2020). </w:t>
      </w:r>
      <w:r w:rsidRPr="008F24C8">
        <w:rPr>
          <w:rFonts w:ascii="Gill Sans MT" w:hAnsi="Gill Sans MT"/>
          <w:i/>
          <w:iCs/>
        </w:rPr>
        <w:t xml:space="preserve">Overexposed and </w:t>
      </w:r>
      <w:proofErr w:type="spellStart"/>
      <w:r w:rsidRPr="008F24C8">
        <w:rPr>
          <w:rFonts w:ascii="Gill Sans MT" w:hAnsi="Gill Sans MT"/>
          <w:i/>
          <w:iCs/>
        </w:rPr>
        <w:t>underprotected</w:t>
      </w:r>
      <w:proofErr w:type="spellEnd"/>
      <w:r w:rsidRPr="008F24C8">
        <w:rPr>
          <w:rFonts w:ascii="Gill Sans MT" w:hAnsi="Gill Sans MT"/>
          <w:i/>
          <w:iCs/>
        </w:rPr>
        <w:t>: The devastating impact of COVID-19 on Black and minority ethnic communities in Britain</w:t>
      </w:r>
      <w:r w:rsidRPr="008F24C8">
        <w:rPr>
          <w:rFonts w:ascii="Gill Sans MT" w:hAnsi="Gill Sans MT"/>
        </w:rPr>
        <w:t>. Runnymede Trust.</w:t>
      </w:r>
    </w:p>
    <w:p w14:paraId="2EDD3FE6"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Lovibond, S. H., &amp; Lovibond, P. F. (1995). </w:t>
      </w:r>
      <w:r w:rsidRPr="008F24C8">
        <w:rPr>
          <w:rFonts w:ascii="Gill Sans MT" w:hAnsi="Gill Sans MT"/>
          <w:i/>
          <w:iCs/>
        </w:rPr>
        <w:t>Manual for the Depression Anxiety Stress Scales (DASS)</w:t>
      </w:r>
      <w:r w:rsidRPr="008F24C8">
        <w:rPr>
          <w:rFonts w:ascii="Gill Sans MT" w:hAnsi="Gill Sans MT"/>
        </w:rPr>
        <w:t>. Psychology Foundation of Australia.</w:t>
      </w:r>
    </w:p>
    <w:p w14:paraId="78E939A3"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Mantovani, N., &amp; Smith, R. (2021). Racial trauma and the invisibility of Black children in UK mental health services. </w:t>
      </w:r>
      <w:r w:rsidRPr="008F24C8">
        <w:rPr>
          <w:rFonts w:ascii="Gill Sans MT" w:hAnsi="Gill Sans MT"/>
          <w:i/>
          <w:iCs/>
        </w:rPr>
        <w:t>Child &amp; Youth Services, 42</w:t>
      </w:r>
      <w:r w:rsidRPr="008F24C8">
        <w:rPr>
          <w:rFonts w:ascii="Gill Sans MT" w:hAnsi="Gill Sans MT"/>
        </w:rPr>
        <w:t xml:space="preserve">(1), 1–18. </w:t>
      </w:r>
      <w:hyperlink r:id="rId17" w:history="1">
        <w:r w:rsidRPr="008F24C8">
          <w:rPr>
            <w:rStyle w:val="Hyperlink"/>
            <w:rFonts w:ascii="Gill Sans MT" w:hAnsi="Gill Sans MT"/>
          </w:rPr>
          <w:t>https://doi.org/10.1080/0145935X.2021.1885980</w:t>
        </w:r>
      </w:hyperlink>
    </w:p>
    <w:p w14:paraId="26550F50"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Phinney, J. S., &amp; Ong, A. D. (2007). </w:t>
      </w:r>
      <w:r w:rsidRPr="008F24C8">
        <w:rPr>
          <w:rFonts w:ascii="Gill Sans MT" w:hAnsi="Gill Sans MT"/>
          <w:i/>
          <w:iCs/>
        </w:rPr>
        <w:t>Multigroup Ethnic Identity Measure–Revised (MEIM-R)</w:t>
      </w:r>
      <w:r w:rsidRPr="008F24C8">
        <w:rPr>
          <w:rFonts w:ascii="Gill Sans MT" w:hAnsi="Gill Sans MT"/>
        </w:rPr>
        <w:t>. Unpublished manuscript, University of California, Los Angeles.</w:t>
      </w:r>
    </w:p>
    <w:p w14:paraId="28393586"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Race Equality Foundation. (2022). </w:t>
      </w:r>
      <w:r w:rsidRPr="008F24C8">
        <w:rPr>
          <w:rFonts w:ascii="Gill Sans MT" w:hAnsi="Gill Sans MT"/>
          <w:i/>
          <w:iCs/>
        </w:rPr>
        <w:t>Mental health and Black communities: Evidence and policy review</w:t>
      </w:r>
      <w:r w:rsidRPr="008F24C8">
        <w:rPr>
          <w:rFonts w:ascii="Gill Sans MT" w:hAnsi="Gill Sans MT"/>
        </w:rPr>
        <w:t xml:space="preserve">. </w:t>
      </w:r>
      <w:hyperlink r:id="rId18" w:history="1">
        <w:r w:rsidRPr="008F24C8">
          <w:rPr>
            <w:rStyle w:val="Hyperlink"/>
            <w:rFonts w:ascii="Gill Sans MT" w:hAnsi="Gill Sans MT"/>
          </w:rPr>
          <w:t>https://raceequalityfoundation.org.uk</w:t>
        </w:r>
      </w:hyperlink>
    </w:p>
    <w:p w14:paraId="35C717C4"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Reid, L. D., &amp; Radhakrishnan, P. (2003). Race matters: The relation between race and general campus climate. </w:t>
      </w:r>
      <w:r w:rsidRPr="008F24C8">
        <w:rPr>
          <w:rFonts w:ascii="Gill Sans MT" w:hAnsi="Gill Sans MT"/>
          <w:i/>
          <w:iCs/>
        </w:rPr>
        <w:t>Cultural Diversity and Ethnic Minority Psychology, 9</w:t>
      </w:r>
      <w:r w:rsidRPr="008F24C8">
        <w:rPr>
          <w:rFonts w:ascii="Gill Sans MT" w:hAnsi="Gill Sans MT"/>
        </w:rPr>
        <w:t xml:space="preserve">(3), 263–275. </w:t>
      </w:r>
      <w:hyperlink r:id="rId19" w:history="1">
        <w:r w:rsidRPr="008F24C8">
          <w:rPr>
            <w:rStyle w:val="Hyperlink"/>
            <w:rFonts w:ascii="Gill Sans MT" w:hAnsi="Gill Sans MT"/>
          </w:rPr>
          <w:t>https://doi.org/10.1037/1099-9809.9.3.263</w:t>
        </w:r>
      </w:hyperlink>
    </w:p>
    <w:p w14:paraId="31E79BFC" w14:textId="77777777" w:rsidR="008F24C8" w:rsidRPr="008F24C8" w:rsidRDefault="008F24C8" w:rsidP="00FB4E81">
      <w:pPr>
        <w:spacing w:line="276" w:lineRule="auto"/>
        <w:rPr>
          <w:rFonts w:ascii="Gill Sans MT" w:hAnsi="Gill Sans MT"/>
        </w:rPr>
      </w:pPr>
      <w:r w:rsidRPr="008F24C8">
        <w:rPr>
          <w:rFonts w:ascii="Gill Sans MT" w:hAnsi="Gill Sans MT"/>
        </w:rPr>
        <w:lastRenderedPageBreak/>
        <w:t xml:space="preserve">Samuel, L., &amp; Simonds, L. (2025). Therapeutic silencing and racialised disengagement: Black clients’ experiences in UK mental health services. </w:t>
      </w:r>
      <w:r w:rsidRPr="008F24C8">
        <w:rPr>
          <w:rFonts w:ascii="Gill Sans MT" w:hAnsi="Gill Sans MT"/>
          <w:i/>
          <w:iCs/>
        </w:rPr>
        <w:t>Psychology and Psychotherapy: Theory, Research and Practice, 98</w:t>
      </w:r>
      <w:r w:rsidRPr="008F24C8">
        <w:rPr>
          <w:rFonts w:ascii="Gill Sans MT" w:hAnsi="Gill Sans MT"/>
        </w:rPr>
        <w:t>(1), 45–62.</w:t>
      </w:r>
    </w:p>
    <w:p w14:paraId="1D57EDF6"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Smith, C. P., &amp; Freyd, J. J. (2014). Institutional betrayal. </w:t>
      </w:r>
      <w:r w:rsidRPr="008F24C8">
        <w:rPr>
          <w:rFonts w:ascii="Gill Sans MT" w:hAnsi="Gill Sans MT"/>
          <w:i/>
          <w:iCs/>
        </w:rPr>
        <w:t>American Psychologist, 69</w:t>
      </w:r>
      <w:r w:rsidRPr="008F24C8">
        <w:rPr>
          <w:rFonts w:ascii="Gill Sans MT" w:hAnsi="Gill Sans MT"/>
        </w:rPr>
        <w:t xml:space="preserve">(6), 575–587. </w:t>
      </w:r>
      <w:hyperlink r:id="rId20" w:history="1">
        <w:r w:rsidRPr="008F24C8">
          <w:rPr>
            <w:rStyle w:val="Hyperlink"/>
            <w:rFonts w:ascii="Gill Sans MT" w:hAnsi="Gill Sans MT"/>
          </w:rPr>
          <w:t>https://doi.org/10.1037/a0037564</w:t>
        </w:r>
      </w:hyperlink>
    </w:p>
    <w:p w14:paraId="5150C0EC"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UK Trauma Council. (2021). </w:t>
      </w:r>
      <w:r w:rsidRPr="008F24C8">
        <w:rPr>
          <w:rFonts w:ascii="Gill Sans MT" w:hAnsi="Gill Sans MT"/>
          <w:i/>
          <w:iCs/>
        </w:rPr>
        <w:t>Racial trauma and the mental health of children and young people</w:t>
      </w:r>
      <w:r w:rsidRPr="008F24C8">
        <w:rPr>
          <w:rFonts w:ascii="Gill Sans MT" w:hAnsi="Gill Sans MT"/>
        </w:rPr>
        <w:t xml:space="preserve">. </w:t>
      </w:r>
      <w:hyperlink r:id="rId21" w:history="1">
        <w:r w:rsidRPr="008F24C8">
          <w:rPr>
            <w:rStyle w:val="Hyperlink"/>
            <w:rFonts w:ascii="Gill Sans MT" w:hAnsi="Gill Sans MT"/>
          </w:rPr>
          <w:t>https://uktraumacouncil.org</w:t>
        </w:r>
      </w:hyperlink>
    </w:p>
    <w:p w14:paraId="2205ED4F"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Utsey, S. O., &amp; </w:t>
      </w:r>
      <w:proofErr w:type="spellStart"/>
      <w:r w:rsidRPr="008F24C8">
        <w:rPr>
          <w:rFonts w:ascii="Gill Sans MT" w:hAnsi="Gill Sans MT"/>
        </w:rPr>
        <w:t>Ponterotto</w:t>
      </w:r>
      <w:proofErr w:type="spellEnd"/>
      <w:r w:rsidRPr="008F24C8">
        <w:rPr>
          <w:rFonts w:ascii="Gill Sans MT" w:hAnsi="Gill Sans MT"/>
        </w:rPr>
        <w:t xml:space="preserve">, J. G. (1996). Development and validation of the Index of Race-Related Stress (IRRS). </w:t>
      </w:r>
      <w:r w:rsidRPr="008F24C8">
        <w:rPr>
          <w:rFonts w:ascii="Gill Sans MT" w:hAnsi="Gill Sans MT"/>
          <w:i/>
          <w:iCs/>
        </w:rPr>
        <w:t xml:space="preserve">Journal of </w:t>
      </w:r>
      <w:proofErr w:type="spellStart"/>
      <w:r w:rsidRPr="008F24C8">
        <w:rPr>
          <w:rFonts w:ascii="Gill Sans MT" w:hAnsi="Gill Sans MT"/>
          <w:i/>
          <w:iCs/>
        </w:rPr>
        <w:t>Counseling</w:t>
      </w:r>
      <w:proofErr w:type="spellEnd"/>
      <w:r w:rsidRPr="008F24C8">
        <w:rPr>
          <w:rFonts w:ascii="Gill Sans MT" w:hAnsi="Gill Sans MT"/>
          <w:i/>
          <w:iCs/>
        </w:rPr>
        <w:t xml:space="preserve"> Psychology, 43</w:t>
      </w:r>
      <w:r w:rsidRPr="008F24C8">
        <w:rPr>
          <w:rFonts w:ascii="Gill Sans MT" w:hAnsi="Gill Sans MT"/>
        </w:rPr>
        <w:t xml:space="preserve">(4), 490–501. </w:t>
      </w:r>
      <w:hyperlink r:id="rId22" w:history="1">
        <w:r w:rsidRPr="008F24C8">
          <w:rPr>
            <w:rStyle w:val="Hyperlink"/>
            <w:rFonts w:ascii="Gill Sans MT" w:hAnsi="Gill Sans MT"/>
          </w:rPr>
          <w:t>https://doi.org/10.1037/0022-0167.43.4.490</w:t>
        </w:r>
      </w:hyperlink>
    </w:p>
    <w:p w14:paraId="586DC5CA" w14:textId="77777777" w:rsidR="008F24C8" w:rsidRPr="008F24C8" w:rsidRDefault="008F24C8" w:rsidP="00FB4E81">
      <w:pPr>
        <w:spacing w:line="276" w:lineRule="auto"/>
        <w:rPr>
          <w:rFonts w:ascii="Gill Sans MT" w:hAnsi="Gill Sans MT"/>
        </w:rPr>
      </w:pPr>
      <w:proofErr w:type="spellStart"/>
      <w:r w:rsidRPr="008F24C8">
        <w:rPr>
          <w:rFonts w:ascii="Gill Sans MT" w:hAnsi="Gill Sans MT"/>
        </w:rPr>
        <w:t>Valdiviejas</w:t>
      </w:r>
      <w:proofErr w:type="spellEnd"/>
      <w:r w:rsidRPr="008F24C8">
        <w:rPr>
          <w:rFonts w:ascii="Gill Sans MT" w:hAnsi="Gill Sans MT"/>
        </w:rPr>
        <w:t xml:space="preserve"> Cohn, A., Rivas-Drake, D., &amp; Santos, C. E. (2025). Academic coping to racial climate scale: A </w:t>
      </w:r>
      <w:proofErr w:type="spellStart"/>
      <w:r w:rsidRPr="008F24C8">
        <w:rPr>
          <w:rFonts w:ascii="Gill Sans MT" w:hAnsi="Gill Sans MT"/>
        </w:rPr>
        <w:t>QuantCrit</w:t>
      </w:r>
      <w:proofErr w:type="spellEnd"/>
      <w:r w:rsidRPr="008F24C8">
        <w:rPr>
          <w:rFonts w:ascii="Gill Sans MT" w:hAnsi="Gill Sans MT"/>
        </w:rPr>
        <w:t xml:space="preserve"> approach to racialised educational stress. </w:t>
      </w:r>
      <w:r w:rsidRPr="008F24C8">
        <w:rPr>
          <w:rFonts w:ascii="Gill Sans MT" w:hAnsi="Gill Sans MT"/>
          <w:i/>
          <w:iCs/>
        </w:rPr>
        <w:t>Journal of Diversity in Higher Education, 18</w:t>
      </w:r>
      <w:r w:rsidRPr="008F24C8">
        <w:rPr>
          <w:rFonts w:ascii="Gill Sans MT" w:hAnsi="Gill Sans MT"/>
        </w:rPr>
        <w:t>(1), 12–30.</w:t>
      </w:r>
    </w:p>
    <w:p w14:paraId="0649CB46"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Waelde, L. C., Thompson, L., &amp; Gallagher-Thompson, D. (2010). Race-related stress, PTSD symptoms, and psychological functioning in African American adults. </w:t>
      </w:r>
      <w:r w:rsidRPr="008F24C8">
        <w:rPr>
          <w:rFonts w:ascii="Gill Sans MT" w:hAnsi="Gill Sans MT"/>
          <w:i/>
          <w:iCs/>
        </w:rPr>
        <w:t>Journal of Anxiety Disorders, 24</w:t>
      </w:r>
      <w:r w:rsidRPr="008F24C8">
        <w:rPr>
          <w:rFonts w:ascii="Gill Sans MT" w:hAnsi="Gill Sans MT"/>
        </w:rPr>
        <w:t xml:space="preserve">(4), 377–383. </w:t>
      </w:r>
      <w:hyperlink r:id="rId23" w:history="1">
        <w:r w:rsidRPr="008F24C8">
          <w:rPr>
            <w:rStyle w:val="Hyperlink"/>
            <w:rFonts w:ascii="Gill Sans MT" w:hAnsi="Gill Sans MT"/>
          </w:rPr>
          <w:t>https://doi.org/10.1016/j.janxdis.2010.02.002</w:t>
        </w:r>
      </w:hyperlink>
    </w:p>
    <w:p w14:paraId="5807FDB1"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Weathers, F. W., Litz, B. T., Keane, T. M., Palmieri, P. A., Marx, B. P., &amp; Schnurr, P. P. (2013). The PTSD Checklist for DSM-5 (PCL-5). </w:t>
      </w:r>
      <w:r w:rsidRPr="008F24C8">
        <w:rPr>
          <w:rFonts w:ascii="Gill Sans MT" w:hAnsi="Gill Sans MT"/>
          <w:i/>
          <w:iCs/>
        </w:rPr>
        <w:t xml:space="preserve">National </w:t>
      </w:r>
      <w:proofErr w:type="spellStart"/>
      <w:r w:rsidRPr="008F24C8">
        <w:rPr>
          <w:rFonts w:ascii="Gill Sans MT" w:hAnsi="Gill Sans MT"/>
          <w:i/>
          <w:iCs/>
        </w:rPr>
        <w:t>Center</w:t>
      </w:r>
      <w:proofErr w:type="spellEnd"/>
      <w:r w:rsidRPr="008F24C8">
        <w:rPr>
          <w:rFonts w:ascii="Gill Sans MT" w:hAnsi="Gill Sans MT"/>
          <w:i/>
          <w:iCs/>
        </w:rPr>
        <w:t xml:space="preserve"> for PTSD</w:t>
      </w:r>
      <w:r w:rsidRPr="008F24C8">
        <w:rPr>
          <w:rFonts w:ascii="Gill Sans MT" w:hAnsi="Gill Sans MT"/>
        </w:rPr>
        <w:t xml:space="preserve">. </w:t>
      </w:r>
      <w:hyperlink r:id="rId24" w:history="1">
        <w:r w:rsidRPr="008F24C8">
          <w:rPr>
            <w:rStyle w:val="Hyperlink"/>
            <w:rFonts w:ascii="Gill Sans MT" w:hAnsi="Gill Sans MT"/>
          </w:rPr>
          <w:t>https://www.ptsd.va.gov</w:t>
        </w:r>
      </w:hyperlink>
    </w:p>
    <w:p w14:paraId="459C5128" w14:textId="77777777" w:rsidR="008F24C8" w:rsidRPr="008F24C8" w:rsidRDefault="008F24C8" w:rsidP="00FB4E81">
      <w:pPr>
        <w:spacing w:line="276" w:lineRule="auto"/>
        <w:rPr>
          <w:rFonts w:ascii="Gill Sans MT" w:hAnsi="Gill Sans MT"/>
        </w:rPr>
      </w:pPr>
      <w:r w:rsidRPr="008F24C8">
        <w:rPr>
          <w:rFonts w:ascii="Gill Sans MT" w:hAnsi="Gill Sans MT"/>
        </w:rPr>
        <w:t>Williams, M. T., Osman, M., Gallo, J., Pereira, D. P., Gran-</w:t>
      </w:r>
      <w:proofErr w:type="spellStart"/>
      <w:r w:rsidRPr="008F24C8">
        <w:rPr>
          <w:rFonts w:ascii="Gill Sans MT" w:hAnsi="Gill Sans MT"/>
        </w:rPr>
        <w:t>Ruaz</w:t>
      </w:r>
      <w:proofErr w:type="spellEnd"/>
      <w:r w:rsidRPr="008F24C8">
        <w:rPr>
          <w:rFonts w:ascii="Gill Sans MT" w:hAnsi="Gill Sans MT"/>
        </w:rPr>
        <w:t xml:space="preserve">, S., Strauss, D., Lester, L., George, J. R., Edelman, J., &amp; Litman, L. (2022). Development and validation of the Racial Trauma Scale. </w:t>
      </w:r>
      <w:r w:rsidRPr="008F24C8">
        <w:rPr>
          <w:rFonts w:ascii="Gill Sans MT" w:hAnsi="Gill Sans MT"/>
          <w:i/>
          <w:iCs/>
        </w:rPr>
        <w:t>Psychological Trauma: Theory, Research, Practice, and Policy, 14</w:t>
      </w:r>
      <w:r w:rsidRPr="008F24C8">
        <w:rPr>
          <w:rFonts w:ascii="Gill Sans MT" w:hAnsi="Gill Sans MT"/>
        </w:rPr>
        <w:t xml:space="preserve">(1), 1–12. </w:t>
      </w:r>
      <w:hyperlink r:id="rId25" w:history="1">
        <w:r w:rsidRPr="008F24C8">
          <w:rPr>
            <w:rStyle w:val="Hyperlink"/>
            <w:rFonts w:ascii="Gill Sans MT" w:hAnsi="Gill Sans MT"/>
          </w:rPr>
          <w:t>https://doi.org/10.1037/tra0001100</w:t>
        </w:r>
      </w:hyperlink>
    </w:p>
    <w:p w14:paraId="18E24DEA" w14:textId="77777777" w:rsidR="008F24C8" w:rsidRPr="008F24C8" w:rsidRDefault="008F24C8" w:rsidP="00FB4E81">
      <w:pPr>
        <w:spacing w:line="276" w:lineRule="auto"/>
        <w:rPr>
          <w:rFonts w:ascii="Gill Sans MT" w:hAnsi="Gill Sans MT"/>
        </w:rPr>
      </w:pPr>
      <w:r w:rsidRPr="008F24C8">
        <w:rPr>
          <w:rFonts w:ascii="Gill Sans MT" w:hAnsi="Gill Sans MT"/>
        </w:rPr>
        <w:t xml:space="preserve">Williams, M. T., Printz, D., &amp; DeLapp, R. C. T. (2018). Assessing racial trauma symptoms with the Trauma Symptoms of Discrimination Scale. </w:t>
      </w:r>
      <w:r w:rsidRPr="008F24C8">
        <w:rPr>
          <w:rFonts w:ascii="Gill Sans MT" w:hAnsi="Gill Sans MT"/>
          <w:i/>
          <w:iCs/>
        </w:rPr>
        <w:t>Psychology of Violence, 8</w:t>
      </w:r>
      <w:r w:rsidRPr="008F24C8">
        <w:rPr>
          <w:rFonts w:ascii="Gill Sans MT" w:hAnsi="Gill Sans MT"/>
        </w:rPr>
        <w:t xml:space="preserve">(6), 735–747. </w:t>
      </w:r>
      <w:hyperlink r:id="rId26" w:history="1">
        <w:r w:rsidRPr="008F24C8">
          <w:rPr>
            <w:rStyle w:val="Hyperlink"/>
            <w:rFonts w:ascii="Gill Sans MT" w:hAnsi="Gill Sans MT"/>
          </w:rPr>
          <w:t>https://doi.org/10.1037/vio0000212</w:t>
        </w:r>
      </w:hyperlink>
    </w:p>
    <w:p w14:paraId="6E37A609" w14:textId="77777777" w:rsidR="00DF560C" w:rsidRPr="00DF560C" w:rsidRDefault="00DF560C" w:rsidP="00FB4E81">
      <w:pPr>
        <w:spacing w:line="276" w:lineRule="auto"/>
        <w:rPr>
          <w:rFonts w:ascii="Gill Sans MT" w:hAnsi="Gill Sans MT"/>
        </w:rPr>
      </w:pPr>
      <w:r w:rsidRPr="00DF560C">
        <w:rPr>
          <w:rFonts w:ascii="Gill Sans MT" w:hAnsi="Gill Sans MT"/>
        </w:rPr>
        <w:t xml:space="preserve">Samuel, L., &amp; Simonds, L. (2025). Therapeutic silencing and racialised disengagement: Black clients’ experiences in UK mental health services. </w:t>
      </w:r>
      <w:r w:rsidRPr="00DF560C">
        <w:rPr>
          <w:rFonts w:ascii="Gill Sans MT" w:hAnsi="Gill Sans MT"/>
          <w:i/>
          <w:iCs/>
        </w:rPr>
        <w:t>Psychology and Psychotherapy: Theory, Research and Practice, 98</w:t>
      </w:r>
      <w:r w:rsidRPr="00DF560C">
        <w:rPr>
          <w:rFonts w:ascii="Gill Sans MT" w:hAnsi="Gill Sans MT"/>
        </w:rPr>
        <w:t>(1), 45–62.</w:t>
      </w:r>
    </w:p>
    <w:p w14:paraId="67E99796" w14:textId="77777777" w:rsidR="00DF560C" w:rsidRPr="00DF560C" w:rsidRDefault="00DF560C" w:rsidP="00FB4E81">
      <w:pPr>
        <w:spacing w:line="276" w:lineRule="auto"/>
        <w:rPr>
          <w:rFonts w:ascii="Gill Sans MT" w:hAnsi="Gill Sans MT"/>
        </w:rPr>
      </w:pPr>
      <w:r w:rsidRPr="00DF560C">
        <w:rPr>
          <w:rFonts w:ascii="Gill Sans MT" w:hAnsi="Gill Sans MT"/>
        </w:rPr>
        <w:t xml:space="preserve">Smith, C. P., &amp; Freyd, J. J. (2014). Institutional betrayal. </w:t>
      </w:r>
      <w:r w:rsidRPr="00DF560C">
        <w:rPr>
          <w:rFonts w:ascii="Gill Sans MT" w:hAnsi="Gill Sans MT"/>
          <w:i/>
          <w:iCs/>
        </w:rPr>
        <w:t>American Psychologist, 69</w:t>
      </w:r>
      <w:r w:rsidRPr="00DF560C">
        <w:rPr>
          <w:rFonts w:ascii="Gill Sans MT" w:hAnsi="Gill Sans MT"/>
        </w:rPr>
        <w:t xml:space="preserve">(6), 575–587. </w:t>
      </w:r>
      <w:hyperlink r:id="rId27" w:history="1">
        <w:r w:rsidRPr="00DF560C">
          <w:rPr>
            <w:rStyle w:val="Hyperlink"/>
            <w:rFonts w:ascii="Gill Sans MT" w:hAnsi="Gill Sans MT"/>
          </w:rPr>
          <w:t>https://doi.org/10.1037/a0037564</w:t>
        </w:r>
      </w:hyperlink>
    </w:p>
    <w:p w14:paraId="07693A20" w14:textId="77777777" w:rsidR="00DF560C" w:rsidRPr="00DF560C" w:rsidRDefault="00DF560C" w:rsidP="00FB4E81">
      <w:pPr>
        <w:spacing w:line="276" w:lineRule="auto"/>
        <w:rPr>
          <w:rFonts w:ascii="Gill Sans MT" w:hAnsi="Gill Sans MT"/>
        </w:rPr>
      </w:pPr>
      <w:r w:rsidRPr="00DF560C">
        <w:rPr>
          <w:rFonts w:ascii="Gill Sans MT" w:hAnsi="Gill Sans MT"/>
        </w:rPr>
        <w:t xml:space="preserve">Utsey, S. O., &amp; </w:t>
      </w:r>
      <w:proofErr w:type="spellStart"/>
      <w:r w:rsidRPr="00DF560C">
        <w:rPr>
          <w:rFonts w:ascii="Gill Sans MT" w:hAnsi="Gill Sans MT"/>
        </w:rPr>
        <w:t>Ponterotto</w:t>
      </w:r>
      <w:proofErr w:type="spellEnd"/>
      <w:r w:rsidRPr="00DF560C">
        <w:rPr>
          <w:rFonts w:ascii="Gill Sans MT" w:hAnsi="Gill Sans MT"/>
        </w:rPr>
        <w:t xml:space="preserve">, J. G. (1996). Development and validation of the Index of Race-Related Stress (IRRS). </w:t>
      </w:r>
      <w:r w:rsidRPr="00DF560C">
        <w:rPr>
          <w:rFonts w:ascii="Gill Sans MT" w:hAnsi="Gill Sans MT"/>
          <w:i/>
          <w:iCs/>
        </w:rPr>
        <w:t xml:space="preserve">Journal of </w:t>
      </w:r>
      <w:proofErr w:type="spellStart"/>
      <w:r w:rsidRPr="00DF560C">
        <w:rPr>
          <w:rFonts w:ascii="Gill Sans MT" w:hAnsi="Gill Sans MT"/>
          <w:i/>
          <w:iCs/>
        </w:rPr>
        <w:t>Counseling</w:t>
      </w:r>
      <w:proofErr w:type="spellEnd"/>
      <w:r w:rsidRPr="00DF560C">
        <w:rPr>
          <w:rFonts w:ascii="Gill Sans MT" w:hAnsi="Gill Sans MT"/>
          <w:i/>
          <w:iCs/>
        </w:rPr>
        <w:t xml:space="preserve"> Psychology, 43</w:t>
      </w:r>
      <w:r w:rsidRPr="00DF560C">
        <w:rPr>
          <w:rFonts w:ascii="Gill Sans MT" w:hAnsi="Gill Sans MT"/>
        </w:rPr>
        <w:t xml:space="preserve">(4), 490–501. </w:t>
      </w:r>
      <w:hyperlink r:id="rId28" w:history="1">
        <w:r w:rsidRPr="00DF560C">
          <w:rPr>
            <w:rStyle w:val="Hyperlink"/>
            <w:rFonts w:ascii="Gill Sans MT" w:hAnsi="Gill Sans MT"/>
          </w:rPr>
          <w:t>https://doi.org/10.1037/0022-0167.43.4.490</w:t>
        </w:r>
      </w:hyperlink>
    </w:p>
    <w:p w14:paraId="6AE78EED" w14:textId="77777777" w:rsidR="00DF560C" w:rsidRPr="00DF560C" w:rsidRDefault="00DF560C" w:rsidP="00FB4E81">
      <w:pPr>
        <w:spacing w:line="276" w:lineRule="auto"/>
        <w:rPr>
          <w:rFonts w:ascii="Gill Sans MT" w:hAnsi="Gill Sans MT"/>
        </w:rPr>
      </w:pPr>
      <w:proofErr w:type="spellStart"/>
      <w:r w:rsidRPr="00DF560C">
        <w:rPr>
          <w:rFonts w:ascii="Gill Sans MT" w:hAnsi="Gill Sans MT"/>
        </w:rPr>
        <w:t>Valdiviejas</w:t>
      </w:r>
      <w:proofErr w:type="spellEnd"/>
      <w:r w:rsidRPr="00DF560C">
        <w:rPr>
          <w:rFonts w:ascii="Gill Sans MT" w:hAnsi="Gill Sans MT"/>
        </w:rPr>
        <w:t xml:space="preserve"> Cohn, A., Rivas-Drake, D., &amp; Santos, C. E. (2025). Academic coping to racial climate scale: A </w:t>
      </w:r>
      <w:proofErr w:type="spellStart"/>
      <w:r w:rsidRPr="00DF560C">
        <w:rPr>
          <w:rFonts w:ascii="Gill Sans MT" w:hAnsi="Gill Sans MT"/>
        </w:rPr>
        <w:t>QuantCrit</w:t>
      </w:r>
      <w:proofErr w:type="spellEnd"/>
      <w:r w:rsidRPr="00DF560C">
        <w:rPr>
          <w:rFonts w:ascii="Gill Sans MT" w:hAnsi="Gill Sans MT"/>
        </w:rPr>
        <w:t xml:space="preserve"> approach to racialised educational stress. </w:t>
      </w:r>
      <w:r w:rsidRPr="00DF560C">
        <w:rPr>
          <w:rFonts w:ascii="Gill Sans MT" w:hAnsi="Gill Sans MT"/>
          <w:i/>
          <w:iCs/>
        </w:rPr>
        <w:t>Journal of Diversity in Higher Education, 18</w:t>
      </w:r>
      <w:r w:rsidRPr="00DF560C">
        <w:rPr>
          <w:rFonts w:ascii="Gill Sans MT" w:hAnsi="Gill Sans MT"/>
        </w:rPr>
        <w:t>(1), 12–30.</w:t>
      </w:r>
    </w:p>
    <w:p w14:paraId="506307DE" w14:textId="77777777" w:rsidR="00DF560C" w:rsidRPr="00DF560C" w:rsidRDefault="00DF560C" w:rsidP="00FB4E81">
      <w:pPr>
        <w:spacing w:line="276" w:lineRule="auto"/>
        <w:rPr>
          <w:rFonts w:ascii="Gill Sans MT" w:hAnsi="Gill Sans MT"/>
        </w:rPr>
      </w:pPr>
      <w:r w:rsidRPr="00DF560C">
        <w:rPr>
          <w:rFonts w:ascii="Gill Sans MT" w:hAnsi="Gill Sans MT"/>
        </w:rPr>
        <w:lastRenderedPageBreak/>
        <w:t xml:space="preserve">Waelde, L. C., Thompson, L., &amp; Gallagher-Thompson, D. (2010). Race-related stress, PTSD symptoms, and psychological functioning in African American adults. </w:t>
      </w:r>
      <w:r w:rsidRPr="00DF560C">
        <w:rPr>
          <w:rFonts w:ascii="Gill Sans MT" w:hAnsi="Gill Sans MT"/>
          <w:i/>
          <w:iCs/>
        </w:rPr>
        <w:t>Journal of Anxiety Disorders, 24</w:t>
      </w:r>
      <w:r w:rsidRPr="00DF560C">
        <w:rPr>
          <w:rFonts w:ascii="Gill Sans MT" w:hAnsi="Gill Sans MT"/>
        </w:rPr>
        <w:t xml:space="preserve">(4), 377–383. </w:t>
      </w:r>
      <w:hyperlink r:id="rId29" w:history="1">
        <w:r w:rsidRPr="00DF560C">
          <w:rPr>
            <w:rStyle w:val="Hyperlink"/>
            <w:rFonts w:ascii="Gill Sans MT" w:hAnsi="Gill Sans MT"/>
          </w:rPr>
          <w:t>https://doi.org/10.1016/j.janxdis.2010.02.002</w:t>
        </w:r>
      </w:hyperlink>
    </w:p>
    <w:p w14:paraId="0231AD8A" w14:textId="77777777" w:rsidR="00DF560C" w:rsidRPr="00DF560C" w:rsidRDefault="00DF560C" w:rsidP="00FB4E81">
      <w:pPr>
        <w:spacing w:line="276" w:lineRule="auto"/>
        <w:rPr>
          <w:rFonts w:ascii="Gill Sans MT" w:hAnsi="Gill Sans MT"/>
        </w:rPr>
      </w:pPr>
      <w:r w:rsidRPr="00DF560C">
        <w:rPr>
          <w:rFonts w:ascii="Gill Sans MT" w:hAnsi="Gill Sans MT"/>
        </w:rPr>
        <w:t xml:space="preserve">Weathers, F. W., Litz, B. T., Keane, T. M., Palmieri, P. A., Marx, B. P., &amp; Schnurr, P. P. (2013). </w:t>
      </w:r>
      <w:r w:rsidRPr="00DF560C">
        <w:rPr>
          <w:rFonts w:ascii="Gill Sans MT" w:hAnsi="Gill Sans MT"/>
          <w:i/>
          <w:iCs/>
        </w:rPr>
        <w:t>The PTSD Checklist for DSM-5 (PCL-5)</w:t>
      </w:r>
      <w:r w:rsidRPr="00DF560C">
        <w:rPr>
          <w:rFonts w:ascii="Gill Sans MT" w:hAnsi="Gill Sans MT"/>
        </w:rPr>
        <w:t xml:space="preserve">. National </w:t>
      </w:r>
      <w:proofErr w:type="spellStart"/>
      <w:r w:rsidRPr="00DF560C">
        <w:rPr>
          <w:rFonts w:ascii="Gill Sans MT" w:hAnsi="Gill Sans MT"/>
        </w:rPr>
        <w:t>Center</w:t>
      </w:r>
      <w:proofErr w:type="spellEnd"/>
      <w:r w:rsidRPr="00DF560C">
        <w:rPr>
          <w:rFonts w:ascii="Gill Sans MT" w:hAnsi="Gill Sans MT"/>
        </w:rPr>
        <w:t xml:space="preserve"> for PTSD. </w:t>
      </w:r>
      <w:hyperlink r:id="rId30" w:history="1">
        <w:r w:rsidRPr="00DF560C">
          <w:rPr>
            <w:rStyle w:val="Hyperlink"/>
            <w:rFonts w:ascii="Gill Sans MT" w:hAnsi="Gill Sans MT"/>
          </w:rPr>
          <w:t>https://www.ptsd.va.gov</w:t>
        </w:r>
      </w:hyperlink>
    </w:p>
    <w:p w14:paraId="46DB2B19" w14:textId="77777777" w:rsidR="00DF560C" w:rsidRPr="00DF560C" w:rsidRDefault="00DF560C" w:rsidP="00FB4E81">
      <w:pPr>
        <w:spacing w:line="276" w:lineRule="auto"/>
        <w:rPr>
          <w:rFonts w:ascii="Gill Sans MT" w:hAnsi="Gill Sans MT"/>
        </w:rPr>
      </w:pPr>
      <w:r w:rsidRPr="00DF560C">
        <w:rPr>
          <w:rFonts w:ascii="Gill Sans MT" w:hAnsi="Gill Sans MT"/>
        </w:rPr>
        <w:t>Williams, M. T., Osman, M., Gallo, J., Pereira, D. P., Gran-</w:t>
      </w:r>
      <w:proofErr w:type="spellStart"/>
      <w:r w:rsidRPr="00DF560C">
        <w:rPr>
          <w:rFonts w:ascii="Gill Sans MT" w:hAnsi="Gill Sans MT"/>
        </w:rPr>
        <w:t>Ruaz</w:t>
      </w:r>
      <w:proofErr w:type="spellEnd"/>
      <w:r w:rsidRPr="00DF560C">
        <w:rPr>
          <w:rFonts w:ascii="Gill Sans MT" w:hAnsi="Gill Sans MT"/>
        </w:rPr>
        <w:t xml:space="preserve">, S., Strauss, D., Lester, L., George, J. R., Edelman, J., &amp; Litman, L. (2022). Development and validation of the Racial Trauma Scale. </w:t>
      </w:r>
      <w:r w:rsidRPr="00DF560C">
        <w:rPr>
          <w:rFonts w:ascii="Gill Sans MT" w:hAnsi="Gill Sans MT"/>
          <w:i/>
          <w:iCs/>
        </w:rPr>
        <w:t>Psychological Trauma: Theory, Research, Practice, and Policy, 14</w:t>
      </w:r>
      <w:r w:rsidRPr="00DF560C">
        <w:rPr>
          <w:rFonts w:ascii="Gill Sans MT" w:hAnsi="Gill Sans MT"/>
        </w:rPr>
        <w:t xml:space="preserve">(1), 1–12. </w:t>
      </w:r>
      <w:hyperlink r:id="rId31" w:history="1">
        <w:r w:rsidRPr="00DF560C">
          <w:rPr>
            <w:rStyle w:val="Hyperlink"/>
            <w:rFonts w:ascii="Gill Sans MT" w:hAnsi="Gill Sans MT"/>
          </w:rPr>
          <w:t>https://doi.org/10.1037/tra0001100</w:t>
        </w:r>
      </w:hyperlink>
    </w:p>
    <w:p w14:paraId="0EBEB84E" w14:textId="1B16C6E5" w:rsidR="002F073E" w:rsidRDefault="00DF560C" w:rsidP="00712620">
      <w:pPr>
        <w:spacing w:line="276" w:lineRule="auto"/>
      </w:pPr>
      <w:r w:rsidRPr="00DF560C">
        <w:rPr>
          <w:rFonts w:ascii="Gill Sans MT" w:hAnsi="Gill Sans MT"/>
        </w:rPr>
        <w:t xml:space="preserve">Williams, M. T., Printz, D., &amp; DeLapp, R. C. T. (2018). Assessing racial trauma symptoms with the Trauma Symptoms of Discrimination Scale. </w:t>
      </w:r>
      <w:r w:rsidRPr="00DF560C">
        <w:rPr>
          <w:rFonts w:ascii="Gill Sans MT" w:hAnsi="Gill Sans MT"/>
          <w:i/>
          <w:iCs/>
        </w:rPr>
        <w:t>Psychology of Violence, 8</w:t>
      </w:r>
      <w:r w:rsidRPr="00DF560C">
        <w:rPr>
          <w:rFonts w:ascii="Gill Sans MT" w:hAnsi="Gill Sans MT"/>
        </w:rPr>
        <w:t xml:space="preserve">(6), 735–747. </w:t>
      </w:r>
      <w:hyperlink r:id="rId32" w:history="1">
        <w:r w:rsidRPr="00DF560C">
          <w:rPr>
            <w:rStyle w:val="Hyperlink"/>
            <w:rFonts w:ascii="Gill Sans MT" w:hAnsi="Gill Sans MT"/>
          </w:rPr>
          <w:t>https://doi.org/10.1037/vio0000212</w:t>
        </w:r>
      </w:hyperlink>
    </w:p>
    <w:sectPr w:rsidR="002F073E" w:rsidSect="00712620">
      <w:headerReference w:type="default" r:id="rId33"/>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D82132" w14:textId="77777777" w:rsidR="00822B60" w:rsidRDefault="00822B60" w:rsidP="002149EB">
      <w:pPr>
        <w:spacing w:after="0" w:line="240" w:lineRule="auto"/>
      </w:pPr>
      <w:r>
        <w:separator/>
      </w:r>
    </w:p>
  </w:endnote>
  <w:endnote w:type="continuationSeparator" w:id="0">
    <w:p w14:paraId="6DFB394F" w14:textId="77777777" w:rsidR="00822B60" w:rsidRDefault="00822B60" w:rsidP="002149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B473D5" w14:textId="77777777" w:rsidR="00822B60" w:rsidRDefault="00822B60" w:rsidP="002149EB">
      <w:pPr>
        <w:spacing w:after="0" w:line="240" w:lineRule="auto"/>
      </w:pPr>
      <w:r>
        <w:separator/>
      </w:r>
    </w:p>
  </w:footnote>
  <w:footnote w:type="continuationSeparator" w:id="0">
    <w:p w14:paraId="3EC1B6CD" w14:textId="77777777" w:rsidR="00822B60" w:rsidRDefault="00822B60" w:rsidP="002149EB">
      <w:pPr>
        <w:spacing w:after="0" w:line="240" w:lineRule="auto"/>
      </w:pPr>
      <w:r>
        <w:continuationSeparator/>
      </w:r>
    </w:p>
  </w:footnote>
  <w:footnote w:id="1">
    <w:p w14:paraId="13F2374A" w14:textId="77777777" w:rsidR="002149EB" w:rsidRPr="009F69AE" w:rsidRDefault="002149EB" w:rsidP="002149EB">
      <w:pPr>
        <w:pStyle w:val="FootnoteText"/>
        <w:rPr>
          <w:lang w:val="en-GB"/>
        </w:rPr>
      </w:pPr>
      <w:r>
        <w:rPr>
          <w:rStyle w:val="FootnoteReference"/>
        </w:rPr>
        <w:footnoteRef/>
      </w:r>
      <w:r>
        <w:t xml:space="preserve"> </w:t>
      </w:r>
      <w:r>
        <w:rPr>
          <w:lang w:val="en-GB"/>
        </w:rPr>
        <w:t>Thinkdoctorassessments@gmail.com</w:t>
      </w:r>
    </w:p>
  </w:footnote>
  <w:footnote w:id="2">
    <w:p w14:paraId="28B9D3F8" w14:textId="6B4D8D92" w:rsidR="007272CC" w:rsidRPr="007272CC" w:rsidRDefault="007272CC" w:rsidP="007272CC">
      <w:pPr>
        <w:spacing w:line="240" w:lineRule="auto"/>
        <w:rPr>
          <w:sz w:val="20"/>
          <w:szCs w:val="20"/>
        </w:rPr>
      </w:pPr>
      <w:r>
        <w:rPr>
          <w:rStyle w:val="FootnoteReference"/>
        </w:rPr>
        <w:footnoteRef/>
      </w:r>
      <w:r>
        <w:t xml:space="preserve"> </w:t>
      </w:r>
      <w:r w:rsidRPr="007272CC">
        <w:rPr>
          <w:rFonts w:ascii="Gill Sans MT" w:hAnsi="Gill Sans MT"/>
          <w:sz w:val="18"/>
          <w:szCs w:val="18"/>
        </w:rPr>
        <w:t>Black British refers to individuals in the UK who identify as Black African, Black Caribbean, or Black Other in official ethnicity classifications</w:t>
      </w:r>
    </w:p>
    <w:p w14:paraId="651C1F37" w14:textId="7C05A503" w:rsidR="007272CC" w:rsidRPr="007272CC" w:rsidRDefault="007272CC">
      <w:pPr>
        <w:pStyle w:val="FootnoteText"/>
        <w:rPr>
          <w:lang w:val="en-GB"/>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15784398"/>
      <w:docPartObj>
        <w:docPartGallery w:val="Page Numbers (Top of Page)"/>
        <w:docPartUnique/>
      </w:docPartObj>
    </w:sdtPr>
    <w:sdtContent>
      <w:p w14:paraId="73B8A7BF" w14:textId="67A5725C" w:rsidR="00FB4E81" w:rsidRDefault="00FB4E81">
        <w:pPr>
          <w:pStyle w:val="Header"/>
          <w:jc w:val="right"/>
        </w:pPr>
        <w:r>
          <w:fldChar w:fldCharType="begin"/>
        </w:r>
        <w:r>
          <w:instrText>PAGE   \* MERGEFORMAT</w:instrText>
        </w:r>
        <w:r>
          <w:fldChar w:fldCharType="separate"/>
        </w:r>
        <w:r>
          <w:rPr>
            <w:lang w:val="en-GB"/>
          </w:rPr>
          <w:t>2</w:t>
        </w:r>
        <w:r>
          <w:fldChar w:fldCharType="end"/>
        </w:r>
      </w:p>
    </w:sdtContent>
  </w:sdt>
  <w:p w14:paraId="3959A84F" w14:textId="77777777" w:rsidR="00FB4E81" w:rsidRDefault="00FB4E8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CF597A"/>
    <w:multiLevelType w:val="multilevel"/>
    <w:tmpl w:val="D20C9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D0189E"/>
    <w:multiLevelType w:val="hybridMultilevel"/>
    <w:tmpl w:val="83CE0D24"/>
    <w:lvl w:ilvl="0" w:tplc="4C090019">
      <w:start w:val="3"/>
      <w:numFmt w:val="lowerLetter"/>
      <w:lvlText w:val="%1."/>
      <w:lvlJc w:val="left"/>
      <w:pPr>
        <w:ind w:left="720" w:hanging="360"/>
      </w:pPr>
      <w:rPr>
        <w:rFonts w:hint="default"/>
      </w:rPr>
    </w:lvl>
    <w:lvl w:ilvl="1" w:tplc="4C090019" w:tentative="1">
      <w:start w:val="1"/>
      <w:numFmt w:val="lowerLetter"/>
      <w:lvlText w:val="%2."/>
      <w:lvlJc w:val="left"/>
      <w:pPr>
        <w:ind w:left="1440" w:hanging="360"/>
      </w:pPr>
    </w:lvl>
    <w:lvl w:ilvl="2" w:tplc="4C09001B" w:tentative="1">
      <w:start w:val="1"/>
      <w:numFmt w:val="lowerRoman"/>
      <w:lvlText w:val="%3."/>
      <w:lvlJc w:val="right"/>
      <w:pPr>
        <w:ind w:left="2160" w:hanging="180"/>
      </w:pPr>
    </w:lvl>
    <w:lvl w:ilvl="3" w:tplc="4C09000F" w:tentative="1">
      <w:start w:val="1"/>
      <w:numFmt w:val="decimal"/>
      <w:lvlText w:val="%4."/>
      <w:lvlJc w:val="left"/>
      <w:pPr>
        <w:ind w:left="2880" w:hanging="360"/>
      </w:pPr>
    </w:lvl>
    <w:lvl w:ilvl="4" w:tplc="4C090019" w:tentative="1">
      <w:start w:val="1"/>
      <w:numFmt w:val="lowerLetter"/>
      <w:lvlText w:val="%5."/>
      <w:lvlJc w:val="left"/>
      <w:pPr>
        <w:ind w:left="3600" w:hanging="360"/>
      </w:pPr>
    </w:lvl>
    <w:lvl w:ilvl="5" w:tplc="4C09001B" w:tentative="1">
      <w:start w:val="1"/>
      <w:numFmt w:val="lowerRoman"/>
      <w:lvlText w:val="%6."/>
      <w:lvlJc w:val="right"/>
      <w:pPr>
        <w:ind w:left="4320" w:hanging="180"/>
      </w:pPr>
    </w:lvl>
    <w:lvl w:ilvl="6" w:tplc="4C09000F" w:tentative="1">
      <w:start w:val="1"/>
      <w:numFmt w:val="decimal"/>
      <w:lvlText w:val="%7."/>
      <w:lvlJc w:val="left"/>
      <w:pPr>
        <w:ind w:left="5040" w:hanging="360"/>
      </w:pPr>
    </w:lvl>
    <w:lvl w:ilvl="7" w:tplc="4C090019" w:tentative="1">
      <w:start w:val="1"/>
      <w:numFmt w:val="lowerLetter"/>
      <w:lvlText w:val="%8."/>
      <w:lvlJc w:val="left"/>
      <w:pPr>
        <w:ind w:left="5760" w:hanging="360"/>
      </w:pPr>
    </w:lvl>
    <w:lvl w:ilvl="8" w:tplc="4C09001B" w:tentative="1">
      <w:start w:val="1"/>
      <w:numFmt w:val="lowerRoman"/>
      <w:lvlText w:val="%9."/>
      <w:lvlJc w:val="right"/>
      <w:pPr>
        <w:ind w:left="6480" w:hanging="180"/>
      </w:pPr>
    </w:lvl>
  </w:abstractNum>
  <w:abstractNum w:abstractNumId="2" w15:restartNumberingAfterBreak="0">
    <w:nsid w:val="094D0815"/>
    <w:multiLevelType w:val="multilevel"/>
    <w:tmpl w:val="87ECE9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CF741D"/>
    <w:multiLevelType w:val="multilevel"/>
    <w:tmpl w:val="864EE0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E220EE"/>
    <w:multiLevelType w:val="multilevel"/>
    <w:tmpl w:val="A5EE4CA0"/>
    <w:lvl w:ilvl="0">
      <w:start w:val="1"/>
      <w:numFmt w:val="upperLetter"/>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F9334D"/>
    <w:multiLevelType w:val="hybridMultilevel"/>
    <w:tmpl w:val="38580694"/>
    <w:lvl w:ilvl="0" w:tplc="4C090015">
      <w:start w:val="1"/>
      <w:numFmt w:val="upperLetter"/>
      <w:lvlText w:val="%1."/>
      <w:lvlJc w:val="left"/>
      <w:pPr>
        <w:ind w:left="720" w:hanging="360"/>
      </w:pPr>
      <w:rPr>
        <w:rFonts w:hint="default"/>
      </w:rPr>
    </w:lvl>
    <w:lvl w:ilvl="1" w:tplc="4C090019" w:tentative="1">
      <w:start w:val="1"/>
      <w:numFmt w:val="lowerLetter"/>
      <w:lvlText w:val="%2."/>
      <w:lvlJc w:val="left"/>
      <w:pPr>
        <w:ind w:left="1440" w:hanging="360"/>
      </w:pPr>
    </w:lvl>
    <w:lvl w:ilvl="2" w:tplc="4C09001B" w:tentative="1">
      <w:start w:val="1"/>
      <w:numFmt w:val="lowerRoman"/>
      <w:lvlText w:val="%3."/>
      <w:lvlJc w:val="right"/>
      <w:pPr>
        <w:ind w:left="2160" w:hanging="180"/>
      </w:pPr>
    </w:lvl>
    <w:lvl w:ilvl="3" w:tplc="4C09000F" w:tentative="1">
      <w:start w:val="1"/>
      <w:numFmt w:val="decimal"/>
      <w:lvlText w:val="%4."/>
      <w:lvlJc w:val="left"/>
      <w:pPr>
        <w:ind w:left="2880" w:hanging="360"/>
      </w:pPr>
    </w:lvl>
    <w:lvl w:ilvl="4" w:tplc="4C090019" w:tentative="1">
      <w:start w:val="1"/>
      <w:numFmt w:val="lowerLetter"/>
      <w:lvlText w:val="%5."/>
      <w:lvlJc w:val="left"/>
      <w:pPr>
        <w:ind w:left="3600" w:hanging="360"/>
      </w:pPr>
    </w:lvl>
    <w:lvl w:ilvl="5" w:tplc="4C09001B" w:tentative="1">
      <w:start w:val="1"/>
      <w:numFmt w:val="lowerRoman"/>
      <w:lvlText w:val="%6."/>
      <w:lvlJc w:val="right"/>
      <w:pPr>
        <w:ind w:left="4320" w:hanging="180"/>
      </w:pPr>
    </w:lvl>
    <w:lvl w:ilvl="6" w:tplc="4C09000F" w:tentative="1">
      <w:start w:val="1"/>
      <w:numFmt w:val="decimal"/>
      <w:lvlText w:val="%7."/>
      <w:lvlJc w:val="left"/>
      <w:pPr>
        <w:ind w:left="5040" w:hanging="360"/>
      </w:pPr>
    </w:lvl>
    <w:lvl w:ilvl="7" w:tplc="4C090019" w:tentative="1">
      <w:start w:val="1"/>
      <w:numFmt w:val="lowerLetter"/>
      <w:lvlText w:val="%8."/>
      <w:lvlJc w:val="left"/>
      <w:pPr>
        <w:ind w:left="5760" w:hanging="360"/>
      </w:pPr>
    </w:lvl>
    <w:lvl w:ilvl="8" w:tplc="4C09001B" w:tentative="1">
      <w:start w:val="1"/>
      <w:numFmt w:val="lowerRoman"/>
      <w:lvlText w:val="%9."/>
      <w:lvlJc w:val="right"/>
      <w:pPr>
        <w:ind w:left="6480" w:hanging="180"/>
      </w:pPr>
    </w:lvl>
  </w:abstractNum>
  <w:abstractNum w:abstractNumId="6" w15:restartNumberingAfterBreak="0">
    <w:nsid w:val="1053001D"/>
    <w:multiLevelType w:val="hybridMultilevel"/>
    <w:tmpl w:val="0A0AA644"/>
    <w:lvl w:ilvl="0" w:tplc="4C090001">
      <w:start w:val="1"/>
      <w:numFmt w:val="bullet"/>
      <w:lvlText w:val=""/>
      <w:lvlJc w:val="left"/>
      <w:pPr>
        <w:ind w:left="720" w:hanging="360"/>
      </w:pPr>
      <w:rPr>
        <w:rFonts w:ascii="Symbol" w:hAnsi="Symbol"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7" w15:restartNumberingAfterBreak="0">
    <w:nsid w:val="10552F2C"/>
    <w:multiLevelType w:val="multilevel"/>
    <w:tmpl w:val="CE981F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05E2B50"/>
    <w:multiLevelType w:val="hybridMultilevel"/>
    <w:tmpl w:val="50C888E6"/>
    <w:lvl w:ilvl="0" w:tplc="78862E5E">
      <w:start w:val="10"/>
      <w:numFmt w:val="decimal"/>
      <w:lvlText w:val="%1"/>
      <w:lvlJc w:val="left"/>
      <w:pPr>
        <w:ind w:left="720" w:hanging="360"/>
      </w:pPr>
      <w:rPr>
        <w:rFonts w:hint="default"/>
      </w:rPr>
    </w:lvl>
    <w:lvl w:ilvl="1" w:tplc="4C090019" w:tentative="1">
      <w:start w:val="1"/>
      <w:numFmt w:val="lowerLetter"/>
      <w:lvlText w:val="%2."/>
      <w:lvlJc w:val="left"/>
      <w:pPr>
        <w:ind w:left="1440" w:hanging="360"/>
      </w:pPr>
    </w:lvl>
    <w:lvl w:ilvl="2" w:tplc="4C09001B" w:tentative="1">
      <w:start w:val="1"/>
      <w:numFmt w:val="lowerRoman"/>
      <w:lvlText w:val="%3."/>
      <w:lvlJc w:val="right"/>
      <w:pPr>
        <w:ind w:left="2160" w:hanging="180"/>
      </w:pPr>
    </w:lvl>
    <w:lvl w:ilvl="3" w:tplc="4C09000F" w:tentative="1">
      <w:start w:val="1"/>
      <w:numFmt w:val="decimal"/>
      <w:lvlText w:val="%4."/>
      <w:lvlJc w:val="left"/>
      <w:pPr>
        <w:ind w:left="2880" w:hanging="360"/>
      </w:pPr>
    </w:lvl>
    <w:lvl w:ilvl="4" w:tplc="4C090019" w:tentative="1">
      <w:start w:val="1"/>
      <w:numFmt w:val="lowerLetter"/>
      <w:lvlText w:val="%5."/>
      <w:lvlJc w:val="left"/>
      <w:pPr>
        <w:ind w:left="3600" w:hanging="360"/>
      </w:pPr>
    </w:lvl>
    <w:lvl w:ilvl="5" w:tplc="4C09001B" w:tentative="1">
      <w:start w:val="1"/>
      <w:numFmt w:val="lowerRoman"/>
      <w:lvlText w:val="%6."/>
      <w:lvlJc w:val="right"/>
      <w:pPr>
        <w:ind w:left="4320" w:hanging="180"/>
      </w:pPr>
    </w:lvl>
    <w:lvl w:ilvl="6" w:tplc="4C09000F" w:tentative="1">
      <w:start w:val="1"/>
      <w:numFmt w:val="decimal"/>
      <w:lvlText w:val="%7."/>
      <w:lvlJc w:val="left"/>
      <w:pPr>
        <w:ind w:left="5040" w:hanging="360"/>
      </w:pPr>
    </w:lvl>
    <w:lvl w:ilvl="7" w:tplc="4C090019" w:tentative="1">
      <w:start w:val="1"/>
      <w:numFmt w:val="lowerLetter"/>
      <w:lvlText w:val="%8."/>
      <w:lvlJc w:val="left"/>
      <w:pPr>
        <w:ind w:left="5760" w:hanging="360"/>
      </w:pPr>
    </w:lvl>
    <w:lvl w:ilvl="8" w:tplc="4C09001B" w:tentative="1">
      <w:start w:val="1"/>
      <w:numFmt w:val="lowerRoman"/>
      <w:lvlText w:val="%9."/>
      <w:lvlJc w:val="right"/>
      <w:pPr>
        <w:ind w:left="6480" w:hanging="180"/>
      </w:pPr>
    </w:lvl>
  </w:abstractNum>
  <w:abstractNum w:abstractNumId="9" w15:restartNumberingAfterBreak="0">
    <w:nsid w:val="106E6F73"/>
    <w:multiLevelType w:val="multilevel"/>
    <w:tmpl w:val="A7FE5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1A80439"/>
    <w:multiLevelType w:val="multilevel"/>
    <w:tmpl w:val="553669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24A554C"/>
    <w:multiLevelType w:val="hybridMultilevel"/>
    <w:tmpl w:val="96F84018"/>
    <w:lvl w:ilvl="0" w:tplc="4C09000F">
      <w:start w:val="1"/>
      <w:numFmt w:val="decimal"/>
      <w:lvlText w:val="%1."/>
      <w:lvlJc w:val="left"/>
      <w:pPr>
        <w:ind w:left="720" w:hanging="360"/>
      </w:pPr>
      <w:rPr>
        <w:rFonts w:hint="default"/>
      </w:rPr>
    </w:lvl>
    <w:lvl w:ilvl="1" w:tplc="4C090019" w:tentative="1">
      <w:start w:val="1"/>
      <w:numFmt w:val="lowerLetter"/>
      <w:lvlText w:val="%2."/>
      <w:lvlJc w:val="left"/>
      <w:pPr>
        <w:ind w:left="1440" w:hanging="360"/>
      </w:pPr>
    </w:lvl>
    <w:lvl w:ilvl="2" w:tplc="4C09001B" w:tentative="1">
      <w:start w:val="1"/>
      <w:numFmt w:val="lowerRoman"/>
      <w:lvlText w:val="%3."/>
      <w:lvlJc w:val="right"/>
      <w:pPr>
        <w:ind w:left="2160" w:hanging="180"/>
      </w:pPr>
    </w:lvl>
    <w:lvl w:ilvl="3" w:tplc="4C09000F" w:tentative="1">
      <w:start w:val="1"/>
      <w:numFmt w:val="decimal"/>
      <w:lvlText w:val="%4."/>
      <w:lvlJc w:val="left"/>
      <w:pPr>
        <w:ind w:left="2880" w:hanging="360"/>
      </w:pPr>
    </w:lvl>
    <w:lvl w:ilvl="4" w:tplc="4C090019" w:tentative="1">
      <w:start w:val="1"/>
      <w:numFmt w:val="lowerLetter"/>
      <w:lvlText w:val="%5."/>
      <w:lvlJc w:val="left"/>
      <w:pPr>
        <w:ind w:left="3600" w:hanging="360"/>
      </w:pPr>
    </w:lvl>
    <w:lvl w:ilvl="5" w:tplc="4C09001B" w:tentative="1">
      <w:start w:val="1"/>
      <w:numFmt w:val="lowerRoman"/>
      <w:lvlText w:val="%6."/>
      <w:lvlJc w:val="right"/>
      <w:pPr>
        <w:ind w:left="4320" w:hanging="180"/>
      </w:pPr>
    </w:lvl>
    <w:lvl w:ilvl="6" w:tplc="4C09000F" w:tentative="1">
      <w:start w:val="1"/>
      <w:numFmt w:val="decimal"/>
      <w:lvlText w:val="%7."/>
      <w:lvlJc w:val="left"/>
      <w:pPr>
        <w:ind w:left="5040" w:hanging="360"/>
      </w:pPr>
    </w:lvl>
    <w:lvl w:ilvl="7" w:tplc="4C090019" w:tentative="1">
      <w:start w:val="1"/>
      <w:numFmt w:val="lowerLetter"/>
      <w:lvlText w:val="%8."/>
      <w:lvlJc w:val="left"/>
      <w:pPr>
        <w:ind w:left="5760" w:hanging="360"/>
      </w:pPr>
    </w:lvl>
    <w:lvl w:ilvl="8" w:tplc="4C09001B" w:tentative="1">
      <w:start w:val="1"/>
      <w:numFmt w:val="lowerRoman"/>
      <w:lvlText w:val="%9."/>
      <w:lvlJc w:val="right"/>
      <w:pPr>
        <w:ind w:left="6480" w:hanging="180"/>
      </w:pPr>
    </w:lvl>
  </w:abstractNum>
  <w:abstractNum w:abstractNumId="12" w15:restartNumberingAfterBreak="0">
    <w:nsid w:val="137B00B2"/>
    <w:multiLevelType w:val="multilevel"/>
    <w:tmpl w:val="17161084"/>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5C31827"/>
    <w:multiLevelType w:val="hybridMultilevel"/>
    <w:tmpl w:val="D436CEB8"/>
    <w:lvl w:ilvl="0" w:tplc="4C090019">
      <w:start w:val="5"/>
      <w:numFmt w:val="lowerLetter"/>
      <w:lvlText w:val="%1."/>
      <w:lvlJc w:val="left"/>
      <w:pPr>
        <w:ind w:left="502" w:hanging="360"/>
      </w:pPr>
      <w:rPr>
        <w:rFonts w:hint="default"/>
      </w:rPr>
    </w:lvl>
    <w:lvl w:ilvl="1" w:tplc="4C090019" w:tentative="1">
      <w:start w:val="1"/>
      <w:numFmt w:val="lowerLetter"/>
      <w:lvlText w:val="%2."/>
      <w:lvlJc w:val="left"/>
      <w:pPr>
        <w:ind w:left="1222" w:hanging="360"/>
      </w:pPr>
    </w:lvl>
    <w:lvl w:ilvl="2" w:tplc="4C09001B" w:tentative="1">
      <w:start w:val="1"/>
      <w:numFmt w:val="lowerRoman"/>
      <w:lvlText w:val="%3."/>
      <w:lvlJc w:val="right"/>
      <w:pPr>
        <w:ind w:left="1942" w:hanging="180"/>
      </w:pPr>
    </w:lvl>
    <w:lvl w:ilvl="3" w:tplc="4C09000F" w:tentative="1">
      <w:start w:val="1"/>
      <w:numFmt w:val="decimal"/>
      <w:lvlText w:val="%4."/>
      <w:lvlJc w:val="left"/>
      <w:pPr>
        <w:ind w:left="2662" w:hanging="360"/>
      </w:pPr>
    </w:lvl>
    <w:lvl w:ilvl="4" w:tplc="4C090019" w:tentative="1">
      <w:start w:val="1"/>
      <w:numFmt w:val="lowerLetter"/>
      <w:lvlText w:val="%5."/>
      <w:lvlJc w:val="left"/>
      <w:pPr>
        <w:ind w:left="3382" w:hanging="360"/>
      </w:pPr>
    </w:lvl>
    <w:lvl w:ilvl="5" w:tplc="4C09001B" w:tentative="1">
      <w:start w:val="1"/>
      <w:numFmt w:val="lowerRoman"/>
      <w:lvlText w:val="%6."/>
      <w:lvlJc w:val="right"/>
      <w:pPr>
        <w:ind w:left="4102" w:hanging="180"/>
      </w:pPr>
    </w:lvl>
    <w:lvl w:ilvl="6" w:tplc="4C09000F" w:tentative="1">
      <w:start w:val="1"/>
      <w:numFmt w:val="decimal"/>
      <w:lvlText w:val="%7."/>
      <w:lvlJc w:val="left"/>
      <w:pPr>
        <w:ind w:left="4822" w:hanging="360"/>
      </w:pPr>
    </w:lvl>
    <w:lvl w:ilvl="7" w:tplc="4C090019" w:tentative="1">
      <w:start w:val="1"/>
      <w:numFmt w:val="lowerLetter"/>
      <w:lvlText w:val="%8."/>
      <w:lvlJc w:val="left"/>
      <w:pPr>
        <w:ind w:left="5542" w:hanging="360"/>
      </w:pPr>
    </w:lvl>
    <w:lvl w:ilvl="8" w:tplc="4C09001B" w:tentative="1">
      <w:start w:val="1"/>
      <w:numFmt w:val="lowerRoman"/>
      <w:lvlText w:val="%9."/>
      <w:lvlJc w:val="right"/>
      <w:pPr>
        <w:ind w:left="6262" w:hanging="180"/>
      </w:pPr>
    </w:lvl>
  </w:abstractNum>
  <w:abstractNum w:abstractNumId="14" w15:restartNumberingAfterBreak="0">
    <w:nsid w:val="161606D7"/>
    <w:multiLevelType w:val="multilevel"/>
    <w:tmpl w:val="46500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6F606AC"/>
    <w:multiLevelType w:val="hybridMultilevel"/>
    <w:tmpl w:val="64104B88"/>
    <w:lvl w:ilvl="0" w:tplc="4C090017">
      <w:start w:val="1"/>
      <w:numFmt w:val="lowerLetter"/>
      <w:lvlText w:val="%1)"/>
      <w:lvlJc w:val="left"/>
      <w:pPr>
        <w:ind w:left="1440" w:hanging="360"/>
      </w:pPr>
    </w:lvl>
    <w:lvl w:ilvl="1" w:tplc="4C090019" w:tentative="1">
      <w:start w:val="1"/>
      <w:numFmt w:val="lowerLetter"/>
      <w:lvlText w:val="%2."/>
      <w:lvlJc w:val="left"/>
      <w:pPr>
        <w:ind w:left="2160" w:hanging="360"/>
      </w:pPr>
    </w:lvl>
    <w:lvl w:ilvl="2" w:tplc="4C09001B" w:tentative="1">
      <w:start w:val="1"/>
      <w:numFmt w:val="lowerRoman"/>
      <w:lvlText w:val="%3."/>
      <w:lvlJc w:val="right"/>
      <w:pPr>
        <w:ind w:left="2880" w:hanging="180"/>
      </w:pPr>
    </w:lvl>
    <w:lvl w:ilvl="3" w:tplc="4C09000F" w:tentative="1">
      <w:start w:val="1"/>
      <w:numFmt w:val="decimal"/>
      <w:lvlText w:val="%4."/>
      <w:lvlJc w:val="left"/>
      <w:pPr>
        <w:ind w:left="3600" w:hanging="360"/>
      </w:pPr>
    </w:lvl>
    <w:lvl w:ilvl="4" w:tplc="4C090019" w:tentative="1">
      <w:start w:val="1"/>
      <w:numFmt w:val="lowerLetter"/>
      <w:lvlText w:val="%5."/>
      <w:lvlJc w:val="left"/>
      <w:pPr>
        <w:ind w:left="4320" w:hanging="360"/>
      </w:pPr>
    </w:lvl>
    <w:lvl w:ilvl="5" w:tplc="4C09001B" w:tentative="1">
      <w:start w:val="1"/>
      <w:numFmt w:val="lowerRoman"/>
      <w:lvlText w:val="%6."/>
      <w:lvlJc w:val="right"/>
      <w:pPr>
        <w:ind w:left="5040" w:hanging="180"/>
      </w:pPr>
    </w:lvl>
    <w:lvl w:ilvl="6" w:tplc="4C09000F" w:tentative="1">
      <w:start w:val="1"/>
      <w:numFmt w:val="decimal"/>
      <w:lvlText w:val="%7."/>
      <w:lvlJc w:val="left"/>
      <w:pPr>
        <w:ind w:left="5760" w:hanging="360"/>
      </w:pPr>
    </w:lvl>
    <w:lvl w:ilvl="7" w:tplc="4C090019" w:tentative="1">
      <w:start w:val="1"/>
      <w:numFmt w:val="lowerLetter"/>
      <w:lvlText w:val="%8."/>
      <w:lvlJc w:val="left"/>
      <w:pPr>
        <w:ind w:left="6480" w:hanging="360"/>
      </w:pPr>
    </w:lvl>
    <w:lvl w:ilvl="8" w:tplc="4C09001B" w:tentative="1">
      <w:start w:val="1"/>
      <w:numFmt w:val="lowerRoman"/>
      <w:lvlText w:val="%9."/>
      <w:lvlJc w:val="right"/>
      <w:pPr>
        <w:ind w:left="7200" w:hanging="180"/>
      </w:pPr>
    </w:lvl>
  </w:abstractNum>
  <w:abstractNum w:abstractNumId="16" w15:restartNumberingAfterBreak="0">
    <w:nsid w:val="1B7100F0"/>
    <w:multiLevelType w:val="multilevel"/>
    <w:tmpl w:val="47A6F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BC92042"/>
    <w:multiLevelType w:val="multilevel"/>
    <w:tmpl w:val="7AC66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DE63582"/>
    <w:multiLevelType w:val="multilevel"/>
    <w:tmpl w:val="1B8E558C"/>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3A353D1"/>
    <w:multiLevelType w:val="multilevel"/>
    <w:tmpl w:val="A5928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4592C07"/>
    <w:multiLevelType w:val="multilevel"/>
    <w:tmpl w:val="A88A448C"/>
    <w:lvl w:ilvl="0">
      <w:start w:val="3"/>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21" w15:restartNumberingAfterBreak="0">
    <w:nsid w:val="251423E6"/>
    <w:multiLevelType w:val="multilevel"/>
    <w:tmpl w:val="E1E80F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676459E"/>
    <w:multiLevelType w:val="multilevel"/>
    <w:tmpl w:val="FD344B94"/>
    <w:lvl w:ilvl="0">
      <w:start w:val="3"/>
      <w:numFmt w:val="decimal"/>
      <w:lvlText w:val="%1."/>
      <w:lvlJc w:val="left"/>
      <w:pPr>
        <w:ind w:left="384" w:hanging="384"/>
      </w:pPr>
      <w:rPr>
        <w:rFonts w:hint="default"/>
        <w:b/>
      </w:rPr>
    </w:lvl>
    <w:lvl w:ilvl="1">
      <w:start w:val="3"/>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23" w15:restartNumberingAfterBreak="0">
    <w:nsid w:val="284B00E2"/>
    <w:multiLevelType w:val="multilevel"/>
    <w:tmpl w:val="36DAAADC"/>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9636891"/>
    <w:multiLevelType w:val="multilevel"/>
    <w:tmpl w:val="B5DADA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AC1760C"/>
    <w:multiLevelType w:val="multilevel"/>
    <w:tmpl w:val="0B168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B0B6D95"/>
    <w:multiLevelType w:val="multilevel"/>
    <w:tmpl w:val="5C1064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BE079CA"/>
    <w:multiLevelType w:val="multilevel"/>
    <w:tmpl w:val="1D3E1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2BF45B1D"/>
    <w:multiLevelType w:val="multilevel"/>
    <w:tmpl w:val="495807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DB07F2B"/>
    <w:multiLevelType w:val="multilevel"/>
    <w:tmpl w:val="BFC6A818"/>
    <w:lvl w:ilvl="0">
      <w:start w:val="1"/>
      <w:numFmt w:val="decimal"/>
      <w:lvlText w:val="%1."/>
      <w:lvlJc w:val="left"/>
      <w:pPr>
        <w:ind w:left="720" w:hanging="360"/>
      </w:pPr>
      <w:rPr>
        <w:rFonts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0" w15:restartNumberingAfterBreak="0">
    <w:nsid w:val="2EC15FCC"/>
    <w:multiLevelType w:val="multilevel"/>
    <w:tmpl w:val="9F5AA74E"/>
    <w:lvl w:ilvl="0">
      <w:start w:val="1"/>
      <w:numFmt w:val="bullet"/>
      <w:lvlText w:val=""/>
      <w:lvlJc w:val="left"/>
      <w:pPr>
        <w:tabs>
          <w:tab w:val="num" w:pos="720"/>
        </w:tabs>
        <w:ind w:left="720" w:hanging="360"/>
      </w:pPr>
      <w:rPr>
        <w:rFonts w:ascii="Symbol" w:hAnsi="Symbol" w:hint="default"/>
        <w:sz w:val="20"/>
      </w:rPr>
    </w:lvl>
    <w:lvl w:ilvl="1">
      <w:start w:val="7"/>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2EE71C41"/>
    <w:multiLevelType w:val="hybridMultilevel"/>
    <w:tmpl w:val="E88E2FCC"/>
    <w:lvl w:ilvl="0" w:tplc="4C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33B85F6D"/>
    <w:multiLevelType w:val="multilevel"/>
    <w:tmpl w:val="0B563A14"/>
    <w:lvl w:ilvl="0">
      <w:start w:val="1"/>
      <w:numFmt w:val="lowerLetter"/>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43E5CA6"/>
    <w:multiLevelType w:val="hybridMultilevel"/>
    <w:tmpl w:val="1B644268"/>
    <w:lvl w:ilvl="0" w:tplc="4C090015">
      <w:start w:val="1"/>
      <w:numFmt w:val="upperLetter"/>
      <w:lvlText w:val="%1."/>
      <w:lvlJc w:val="left"/>
      <w:pPr>
        <w:ind w:left="720" w:hanging="360"/>
      </w:pPr>
      <w:rPr>
        <w:rFonts w:hint="default"/>
      </w:rPr>
    </w:lvl>
    <w:lvl w:ilvl="1" w:tplc="4C090019" w:tentative="1">
      <w:start w:val="1"/>
      <w:numFmt w:val="lowerLetter"/>
      <w:lvlText w:val="%2."/>
      <w:lvlJc w:val="left"/>
      <w:pPr>
        <w:ind w:left="1440" w:hanging="360"/>
      </w:pPr>
    </w:lvl>
    <w:lvl w:ilvl="2" w:tplc="4C09001B" w:tentative="1">
      <w:start w:val="1"/>
      <w:numFmt w:val="lowerRoman"/>
      <w:lvlText w:val="%3."/>
      <w:lvlJc w:val="right"/>
      <w:pPr>
        <w:ind w:left="2160" w:hanging="180"/>
      </w:pPr>
    </w:lvl>
    <w:lvl w:ilvl="3" w:tplc="4C09000F" w:tentative="1">
      <w:start w:val="1"/>
      <w:numFmt w:val="decimal"/>
      <w:lvlText w:val="%4."/>
      <w:lvlJc w:val="left"/>
      <w:pPr>
        <w:ind w:left="2880" w:hanging="360"/>
      </w:pPr>
    </w:lvl>
    <w:lvl w:ilvl="4" w:tplc="4C090019" w:tentative="1">
      <w:start w:val="1"/>
      <w:numFmt w:val="lowerLetter"/>
      <w:lvlText w:val="%5."/>
      <w:lvlJc w:val="left"/>
      <w:pPr>
        <w:ind w:left="3600" w:hanging="360"/>
      </w:pPr>
    </w:lvl>
    <w:lvl w:ilvl="5" w:tplc="4C09001B" w:tentative="1">
      <w:start w:val="1"/>
      <w:numFmt w:val="lowerRoman"/>
      <w:lvlText w:val="%6."/>
      <w:lvlJc w:val="right"/>
      <w:pPr>
        <w:ind w:left="4320" w:hanging="180"/>
      </w:pPr>
    </w:lvl>
    <w:lvl w:ilvl="6" w:tplc="4C09000F" w:tentative="1">
      <w:start w:val="1"/>
      <w:numFmt w:val="decimal"/>
      <w:lvlText w:val="%7."/>
      <w:lvlJc w:val="left"/>
      <w:pPr>
        <w:ind w:left="5040" w:hanging="360"/>
      </w:pPr>
    </w:lvl>
    <w:lvl w:ilvl="7" w:tplc="4C090019" w:tentative="1">
      <w:start w:val="1"/>
      <w:numFmt w:val="lowerLetter"/>
      <w:lvlText w:val="%8."/>
      <w:lvlJc w:val="left"/>
      <w:pPr>
        <w:ind w:left="5760" w:hanging="360"/>
      </w:pPr>
    </w:lvl>
    <w:lvl w:ilvl="8" w:tplc="4C09001B" w:tentative="1">
      <w:start w:val="1"/>
      <w:numFmt w:val="lowerRoman"/>
      <w:lvlText w:val="%9."/>
      <w:lvlJc w:val="right"/>
      <w:pPr>
        <w:ind w:left="6480" w:hanging="180"/>
      </w:pPr>
    </w:lvl>
  </w:abstractNum>
  <w:abstractNum w:abstractNumId="34" w15:restartNumberingAfterBreak="0">
    <w:nsid w:val="3589011F"/>
    <w:multiLevelType w:val="multilevel"/>
    <w:tmpl w:val="02C6AFF0"/>
    <w:lvl w:ilvl="0">
      <w:start w:val="1"/>
      <w:numFmt w:val="lowerLetter"/>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7DA7434"/>
    <w:multiLevelType w:val="multilevel"/>
    <w:tmpl w:val="6C3477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84735F1"/>
    <w:multiLevelType w:val="hybridMultilevel"/>
    <w:tmpl w:val="28A47F2A"/>
    <w:lvl w:ilvl="0" w:tplc="07383C3C">
      <w:start w:val="1"/>
      <w:numFmt w:val="decimal"/>
      <w:lvlText w:val="%1."/>
      <w:lvlJc w:val="left"/>
      <w:pPr>
        <w:ind w:left="720" w:hanging="360"/>
      </w:pPr>
      <w:rPr>
        <w:rFonts w:hint="default"/>
      </w:rPr>
    </w:lvl>
    <w:lvl w:ilvl="1" w:tplc="4C090019" w:tentative="1">
      <w:start w:val="1"/>
      <w:numFmt w:val="lowerLetter"/>
      <w:lvlText w:val="%2."/>
      <w:lvlJc w:val="left"/>
      <w:pPr>
        <w:ind w:left="1440" w:hanging="360"/>
      </w:pPr>
    </w:lvl>
    <w:lvl w:ilvl="2" w:tplc="4C09001B" w:tentative="1">
      <w:start w:val="1"/>
      <w:numFmt w:val="lowerRoman"/>
      <w:lvlText w:val="%3."/>
      <w:lvlJc w:val="right"/>
      <w:pPr>
        <w:ind w:left="2160" w:hanging="180"/>
      </w:pPr>
    </w:lvl>
    <w:lvl w:ilvl="3" w:tplc="4C09000F" w:tentative="1">
      <w:start w:val="1"/>
      <w:numFmt w:val="decimal"/>
      <w:lvlText w:val="%4."/>
      <w:lvlJc w:val="left"/>
      <w:pPr>
        <w:ind w:left="2880" w:hanging="360"/>
      </w:pPr>
    </w:lvl>
    <w:lvl w:ilvl="4" w:tplc="4C090019" w:tentative="1">
      <w:start w:val="1"/>
      <w:numFmt w:val="lowerLetter"/>
      <w:lvlText w:val="%5."/>
      <w:lvlJc w:val="left"/>
      <w:pPr>
        <w:ind w:left="3600" w:hanging="360"/>
      </w:pPr>
    </w:lvl>
    <w:lvl w:ilvl="5" w:tplc="4C09001B" w:tentative="1">
      <w:start w:val="1"/>
      <w:numFmt w:val="lowerRoman"/>
      <w:lvlText w:val="%6."/>
      <w:lvlJc w:val="right"/>
      <w:pPr>
        <w:ind w:left="4320" w:hanging="180"/>
      </w:pPr>
    </w:lvl>
    <w:lvl w:ilvl="6" w:tplc="4C09000F" w:tentative="1">
      <w:start w:val="1"/>
      <w:numFmt w:val="decimal"/>
      <w:lvlText w:val="%7."/>
      <w:lvlJc w:val="left"/>
      <w:pPr>
        <w:ind w:left="5040" w:hanging="360"/>
      </w:pPr>
    </w:lvl>
    <w:lvl w:ilvl="7" w:tplc="4C090019" w:tentative="1">
      <w:start w:val="1"/>
      <w:numFmt w:val="lowerLetter"/>
      <w:lvlText w:val="%8."/>
      <w:lvlJc w:val="left"/>
      <w:pPr>
        <w:ind w:left="5760" w:hanging="360"/>
      </w:pPr>
    </w:lvl>
    <w:lvl w:ilvl="8" w:tplc="4C09001B" w:tentative="1">
      <w:start w:val="1"/>
      <w:numFmt w:val="lowerRoman"/>
      <w:lvlText w:val="%9."/>
      <w:lvlJc w:val="right"/>
      <w:pPr>
        <w:ind w:left="6480" w:hanging="180"/>
      </w:pPr>
    </w:lvl>
  </w:abstractNum>
  <w:abstractNum w:abstractNumId="37" w15:restartNumberingAfterBreak="0">
    <w:nsid w:val="384A2A03"/>
    <w:multiLevelType w:val="multilevel"/>
    <w:tmpl w:val="BCB27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3CA72111"/>
    <w:multiLevelType w:val="multilevel"/>
    <w:tmpl w:val="A3CE83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3E934C7E"/>
    <w:multiLevelType w:val="hybridMultilevel"/>
    <w:tmpl w:val="8EAE0E48"/>
    <w:lvl w:ilvl="0" w:tplc="4C090001">
      <w:start w:val="1"/>
      <w:numFmt w:val="bullet"/>
      <w:lvlText w:val=""/>
      <w:lvlJc w:val="left"/>
      <w:pPr>
        <w:ind w:left="720" w:hanging="360"/>
      </w:pPr>
      <w:rPr>
        <w:rFonts w:ascii="Symbol" w:hAnsi="Symbol"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40" w15:restartNumberingAfterBreak="0">
    <w:nsid w:val="3FCE15A8"/>
    <w:multiLevelType w:val="multilevel"/>
    <w:tmpl w:val="02387C1C"/>
    <w:lvl w:ilvl="0">
      <w:start w:val="1"/>
      <w:numFmt w:val="lowerLetter"/>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41A35C82"/>
    <w:multiLevelType w:val="multilevel"/>
    <w:tmpl w:val="01EE5FC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2" w15:restartNumberingAfterBreak="0">
    <w:nsid w:val="4211525A"/>
    <w:multiLevelType w:val="multilevel"/>
    <w:tmpl w:val="08002D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446C337E"/>
    <w:multiLevelType w:val="hybridMultilevel"/>
    <w:tmpl w:val="86F85D5C"/>
    <w:lvl w:ilvl="0" w:tplc="4C090019">
      <w:start w:val="3"/>
      <w:numFmt w:val="lowerLetter"/>
      <w:lvlText w:val="%1."/>
      <w:lvlJc w:val="left"/>
      <w:pPr>
        <w:ind w:left="720" w:hanging="360"/>
      </w:pPr>
      <w:rPr>
        <w:rFonts w:hint="default"/>
      </w:rPr>
    </w:lvl>
    <w:lvl w:ilvl="1" w:tplc="4C090019" w:tentative="1">
      <w:start w:val="1"/>
      <w:numFmt w:val="lowerLetter"/>
      <w:lvlText w:val="%2."/>
      <w:lvlJc w:val="left"/>
      <w:pPr>
        <w:ind w:left="1440" w:hanging="360"/>
      </w:pPr>
    </w:lvl>
    <w:lvl w:ilvl="2" w:tplc="4C09001B" w:tentative="1">
      <w:start w:val="1"/>
      <w:numFmt w:val="lowerRoman"/>
      <w:lvlText w:val="%3."/>
      <w:lvlJc w:val="right"/>
      <w:pPr>
        <w:ind w:left="2160" w:hanging="180"/>
      </w:pPr>
    </w:lvl>
    <w:lvl w:ilvl="3" w:tplc="4C09000F" w:tentative="1">
      <w:start w:val="1"/>
      <w:numFmt w:val="decimal"/>
      <w:lvlText w:val="%4."/>
      <w:lvlJc w:val="left"/>
      <w:pPr>
        <w:ind w:left="2880" w:hanging="360"/>
      </w:pPr>
    </w:lvl>
    <w:lvl w:ilvl="4" w:tplc="4C090019" w:tentative="1">
      <w:start w:val="1"/>
      <w:numFmt w:val="lowerLetter"/>
      <w:lvlText w:val="%5."/>
      <w:lvlJc w:val="left"/>
      <w:pPr>
        <w:ind w:left="3600" w:hanging="360"/>
      </w:pPr>
    </w:lvl>
    <w:lvl w:ilvl="5" w:tplc="4C09001B" w:tentative="1">
      <w:start w:val="1"/>
      <w:numFmt w:val="lowerRoman"/>
      <w:lvlText w:val="%6."/>
      <w:lvlJc w:val="right"/>
      <w:pPr>
        <w:ind w:left="4320" w:hanging="180"/>
      </w:pPr>
    </w:lvl>
    <w:lvl w:ilvl="6" w:tplc="4C09000F" w:tentative="1">
      <w:start w:val="1"/>
      <w:numFmt w:val="decimal"/>
      <w:lvlText w:val="%7."/>
      <w:lvlJc w:val="left"/>
      <w:pPr>
        <w:ind w:left="5040" w:hanging="360"/>
      </w:pPr>
    </w:lvl>
    <w:lvl w:ilvl="7" w:tplc="4C090019" w:tentative="1">
      <w:start w:val="1"/>
      <w:numFmt w:val="lowerLetter"/>
      <w:lvlText w:val="%8."/>
      <w:lvlJc w:val="left"/>
      <w:pPr>
        <w:ind w:left="5760" w:hanging="360"/>
      </w:pPr>
    </w:lvl>
    <w:lvl w:ilvl="8" w:tplc="4C09001B" w:tentative="1">
      <w:start w:val="1"/>
      <w:numFmt w:val="lowerRoman"/>
      <w:lvlText w:val="%9."/>
      <w:lvlJc w:val="right"/>
      <w:pPr>
        <w:ind w:left="6480" w:hanging="180"/>
      </w:pPr>
    </w:lvl>
  </w:abstractNum>
  <w:abstractNum w:abstractNumId="44" w15:restartNumberingAfterBreak="0">
    <w:nsid w:val="453C49A4"/>
    <w:multiLevelType w:val="hybridMultilevel"/>
    <w:tmpl w:val="86B42DC6"/>
    <w:lvl w:ilvl="0" w:tplc="4C09000F">
      <w:start w:val="1"/>
      <w:numFmt w:val="decimal"/>
      <w:lvlText w:val="%1."/>
      <w:lvlJc w:val="left"/>
      <w:pPr>
        <w:ind w:left="720" w:hanging="360"/>
      </w:pPr>
      <w:rPr>
        <w:rFonts w:hint="default"/>
      </w:rPr>
    </w:lvl>
    <w:lvl w:ilvl="1" w:tplc="4C090019" w:tentative="1">
      <w:start w:val="1"/>
      <w:numFmt w:val="lowerLetter"/>
      <w:lvlText w:val="%2."/>
      <w:lvlJc w:val="left"/>
      <w:pPr>
        <w:ind w:left="1440" w:hanging="360"/>
      </w:pPr>
    </w:lvl>
    <w:lvl w:ilvl="2" w:tplc="4C09001B" w:tentative="1">
      <w:start w:val="1"/>
      <w:numFmt w:val="lowerRoman"/>
      <w:lvlText w:val="%3."/>
      <w:lvlJc w:val="right"/>
      <w:pPr>
        <w:ind w:left="2160" w:hanging="180"/>
      </w:pPr>
    </w:lvl>
    <w:lvl w:ilvl="3" w:tplc="4C09000F" w:tentative="1">
      <w:start w:val="1"/>
      <w:numFmt w:val="decimal"/>
      <w:lvlText w:val="%4."/>
      <w:lvlJc w:val="left"/>
      <w:pPr>
        <w:ind w:left="2880" w:hanging="360"/>
      </w:pPr>
    </w:lvl>
    <w:lvl w:ilvl="4" w:tplc="4C090019" w:tentative="1">
      <w:start w:val="1"/>
      <w:numFmt w:val="lowerLetter"/>
      <w:lvlText w:val="%5."/>
      <w:lvlJc w:val="left"/>
      <w:pPr>
        <w:ind w:left="3600" w:hanging="360"/>
      </w:pPr>
    </w:lvl>
    <w:lvl w:ilvl="5" w:tplc="4C09001B" w:tentative="1">
      <w:start w:val="1"/>
      <w:numFmt w:val="lowerRoman"/>
      <w:lvlText w:val="%6."/>
      <w:lvlJc w:val="right"/>
      <w:pPr>
        <w:ind w:left="4320" w:hanging="180"/>
      </w:pPr>
    </w:lvl>
    <w:lvl w:ilvl="6" w:tplc="4C09000F" w:tentative="1">
      <w:start w:val="1"/>
      <w:numFmt w:val="decimal"/>
      <w:lvlText w:val="%7."/>
      <w:lvlJc w:val="left"/>
      <w:pPr>
        <w:ind w:left="5040" w:hanging="360"/>
      </w:pPr>
    </w:lvl>
    <w:lvl w:ilvl="7" w:tplc="4C090019" w:tentative="1">
      <w:start w:val="1"/>
      <w:numFmt w:val="lowerLetter"/>
      <w:lvlText w:val="%8."/>
      <w:lvlJc w:val="left"/>
      <w:pPr>
        <w:ind w:left="5760" w:hanging="360"/>
      </w:pPr>
    </w:lvl>
    <w:lvl w:ilvl="8" w:tplc="4C09001B" w:tentative="1">
      <w:start w:val="1"/>
      <w:numFmt w:val="lowerRoman"/>
      <w:lvlText w:val="%9."/>
      <w:lvlJc w:val="right"/>
      <w:pPr>
        <w:ind w:left="6480" w:hanging="180"/>
      </w:pPr>
    </w:lvl>
  </w:abstractNum>
  <w:abstractNum w:abstractNumId="45" w15:restartNumberingAfterBreak="0">
    <w:nsid w:val="47246169"/>
    <w:multiLevelType w:val="multilevel"/>
    <w:tmpl w:val="E6B06A16"/>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B506F3D"/>
    <w:multiLevelType w:val="multilevel"/>
    <w:tmpl w:val="F8A2287E"/>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4B733D7F"/>
    <w:multiLevelType w:val="multilevel"/>
    <w:tmpl w:val="CEBCA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4CED5F09"/>
    <w:multiLevelType w:val="multilevel"/>
    <w:tmpl w:val="709A1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4CF63635"/>
    <w:multiLevelType w:val="multilevel"/>
    <w:tmpl w:val="91A26D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4DE03F1C"/>
    <w:multiLevelType w:val="hybridMultilevel"/>
    <w:tmpl w:val="8B8CE038"/>
    <w:lvl w:ilvl="0" w:tplc="4C09000F">
      <w:start w:val="1"/>
      <w:numFmt w:val="decimal"/>
      <w:lvlText w:val="%1."/>
      <w:lvlJc w:val="left"/>
      <w:pPr>
        <w:ind w:left="720" w:hanging="360"/>
      </w:pPr>
      <w:rPr>
        <w:rFonts w:hint="default"/>
      </w:rPr>
    </w:lvl>
    <w:lvl w:ilvl="1" w:tplc="4C090019" w:tentative="1">
      <w:start w:val="1"/>
      <w:numFmt w:val="lowerLetter"/>
      <w:lvlText w:val="%2."/>
      <w:lvlJc w:val="left"/>
      <w:pPr>
        <w:ind w:left="1440" w:hanging="360"/>
      </w:pPr>
    </w:lvl>
    <w:lvl w:ilvl="2" w:tplc="4C09001B" w:tentative="1">
      <w:start w:val="1"/>
      <w:numFmt w:val="lowerRoman"/>
      <w:lvlText w:val="%3."/>
      <w:lvlJc w:val="right"/>
      <w:pPr>
        <w:ind w:left="2160" w:hanging="180"/>
      </w:pPr>
    </w:lvl>
    <w:lvl w:ilvl="3" w:tplc="4C09000F" w:tentative="1">
      <w:start w:val="1"/>
      <w:numFmt w:val="decimal"/>
      <w:lvlText w:val="%4."/>
      <w:lvlJc w:val="left"/>
      <w:pPr>
        <w:ind w:left="2880" w:hanging="360"/>
      </w:pPr>
    </w:lvl>
    <w:lvl w:ilvl="4" w:tplc="4C090019" w:tentative="1">
      <w:start w:val="1"/>
      <w:numFmt w:val="lowerLetter"/>
      <w:lvlText w:val="%5."/>
      <w:lvlJc w:val="left"/>
      <w:pPr>
        <w:ind w:left="3600" w:hanging="360"/>
      </w:pPr>
    </w:lvl>
    <w:lvl w:ilvl="5" w:tplc="4C09001B" w:tentative="1">
      <w:start w:val="1"/>
      <w:numFmt w:val="lowerRoman"/>
      <w:lvlText w:val="%6."/>
      <w:lvlJc w:val="right"/>
      <w:pPr>
        <w:ind w:left="4320" w:hanging="180"/>
      </w:pPr>
    </w:lvl>
    <w:lvl w:ilvl="6" w:tplc="4C09000F" w:tentative="1">
      <w:start w:val="1"/>
      <w:numFmt w:val="decimal"/>
      <w:lvlText w:val="%7."/>
      <w:lvlJc w:val="left"/>
      <w:pPr>
        <w:ind w:left="5040" w:hanging="360"/>
      </w:pPr>
    </w:lvl>
    <w:lvl w:ilvl="7" w:tplc="4C090019" w:tentative="1">
      <w:start w:val="1"/>
      <w:numFmt w:val="lowerLetter"/>
      <w:lvlText w:val="%8."/>
      <w:lvlJc w:val="left"/>
      <w:pPr>
        <w:ind w:left="5760" w:hanging="360"/>
      </w:pPr>
    </w:lvl>
    <w:lvl w:ilvl="8" w:tplc="4C09001B" w:tentative="1">
      <w:start w:val="1"/>
      <w:numFmt w:val="lowerRoman"/>
      <w:lvlText w:val="%9."/>
      <w:lvlJc w:val="right"/>
      <w:pPr>
        <w:ind w:left="6480" w:hanging="180"/>
      </w:pPr>
    </w:lvl>
  </w:abstractNum>
  <w:abstractNum w:abstractNumId="51" w15:restartNumberingAfterBreak="0">
    <w:nsid w:val="4F907F6E"/>
    <w:multiLevelType w:val="multilevel"/>
    <w:tmpl w:val="00A885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51420EEF"/>
    <w:multiLevelType w:val="multilevel"/>
    <w:tmpl w:val="5412B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51BA0748"/>
    <w:multiLevelType w:val="multilevel"/>
    <w:tmpl w:val="06B23B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2C4712C"/>
    <w:multiLevelType w:val="multilevel"/>
    <w:tmpl w:val="03786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59961481"/>
    <w:multiLevelType w:val="hybridMultilevel"/>
    <w:tmpl w:val="7E76D9B8"/>
    <w:lvl w:ilvl="0" w:tplc="4C090015">
      <w:start w:val="1"/>
      <w:numFmt w:val="upperLetter"/>
      <w:lvlText w:val="%1."/>
      <w:lvlJc w:val="left"/>
      <w:pPr>
        <w:ind w:left="720" w:hanging="360"/>
      </w:pPr>
      <w:rPr>
        <w:rFonts w:hint="default"/>
      </w:rPr>
    </w:lvl>
    <w:lvl w:ilvl="1" w:tplc="4C090019" w:tentative="1">
      <w:start w:val="1"/>
      <w:numFmt w:val="lowerLetter"/>
      <w:lvlText w:val="%2."/>
      <w:lvlJc w:val="left"/>
      <w:pPr>
        <w:ind w:left="1440" w:hanging="360"/>
      </w:pPr>
    </w:lvl>
    <w:lvl w:ilvl="2" w:tplc="4C09001B" w:tentative="1">
      <w:start w:val="1"/>
      <w:numFmt w:val="lowerRoman"/>
      <w:lvlText w:val="%3."/>
      <w:lvlJc w:val="right"/>
      <w:pPr>
        <w:ind w:left="2160" w:hanging="180"/>
      </w:pPr>
    </w:lvl>
    <w:lvl w:ilvl="3" w:tplc="4C09000F" w:tentative="1">
      <w:start w:val="1"/>
      <w:numFmt w:val="decimal"/>
      <w:lvlText w:val="%4."/>
      <w:lvlJc w:val="left"/>
      <w:pPr>
        <w:ind w:left="2880" w:hanging="360"/>
      </w:pPr>
    </w:lvl>
    <w:lvl w:ilvl="4" w:tplc="4C090019" w:tentative="1">
      <w:start w:val="1"/>
      <w:numFmt w:val="lowerLetter"/>
      <w:lvlText w:val="%5."/>
      <w:lvlJc w:val="left"/>
      <w:pPr>
        <w:ind w:left="3600" w:hanging="360"/>
      </w:pPr>
    </w:lvl>
    <w:lvl w:ilvl="5" w:tplc="4C09001B" w:tentative="1">
      <w:start w:val="1"/>
      <w:numFmt w:val="lowerRoman"/>
      <w:lvlText w:val="%6."/>
      <w:lvlJc w:val="right"/>
      <w:pPr>
        <w:ind w:left="4320" w:hanging="180"/>
      </w:pPr>
    </w:lvl>
    <w:lvl w:ilvl="6" w:tplc="4C09000F" w:tentative="1">
      <w:start w:val="1"/>
      <w:numFmt w:val="decimal"/>
      <w:lvlText w:val="%7."/>
      <w:lvlJc w:val="left"/>
      <w:pPr>
        <w:ind w:left="5040" w:hanging="360"/>
      </w:pPr>
    </w:lvl>
    <w:lvl w:ilvl="7" w:tplc="4C090019" w:tentative="1">
      <w:start w:val="1"/>
      <w:numFmt w:val="lowerLetter"/>
      <w:lvlText w:val="%8."/>
      <w:lvlJc w:val="left"/>
      <w:pPr>
        <w:ind w:left="5760" w:hanging="360"/>
      </w:pPr>
    </w:lvl>
    <w:lvl w:ilvl="8" w:tplc="4C09001B" w:tentative="1">
      <w:start w:val="1"/>
      <w:numFmt w:val="lowerRoman"/>
      <w:lvlText w:val="%9."/>
      <w:lvlJc w:val="right"/>
      <w:pPr>
        <w:ind w:left="6480" w:hanging="180"/>
      </w:pPr>
    </w:lvl>
  </w:abstractNum>
  <w:abstractNum w:abstractNumId="56" w15:restartNumberingAfterBreak="0">
    <w:nsid w:val="5AE07D26"/>
    <w:multiLevelType w:val="multilevel"/>
    <w:tmpl w:val="4C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7" w15:restartNumberingAfterBreak="0">
    <w:nsid w:val="60433AAF"/>
    <w:multiLevelType w:val="multilevel"/>
    <w:tmpl w:val="27984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61775982"/>
    <w:multiLevelType w:val="multilevel"/>
    <w:tmpl w:val="26F6F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62CA2758"/>
    <w:multiLevelType w:val="hybridMultilevel"/>
    <w:tmpl w:val="126277EC"/>
    <w:lvl w:ilvl="0" w:tplc="4C09000F">
      <w:start w:val="1"/>
      <w:numFmt w:val="decimal"/>
      <w:lvlText w:val="%1."/>
      <w:lvlJc w:val="left"/>
      <w:pPr>
        <w:ind w:left="720" w:hanging="360"/>
      </w:pPr>
    </w:lvl>
    <w:lvl w:ilvl="1" w:tplc="4C090019" w:tentative="1">
      <w:start w:val="1"/>
      <w:numFmt w:val="lowerLetter"/>
      <w:lvlText w:val="%2."/>
      <w:lvlJc w:val="left"/>
      <w:pPr>
        <w:ind w:left="1440" w:hanging="360"/>
      </w:pPr>
    </w:lvl>
    <w:lvl w:ilvl="2" w:tplc="4C09001B" w:tentative="1">
      <w:start w:val="1"/>
      <w:numFmt w:val="lowerRoman"/>
      <w:lvlText w:val="%3."/>
      <w:lvlJc w:val="right"/>
      <w:pPr>
        <w:ind w:left="2160" w:hanging="180"/>
      </w:pPr>
    </w:lvl>
    <w:lvl w:ilvl="3" w:tplc="4C09000F" w:tentative="1">
      <w:start w:val="1"/>
      <w:numFmt w:val="decimal"/>
      <w:lvlText w:val="%4."/>
      <w:lvlJc w:val="left"/>
      <w:pPr>
        <w:ind w:left="2880" w:hanging="360"/>
      </w:pPr>
    </w:lvl>
    <w:lvl w:ilvl="4" w:tplc="4C090019" w:tentative="1">
      <w:start w:val="1"/>
      <w:numFmt w:val="lowerLetter"/>
      <w:lvlText w:val="%5."/>
      <w:lvlJc w:val="left"/>
      <w:pPr>
        <w:ind w:left="3600" w:hanging="360"/>
      </w:pPr>
    </w:lvl>
    <w:lvl w:ilvl="5" w:tplc="4C09001B" w:tentative="1">
      <w:start w:val="1"/>
      <w:numFmt w:val="lowerRoman"/>
      <w:lvlText w:val="%6."/>
      <w:lvlJc w:val="right"/>
      <w:pPr>
        <w:ind w:left="4320" w:hanging="180"/>
      </w:pPr>
    </w:lvl>
    <w:lvl w:ilvl="6" w:tplc="4C09000F" w:tentative="1">
      <w:start w:val="1"/>
      <w:numFmt w:val="decimal"/>
      <w:lvlText w:val="%7."/>
      <w:lvlJc w:val="left"/>
      <w:pPr>
        <w:ind w:left="5040" w:hanging="360"/>
      </w:pPr>
    </w:lvl>
    <w:lvl w:ilvl="7" w:tplc="4C090019" w:tentative="1">
      <w:start w:val="1"/>
      <w:numFmt w:val="lowerLetter"/>
      <w:lvlText w:val="%8."/>
      <w:lvlJc w:val="left"/>
      <w:pPr>
        <w:ind w:left="5760" w:hanging="360"/>
      </w:pPr>
    </w:lvl>
    <w:lvl w:ilvl="8" w:tplc="4C09001B" w:tentative="1">
      <w:start w:val="1"/>
      <w:numFmt w:val="lowerRoman"/>
      <w:lvlText w:val="%9."/>
      <w:lvlJc w:val="right"/>
      <w:pPr>
        <w:ind w:left="6480" w:hanging="180"/>
      </w:pPr>
    </w:lvl>
  </w:abstractNum>
  <w:abstractNum w:abstractNumId="60" w15:restartNumberingAfterBreak="0">
    <w:nsid w:val="63574611"/>
    <w:multiLevelType w:val="hybridMultilevel"/>
    <w:tmpl w:val="5A76CBA0"/>
    <w:lvl w:ilvl="0" w:tplc="6B425B34">
      <w:start w:val="1"/>
      <w:numFmt w:val="decimal"/>
      <w:lvlText w:val="%1."/>
      <w:lvlJc w:val="left"/>
      <w:pPr>
        <w:ind w:left="720" w:hanging="360"/>
      </w:pPr>
      <w:rPr>
        <w:rFonts w:hint="default"/>
      </w:rPr>
    </w:lvl>
    <w:lvl w:ilvl="1" w:tplc="4C090019" w:tentative="1">
      <w:start w:val="1"/>
      <w:numFmt w:val="lowerLetter"/>
      <w:lvlText w:val="%2."/>
      <w:lvlJc w:val="left"/>
      <w:pPr>
        <w:ind w:left="1440" w:hanging="360"/>
      </w:pPr>
    </w:lvl>
    <w:lvl w:ilvl="2" w:tplc="4C09001B" w:tentative="1">
      <w:start w:val="1"/>
      <w:numFmt w:val="lowerRoman"/>
      <w:lvlText w:val="%3."/>
      <w:lvlJc w:val="right"/>
      <w:pPr>
        <w:ind w:left="2160" w:hanging="180"/>
      </w:pPr>
    </w:lvl>
    <w:lvl w:ilvl="3" w:tplc="4C09000F" w:tentative="1">
      <w:start w:val="1"/>
      <w:numFmt w:val="decimal"/>
      <w:lvlText w:val="%4."/>
      <w:lvlJc w:val="left"/>
      <w:pPr>
        <w:ind w:left="2880" w:hanging="360"/>
      </w:pPr>
    </w:lvl>
    <w:lvl w:ilvl="4" w:tplc="4C090019" w:tentative="1">
      <w:start w:val="1"/>
      <w:numFmt w:val="lowerLetter"/>
      <w:lvlText w:val="%5."/>
      <w:lvlJc w:val="left"/>
      <w:pPr>
        <w:ind w:left="3600" w:hanging="360"/>
      </w:pPr>
    </w:lvl>
    <w:lvl w:ilvl="5" w:tplc="4C09001B" w:tentative="1">
      <w:start w:val="1"/>
      <w:numFmt w:val="lowerRoman"/>
      <w:lvlText w:val="%6."/>
      <w:lvlJc w:val="right"/>
      <w:pPr>
        <w:ind w:left="4320" w:hanging="180"/>
      </w:pPr>
    </w:lvl>
    <w:lvl w:ilvl="6" w:tplc="4C09000F" w:tentative="1">
      <w:start w:val="1"/>
      <w:numFmt w:val="decimal"/>
      <w:lvlText w:val="%7."/>
      <w:lvlJc w:val="left"/>
      <w:pPr>
        <w:ind w:left="5040" w:hanging="360"/>
      </w:pPr>
    </w:lvl>
    <w:lvl w:ilvl="7" w:tplc="4C090019" w:tentative="1">
      <w:start w:val="1"/>
      <w:numFmt w:val="lowerLetter"/>
      <w:lvlText w:val="%8."/>
      <w:lvlJc w:val="left"/>
      <w:pPr>
        <w:ind w:left="5760" w:hanging="360"/>
      </w:pPr>
    </w:lvl>
    <w:lvl w:ilvl="8" w:tplc="4C09001B" w:tentative="1">
      <w:start w:val="1"/>
      <w:numFmt w:val="lowerRoman"/>
      <w:lvlText w:val="%9."/>
      <w:lvlJc w:val="right"/>
      <w:pPr>
        <w:ind w:left="6480" w:hanging="180"/>
      </w:pPr>
    </w:lvl>
  </w:abstractNum>
  <w:abstractNum w:abstractNumId="61" w15:restartNumberingAfterBreak="0">
    <w:nsid w:val="63DD7251"/>
    <w:multiLevelType w:val="multilevel"/>
    <w:tmpl w:val="C328675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65291798"/>
    <w:multiLevelType w:val="hybridMultilevel"/>
    <w:tmpl w:val="07604A50"/>
    <w:lvl w:ilvl="0" w:tplc="4C0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666B5A8F"/>
    <w:multiLevelType w:val="multilevel"/>
    <w:tmpl w:val="C41AC60E"/>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66BA2F49"/>
    <w:multiLevelType w:val="multilevel"/>
    <w:tmpl w:val="C41AC60E"/>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68C22415"/>
    <w:multiLevelType w:val="multilevel"/>
    <w:tmpl w:val="F15C0F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6A5A55CE"/>
    <w:multiLevelType w:val="hybridMultilevel"/>
    <w:tmpl w:val="A4282D36"/>
    <w:lvl w:ilvl="0" w:tplc="4C09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6F3D49E1"/>
    <w:multiLevelType w:val="multilevel"/>
    <w:tmpl w:val="33FA6CB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72336028"/>
    <w:multiLevelType w:val="multilevel"/>
    <w:tmpl w:val="392CAD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72B84FFE"/>
    <w:multiLevelType w:val="multilevel"/>
    <w:tmpl w:val="156C0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77BB1B25"/>
    <w:multiLevelType w:val="multilevel"/>
    <w:tmpl w:val="3758B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78CC728A"/>
    <w:multiLevelType w:val="hybridMultilevel"/>
    <w:tmpl w:val="BD54CC92"/>
    <w:lvl w:ilvl="0" w:tplc="007E1FA0">
      <w:start w:val="1"/>
      <w:numFmt w:val="decimal"/>
      <w:lvlText w:val="%1."/>
      <w:lvlJc w:val="left"/>
      <w:pPr>
        <w:ind w:left="720" w:hanging="360"/>
      </w:pPr>
      <w:rPr>
        <w:rFonts w:hint="default"/>
      </w:rPr>
    </w:lvl>
    <w:lvl w:ilvl="1" w:tplc="4C090019" w:tentative="1">
      <w:start w:val="1"/>
      <w:numFmt w:val="lowerLetter"/>
      <w:lvlText w:val="%2."/>
      <w:lvlJc w:val="left"/>
      <w:pPr>
        <w:ind w:left="1440" w:hanging="360"/>
      </w:pPr>
    </w:lvl>
    <w:lvl w:ilvl="2" w:tplc="4C09001B" w:tentative="1">
      <w:start w:val="1"/>
      <w:numFmt w:val="lowerRoman"/>
      <w:lvlText w:val="%3."/>
      <w:lvlJc w:val="right"/>
      <w:pPr>
        <w:ind w:left="2160" w:hanging="180"/>
      </w:pPr>
    </w:lvl>
    <w:lvl w:ilvl="3" w:tplc="4C09000F" w:tentative="1">
      <w:start w:val="1"/>
      <w:numFmt w:val="decimal"/>
      <w:lvlText w:val="%4."/>
      <w:lvlJc w:val="left"/>
      <w:pPr>
        <w:ind w:left="2880" w:hanging="360"/>
      </w:pPr>
    </w:lvl>
    <w:lvl w:ilvl="4" w:tplc="4C090019" w:tentative="1">
      <w:start w:val="1"/>
      <w:numFmt w:val="lowerLetter"/>
      <w:lvlText w:val="%5."/>
      <w:lvlJc w:val="left"/>
      <w:pPr>
        <w:ind w:left="3600" w:hanging="360"/>
      </w:pPr>
    </w:lvl>
    <w:lvl w:ilvl="5" w:tplc="4C09001B" w:tentative="1">
      <w:start w:val="1"/>
      <w:numFmt w:val="lowerRoman"/>
      <w:lvlText w:val="%6."/>
      <w:lvlJc w:val="right"/>
      <w:pPr>
        <w:ind w:left="4320" w:hanging="180"/>
      </w:pPr>
    </w:lvl>
    <w:lvl w:ilvl="6" w:tplc="4C09000F" w:tentative="1">
      <w:start w:val="1"/>
      <w:numFmt w:val="decimal"/>
      <w:lvlText w:val="%7."/>
      <w:lvlJc w:val="left"/>
      <w:pPr>
        <w:ind w:left="5040" w:hanging="360"/>
      </w:pPr>
    </w:lvl>
    <w:lvl w:ilvl="7" w:tplc="4C090019" w:tentative="1">
      <w:start w:val="1"/>
      <w:numFmt w:val="lowerLetter"/>
      <w:lvlText w:val="%8."/>
      <w:lvlJc w:val="left"/>
      <w:pPr>
        <w:ind w:left="5760" w:hanging="360"/>
      </w:pPr>
    </w:lvl>
    <w:lvl w:ilvl="8" w:tplc="4C09001B" w:tentative="1">
      <w:start w:val="1"/>
      <w:numFmt w:val="lowerRoman"/>
      <w:lvlText w:val="%9."/>
      <w:lvlJc w:val="right"/>
      <w:pPr>
        <w:ind w:left="6480" w:hanging="180"/>
      </w:pPr>
    </w:lvl>
  </w:abstractNum>
  <w:abstractNum w:abstractNumId="72" w15:restartNumberingAfterBreak="0">
    <w:nsid w:val="7D4D453F"/>
    <w:multiLevelType w:val="hybridMultilevel"/>
    <w:tmpl w:val="3E2A53A8"/>
    <w:lvl w:ilvl="0" w:tplc="6F4C1224">
      <w:start w:val="6"/>
      <w:numFmt w:val="upperLetter"/>
      <w:lvlText w:val="%1."/>
      <w:lvlJc w:val="left"/>
      <w:pPr>
        <w:ind w:left="502" w:hanging="360"/>
      </w:pPr>
      <w:rPr>
        <w:rFonts w:hint="default"/>
      </w:rPr>
    </w:lvl>
    <w:lvl w:ilvl="1" w:tplc="4C090019" w:tentative="1">
      <w:start w:val="1"/>
      <w:numFmt w:val="lowerLetter"/>
      <w:lvlText w:val="%2."/>
      <w:lvlJc w:val="left"/>
      <w:pPr>
        <w:ind w:left="1222" w:hanging="360"/>
      </w:pPr>
    </w:lvl>
    <w:lvl w:ilvl="2" w:tplc="4C09001B" w:tentative="1">
      <w:start w:val="1"/>
      <w:numFmt w:val="lowerRoman"/>
      <w:lvlText w:val="%3."/>
      <w:lvlJc w:val="right"/>
      <w:pPr>
        <w:ind w:left="1942" w:hanging="180"/>
      </w:pPr>
    </w:lvl>
    <w:lvl w:ilvl="3" w:tplc="4C09000F" w:tentative="1">
      <w:start w:val="1"/>
      <w:numFmt w:val="decimal"/>
      <w:lvlText w:val="%4."/>
      <w:lvlJc w:val="left"/>
      <w:pPr>
        <w:ind w:left="2662" w:hanging="360"/>
      </w:pPr>
    </w:lvl>
    <w:lvl w:ilvl="4" w:tplc="4C090019" w:tentative="1">
      <w:start w:val="1"/>
      <w:numFmt w:val="lowerLetter"/>
      <w:lvlText w:val="%5."/>
      <w:lvlJc w:val="left"/>
      <w:pPr>
        <w:ind w:left="3382" w:hanging="360"/>
      </w:pPr>
    </w:lvl>
    <w:lvl w:ilvl="5" w:tplc="4C09001B" w:tentative="1">
      <w:start w:val="1"/>
      <w:numFmt w:val="lowerRoman"/>
      <w:lvlText w:val="%6."/>
      <w:lvlJc w:val="right"/>
      <w:pPr>
        <w:ind w:left="4102" w:hanging="180"/>
      </w:pPr>
    </w:lvl>
    <w:lvl w:ilvl="6" w:tplc="4C09000F" w:tentative="1">
      <w:start w:val="1"/>
      <w:numFmt w:val="decimal"/>
      <w:lvlText w:val="%7."/>
      <w:lvlJc w:val="left"/>
      <w:pPr>
        <w:ind w:left="4822" w:hanging="360"/>
      </w:pPr>
    </w:lvl>
    <w:lvl w:ilvl="7" w:tplc="4C090019" w:tentative="1">
      <w:start w:val="1"/>
      <w:numFmt w:val="lowerLetter"/>
      <w:lvlText w:val="%8."/>
      <w:lvlJc w:val="left"/>
      <w:pPr>
        <w:ind w:left="5542" w:hanging="360"/>
      </w:pPr>
    </w:lvl>
    <w:lvl w:ilvl="8" w:tplc="4C09001B" w:tentative="1">
      <w:start w:val="1"/>
      <w:numFmt w:val="lowerRoman"/>
      <w:lvlText w:val="%9."/>
      <w:lvlJc w:val="right"/>
      <w:pPr>
        <w:ind w:left="6262" w:hanging="180"/>
      </w:pPr>
    </w:lvl>
  </w:abstractNum>
  <w:abstractNum w:abstractNumId="73" w15:restartNumberingAfterBreak="0">
    <w:nsid w:val="7D5A3736"/>
    <w:multiLevelType w:val="multilevel"/>
    <w:tmpl w:val="A91E7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7FAC428A"/>
    <w:multiLevelType w:val="multilevel"/>
    <w:tmpl w:val="86A27362"/>
    <w:lvl w:ilvl="0">
      <w:start w:val="1"/>
      <w:numFmt w:val="lowerLetter"/>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61840950">
    <w:abstractNumId w:val="53"/>
  </w:num>
  <w:num w:numId="2" w16cid:durableId="589897691">
    <w:abstractNumId w:val="23"/>
  </w:num>
  <w:num w:numId="3" w16cid:durableId="856579662">
    <w:abstractNumId w:val="23"/>
    <w:lvlOverride w:ilvl="1">
      <w:startOverride w:val="4"/>
    </w:lvlOverride>
  </w:num>
  <w:num w:numId="4" w16cid:durableId="719210520">
    <w:abstractNumId w:val="23"/>
    <w:lvlOverride w:ilvl="1">
      <w:startOverride w:val="5"/>
    </w:lvlOverride>
  </w:num>
  <w:num w:numId="5" w16cid:durableId="1103722944">
    <w:abstractNumId w:val="23"/>
    <w:lvlOverride w:ilvl="1">
      <w:startOverride w:val="6"/>
    </w:lvlOverride>
  </w:num>
  <w:num w:numId="6" w16cid:durableId="693924354">
    <w:abstractNumId w:val="23"/>
    <w:lvlOverride w:ilvl="1">
      <w:startOverride w:val="7"/>
    </w:lvlOverride>
  </w:num>
  <w:num w:numId="7" w16cid:durableId="1869098909">
    <w:abstractNumId w:val="23"/>
    <w:lvlOverride w:ilvl="1">
      <w:startOverride w:val="8"/>
    </w:lvlOverride>
  </w:num>
  <w:num w:numId="8" w16cid:durableId="37779121">
    <w:abstractNumId w:val="23"/>
    <w:lvlOverride w:ilvl="1">
      <w:startOverride w:val="9"/>
    </w:lvlOverride>
  </w:num>
  <w:num w:numId="9" w16cid:durableId="1518737856">
    <w:abstractNumId w:val="17"/>
  </w:num>
  <w:num w:numId="10" w16cid:durableId="1140537028">
    <w:abstractNumId w:val="68"/>
  </w:num>
  <w:num w:numId="11" w16cid:durableId="2133088536">
    <w:abstractNumId w:val="30"/>
  </w:num>
  <w:num w:numId="12" w16cid:durableId="942348166">
    <w:abstractNumId w:val="30"/>
    <w:lvlOverride w:ilvl="1">
      <w:startOverride w:val="8"/>
    </w:lvlOverride>
  </w:num>
  <w:num w:numId="13" w16cid:durableId="1510028206">
    <w:abstractNumId w:val="30"/>
    <w:lvlOverride w:ilvl="1">
      <w:startOverride w:val="9"/>
    </w:lvlOverride>
  </w:num>
  <w:num w:numId="14" w16cid:durableId="874775241">
    <w:abstractNumId w:val="58"/>
  </w:num>
  <w:num w:numId="15" w16cid:durableId="686180481">
    <w:abstractNumId w:val="52"/>
  </w:num>
  <w:num w:numId="16" w16cid:durableId="414017045">
    <w:abstractNumId w:val="37"/>
  </w:num>
  <w:num w:numId="17" w16cid:durableId="271479779">
    <w:abstractNumId w:val="70"/>
  </w:num>
  <w:num w:numId="18" w16cid:durableId="1121193468">
    <w:abstractNumId w:val="38"/>
  </w:num>
  <w:num w:numId="19" w16cid:durableId="1861701917">
    <w:abstractNumId w:val="24"/>
  </w:num>
  <w:num w:numId="20" w16cid:durableId="1237518241">
    <w:abstractNumId w:val="2"/>
  </w:num>
  <w:num w:numId="21" w16cid:durableId="1450390171">
    <w:abstractNumId w:val="6"/>
  </w:num>
  <w:num w:numId="22" w16cid:durableId="225338207">
    <w:abstractNumId w:val="31"/>
  </w:num>
  <w:num w:numId="23" w16cid:durableId="1987853326">
    <w:abstractNumId w:val="67"/>
  </w:num>
  <w:num w:numId="24" w16cid:durableId="1374234325">
    <w:abstractNumId w:val="10"/>
  </w:num>
  <w:num w:numId="25" w16cid:durableId="2125224908">
    <w:abstractNumId w:val="65"/>
  </w:num>
  <w:num w:numId="26" w16cid:durableId="202600684">
    <w:abstractNumId w:val="11"/>
  </w:num>
  <w:num w:numId="27" w16cid:durableId="1684941601">
    <w:abstractNumId w:val="1"/>
  </w:num>
  <w:num w:numId="28" w16cid:durableId="1909225087">
    <w:abstractNumId w:val="43"/>
  </w:num>
  <w:num w:numId="29" w16cid:durableId="1235630583">
    <w:abstractNumId w:val="13"/>
  </w:num>
  <w:num w:numId="30" w16cid:durableId="93792016">
    <w:abstractNumId w:val="72"/>
  </w:num>
  <w:num w:numId="31" w16cid:durableId="465780410">
    <w:abstractNumId w:val="73"/>
  </w:num>
  <w:num w:numId="32" w16cid:durableId="1751341709">
    <w:abstractNumId w:val="21"/>
  </w:num>
  <w:num w:numId="33" w16cid:durableId="47655123">
    <w:abstractNumId w:val="18"/>
  </w:num>
  <w:num w:numId="34" w16cid:durableId="436173285">
    <w:abstractNumId w:val="48"/>
  </w:num>
  <w:num w:numId="35" w16cid:durableId="578290042">
    <w:abstractNumId w:val="28"/>
  </w:num>
  <w:num w:numId="36" w16cid:durableId="1407343328">
    <w:abstractNumId w:val="14"/>
  </w:num>
  <w:num w:numId="37" w16cid:durableId="1555694915">
    <w:abstractNumId w:val="63"/>
  </w:num>
  <w:num w:numId="38" w16cid:durableId="846091965">
    <w:abstractNumId w:val="42"/>
  </w:num>
  <w:num w:numId="39" w16cid:durableId="925118406">
    <w:abstractNumId w:val="49"/>
  </w:num>
  <w:num w:numId="40" w16cid:durableId="197859868">
    <w:abstractNumId w:val="69"/>
  </w:num>
  <w:num w:numId="41" w16cid:durableId="314071859">
    <w:abstractNumId w:val="3"/>
  </w:num>
  <w:num w:numId="42" w16cid:durableId="1925801239">
    <w:abstractNumId w:val="35"/>
  </w:num>
  <w:num w:numId="43" w16cid:durableId="635917016">
    <w:abstractNumId w:val="47"/>
  </w:num>
  <w:num w:numId="44" w16cid:durableId="174464637">
    <w:abstractNumId w:val="20"/>
  </w:num>
  <w:num w:numId="45" w16cid:durableId="1913926594">
    <w:abstractNumId w:val="22"/>
  </w:num>
  <w:num w:numId="46" w16cid:durableId="51083713">
    <w:abstractNumId w:val="44"/>
  </w:num>
  <w:num w:numId="47" w16cid:durableId="1605725514">
    <w:abstractNumId w:val="0"/>
  </w:num>
  <w:num w:numId="48" w16cid:durableId="407653549">
    <w:abstractNumId w:val="50"/>
  </w:num>
  <w:num w:numId="49" w16cid:durableId="469052387">
    <w:abstractNumId w:val="59"/>
  </w:num>
  <w:num w:numId="50" w16cid:durableId="873691449">
    <w:abstractNumId w:val="56"/>
  </w:num>
  <w:num w:numId="51" w16cid:durableId="310913915">
    <w:abstractNumId w:val="4"/>
  </w:num>
  <w:num w:numId="52" w16cid:durableId="1982608832">
    <w:abstractNumId w:val="66"/>
  </w:num>
  <w:num w:numId="53" w16cid:durableId="1242985899">
    <w:abstractNumId w:val="62"/>
  </w:num>
  <w:num w:numId="54" w16cid:durableId="872155185">
    <w:abstractNumId w:val="34"/>
  </w:num>
  <w:num w:numId="55" w16cid:durableId="1658727797">
    <w:abstractNumId w:val="12"/>
  </w:num>
  <w:num w:numId="56" w16cid:durableId="893542083">
    <w:abstractNumId w:val="15"/>
  </w:num>
  <w:num w:numId="57" w16cid:durableId="961036265">
    <w:abstractNumId w:val="46"/>
  </w:num>
  <w:num w:numId="58" w16cid:durableId="551769396">
    <w:abstractNumId w:val="32"/>
  </w:num>
  <w:num w:numId="59" w16cid:durableId="1806123291">
    <w:abstractNumId w:val="61"/>
  </w:num>
  <w:num w:numId="60" w16cid:durableId="5181580">
    <w:abstractNumId w:val="40"/>
  </w:num>
  <w:num w:numId="61" w16cid:durableId="869564216">
    <w:abstractNumId w:val="64"/>
  </w:num>
  <w:num w:numId="62" w16cid:durableId="1330255091">
    <w:abstractNumId w:val="45"/>
  </w:num>
  <w:num w:numId="63" w16cid:durableId="424571712">
    <w:abstractNumId w:val="26"/>
  </w:num>
  <w:num w:numId="64" w16cid:durableId="1762795362">
    <w:abstractNumId w:val="19"/>
  </w:num>
  <w:num w:numId="65" w16cid:durableId="1333950500">
    <w:abstractNumId w:val="9"/>
  </w:num>
  <w:num w:numId="66" w16cid:durableId="1837501251">
    <w:abstractNumId w:val="74"/>
  </w:num>
  <w:num w:numId="67" w16cid:durableId="1049307511">
    <w:abstractNumId w:val="71"/>
  </w:num>
  <w:num w:numId="68" w16cid:durableId="1550799063">
    <w:abstractNumId w:val="36"/>
  </w:num>
  <w:num w:numId="69" w16cid:durableId="1202866698">
    <w:abstractNumId w:val="60"/>
  </w:num>
  <w:num w:numId="70" w16cid:durableId="355472599">
    <w:abstractNumId w:val="41"/>
  </w:num>
  <w:num w:numId="71" w16cid:durableId="1415589898">
    <w:abstractNumId w:val="7"/>
  </w:num>
  <w:num w:numId="72" w16cid:durableId="339698394">
    <w:abstractNumId w:val="25"/>
  </w:num>
  <w:num w:numId="73" w16cid:durableId="987900070">
    <w:abstractNumId w:val="51"/>
  </w:num>
  <w:num w:numId="74" w16cid:durableId="1531454357">
    <w:abstractNumId w:val="16"/>
  </w:num>
  <w:num w:numId="75" w16cid:durableId="2100172235">
    <w:abstractNumId w:val="39"/>
  </w:num>
  <w:num w:numId="76" w16cid:durableId="636184920">
    <w:abstractNumId w:val="29"/>
  </w:num>
  <w:num w:numId="77" w16cid:durableId="1527405948">
    <w:abstractNumId w:val="57"/>
  </w:num>
  <w:num w:numId="78" w16cid:durableId="1722635530">
    <w:abstractNumId w:val="54"/>
  </w:num>
  <w:num w:numId="79" w16cid:durableId="146938688">
    <w:abstractNumId w:val="33"/>
  </w:num>
  <w:num w:numId="80" w16cid:durableId="86318156">
    <w:abstractNumId w:val="55"/>
  </w:num>
  <w:num w:numId="81" w16cid:durableId="1060980084">
    <w:abstractNumId w:val="8"/>
  </w:num>
  <w:num w:numId="82" w16cid:durableId="3630427">
    <w:abstractNumId w:val="5"/>
  </w:num>
  <w:num w:numId="83" w16cid:durableId="147286292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6B6E"/>
    <w:rsid w:val="00004FA0"/>
    <w:rsid w:val="00054F8F"/>
    <w:rsid w:val="00057F9E"/>
    <w:rsid w:val="000616C4"/>
    <w:rsid w:val="00075781"/>
    <w:rsid w:val="0009682F"/>
    <w:rsid w:val="000C133A"/>
    <w:rsid w:val="000D5ED2"/>
    <w:rsid w:val="000F1F70"/>
    <w:rsid w:val="000F5930"/>
    <w:rsid w:val="0010165C"/>
    <w:rsid w:val="00107CC1"/>
    <w:rsid w:val="0011577B"/>
    <w:rsid w:val="0013508B"/>
    <w:rsid w:val="00166A79"/>
    <w:rsid w:val="001820F0"/>
    <w:rsid w:val="00191B0D"/>
    <w:rsid w:val="00191F2A"/>
    <w:rsid w:val="00192A9F"/>
    <w:rsid w:val="001B4245"/>
    <w:rsid w:val="001D4CD5"/>
    <w:rsid w:val="001F0AB6"/>
    <w:rsid w:val="002149EB"/>
    <w:rsid w:val="002522E7"/>
    <w:rsid w:val="00257272"/>
    <w:rsid w:val="002A45E1"/>
    <w:rsid w:val="002A6287"/>
    <w:rsid w:val="002A7108"/>
    <w:rsid w:val="002B6A82"/>
    <w:rsid w:val="002E4C5F"/>
    <w:rsid w:val="002F073E"/>
    <w:rsid w:val="00307662"/>
    <w:rsid w:val="00333FAF"/>
    <w:rsid w:val="00351710"/>
    <w:rsid w:val="0035216C"/>
    <w:rsid w:val="00366128"/>
    <w:rsid w:val="00372EF9"/>
    <w:rsid w:val="00376021"/>
    <w:rsid w:val="00387728"/>
    <w:rsid w:val="0039273F"/>
    <w:rsid w:val="00396CDA"/>
    <w:rsid w:val="003B1562"/>
    <w:rsid w:val="003B7747"/>
    <w:rsid w:val="003F0088"/>
    <w:rsid w:val="00401454"/>
    <w:rsid w:val="0041347D"/>
    <w:rsid w:val="00443B94"/>
    <w:rsid w:val="004965B8"/>
    <w:rsid w:val="004E7641"/>
    <w:rsid w:val="00500341"/>
    <w:rsid w:val="00502A0A"/>
    <w:rsid w:val="00513C9A"/>
    <w:rsid w:val="00514300"/>
    <w:rsid w:val="0052115F"/>
    <w:rsid w:val="00521FFC"/>
    <w:rsid w:val="0052540E"/>
    <w:rsid w:val="00534042"/>
    <w:rsid w:val="00534292"/>
    <w:rsid w:val="00536B49"/>
    <w:rsid w:val="005520E2"/>
    <w:rsid w:val="00561F94"/>
    <w:rsid w:val="005B4896"/>
    <w:rsid w:val="005B70BF"/>
    <w:rsid w:val="005C1CE9"/>
    <w:rsid w:val="005C26B3"/>
    <w:rsid w:val="005E7090"/>
    <w:rsid w:val="006024BB"/>
    <w:rsid w:val="006032A5"/>
    <w:rsid w:val="00612AE2"/>
    <w:rsid w:val="00637E76"/>
    <w:rsid w:val="00650AB4"/>
    <w:rsid w:val="00655A74"/>
    <w:rsid w:val="006656D8"/>
    <w:rsid w:val="00696959"/>
    <w:rsid w:val="00697E37"/>
    <w:rsid w:val="006A71CF"/>
    <w:rsid w:val="006B4840"/>
    <w:rsid w:val="006C675D"/>
    <w:rsid w:val="006D0FB1"/>
    <w:rsid w:val="00703118"/>
    <w:rsid w:val="00705323"/>
    <w:rsid w:val="00706614"/>
    <w:rsid w:val="00707FA3"/>
    <w:rsid w:val="00712620"/>
    <w:rsid w:val="007265E5"/>
    <w:rsid w:val="007272CC"/>
    <w:rsid w:val="00737154"/>
    <w:rsid w:val="00763EBD"/>
    <w:rsid w:val="00782282"/>
    <w:rsid w:val="007C403A"/>
    <w:rsid w:val="007D28E5"/>
    <w:rsid w:val="007D499F"/>
    <w:rsid w:val="008002D7"/>
    <w:rsid w:val="008046FE"/>
    <w:rsid w:val="00810C20"/>
    <w:rsid w:val="008139E9"/>
    <w:rsid w:val="00816F6C"/>
    <w:rsid w:val="00822B60"/>
    <w:rsid w:val="008322B9"/>
    <w:rsid w:val="00833EC9"/>
    <w:rsid w:val="00835E6F"/>
    <w:rsid w:val="008434C6"/>
    <w:rsid w:val="008556B7"/>
    <w:rsid w:val="0089585B"/>
    <w:rsid w:val="008B72D7"/>
    <w:rsid w:val="008E2FDD"/>
    <w:rsid w:val="008F24C8"/>
    <w:rsid w:val="0090759A"/>
    <w:rsid w:val="00914564"/>
    <w:rsid w:val="009377FA"/>
    <w:rsid w:val="00940A5F"/>
    <w:rsid w:val="009567FE"/>
    <w:rsid w:val="00960482"/>
    <w:rsid w:val="009A262C"/>
    <w:rsid w:val="009B585E"/>
    <w:rsid w:val="009D2E57"/>
    <w:rsid w:val="009F07F4"/>
    <w:rsid w:val="009F510A"/>
    <w:rsid w:val="00A02C46"/>
    <w:rsid w:val="00A140C6"/>
    <w:rsid w:val="00A217BB"/>
    <w:rsid w:val="00A23619"/>
    <w:rsid w:val="00A27B74"/>
    <w:rsid w:val="00A346EC"/>
    <w:rsid w:val="00A403A2"/>
    <w:rsid w:val="00A425FD"/>
    <w:rsid w:val="00A6099A"/>
    <w:rsid w:val="00A67D92"/>
    <w:rsid w:val="00A73EB9"/>
    <w:rsid w:val="00A8011A"/>
    <w:rsid w:val="00A80947"/>
    <w:rsid w:val="00A81585"/>
    <w:rsid w:val="00A85237"/>
    <w:rsid w:val="00A92144"/>
    <w:rsid w:val="00A95122"/>
    <w:rsid w:val="00AA4E6B"/>
    <w:rsid w:val="00AB39F2"/>
    <w:rsid w:val="00AB5D07"/>
    <w:rsid w:val="00AB77F8"/>
    <w:rsid w:val="00AC254F"/>
    <w:rsid w:val="00AC39F9"/>
    <w:rsid w:val="00AC71C4"/>
    <w:rsid w:val="00B01EF0"/>
    <w:rsid w:val="00B07566"/>
    <w:rsid w:val="00B134F8"/>
    <w:rsid w:val="00B26B6E"/>
    <w:rsid w:val="00B5534C"/>
    <w:rsid w:val="00B94AFB"/>
    <w:rsid w:val="00BB43CE"/>
    <w:rsid w:val="00BB47E3"/>
    <w:rsid w:val="00BF405E"/>
    <w:rsid w:val="00C13157"/>
    <w:rsid w:val="00C148F2"/>
    <w:rsid w:val="00C228EC"/>
    <w:rsid w:val="00C46818"/>
    <w:rsid w:val="00C54B0E"/>
    <w:rsid w:val="00C80EFD"/>
    <w:rsid w:val="00C853E2"/>
    <w:rsid w:val="00CB7326"/>
    <w:rsid w:val="00CF1767"/>
    <w:rsid w:val="00CF2E0A"/>
    <w:rsid w:val="00D060DF"/>
    <w:rsid w:val="00D06980"/>
    <w:rsid w:val="00D3219D"/>
    <w:rsid w:val="00D35FEC"/>
    <w:rsid w:val="00D5551E"/>
    <w:rsid w:val="00D702A6"/>
    <w:rsid w:val="00D74A91"/>
    <w:rsid w:val="00D80FBB"/>
    <w:rsid w:val="00DD3739"/>
    <w:rsid w:val="00DE0614"/>
    <w:rsid w:val="00DF560C"/>
    <w:rsid w:val="00E71F14"/>
    <w:rsid w:val="00E735D5"/>
    <w:rsid w:val="00EA6452"/>
    <w:rsid w:val="00EB7011"/>
    <w:rsid w:val="00ED0964"/>
    <w:rsid w:val="00ED7D5E"/>
    <w:rsid w:val="00EE53A3"/>
    <w:rsid w:val="00F00E4E"/>
    <w:rsid w:val="00F01FFE"/>
    <w:rsid w:val="00F3279C"/>
    <w:rsid w:val="00F57FD8"/>
    <w:rsid w:val="00F938CD"/>
    <w:rsid w:val="00FB0688"/>
    <w:rsid w:val="00FB4E81"/>
    <w:rsid w:val="00FC017D"/>
    <w:rsid w:val="00FC639B"/>
    <w:rsid w:val="00FD39C9"/>
    <w:rsid w:val="00FD5582"/>
  </w:rsids>
  <m:mathPr>
    <m:mathFont m:val="Cambria Math"/>
    <m:brkBin m:val="before"/>
    <m:brkBinSub m:val="--"/>
    <m:smallFrac m:val="0"/>
    <m:dispDef/>
    <m:lMargin m:val="0"/>
    <m:rMargin m:val="0"/>
    <m:defJc m:val="centerGroup"/>
    <m:wrapIndent m:val="1440"/>
    <m:intLim m:val="subSup"/>
    <m:naryLim m:val="undOvr"/>
  </m:mathPr>
  <w:themeFontLang w:val="en-A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D4C0C6"/>
  <w15:chartTrackingRefBased/>
  <w15:docId w15:val="{47FA4309-3FE8-4853-AC2E-6AB17B638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27B74"/>
    <w:pPr>
      <w:keepNext/>
      <w:keepLines/>
      <w:spacing w:before="360" w:after="80"/>
      <w:outlineLvl w:val="0"/>
    </w:pPr>
    <w:rPr>
      <w:rFonts w:ascii="Gill Sans MT" w:eastAsiaTheme="majorEastAsia" w:hAnsi="Gill Sans MT" w:cstheme="majorBidi"/>
      <w:color w:val="0F4761" w:themeColor="accent1" w:themeShade="BF"/>
      <w:sz w:val="32"/>
      <w:szCs w:val="40"/>
    </w:rPr>
  </w:style>
  <w:style w:type="paragraph" w:styleId="Heading2">
    <w:name w:val="heading 2"/>
    <w:basedOn w:val="Normal"/>
    <w:next w:val="Normal"/>
    <w:link w:val="Heading2Char"/>
    <w:uiPriority w:val="9"/>
    <w:semiHidden/>
    <w:unhideWhenUsed/>
    <w:qFormat/>
    <w:rsid w:val="00B26B6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26B6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26B6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26B6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26B6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26B6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26B6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26B6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27B74"/>
    <w:rPr>
      <w:rFonts w:ascii="Gill Sans MT" w:eastAsiaTheme="majorEastAsia" w:hAnsi="Gill Sans MT" w:cstheme="majorBidi"/>
      <w:color w:val="0F4761" w:themeColor="accent1" w:themeShade="BF"/>
      <w:sz w:val="32"/>
      <w:szCs w:val="40"/>
    </w:rPr>
  </w:style>
  <w:style w:type="character" w:customStyle="1" w:styleId="Heading2Char">
    <w:name w:val="Heading 2 Char"/>
    <w:basedOn w:val="DefaultParagraphFont"/>
    <w:link w:val="Heading2"/>
    <w:uiPriority w:val="9"/>
    <w:semiHidden/>
    <w:rsid w:val="00B26B6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26B6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26B6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26B6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26B6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26B6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26B6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26B6E"/>
    <w:rPr>
      <w:rFonts w:eastAsiaTheme="majorEastAsia" w:cstheme="majorBidi"/>
      <w:color w:val="272727" w:themeColor="text1" w:themeTint="D8"/>
    </w:rPr>
  </w:style>
  <w:style w:type="paragraph" w:styleId="Title">
    <w:name w:val="Title"/>
    <w:basedOn w:val="Normal"/>
    <w:next w:val="Normal"/>
    <w:link w:val="TitleChar"/>
    <w:uiPriority w:val="10"/>
    <w:qFormat/>
    <w:rsid w:val="00B26B6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26B6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26B6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26B6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26B6E"/>
    <w:pPr>
      <w:spacing w:before="160"/>
      <w:jc w:val="center"/>
    </w:pPr>
    <w:rPr>
      <w:i/>
      <w:iCs/>
      <w:color w:val="404040" w:themeColor="text1" w:themeTint="BF"/>
    </w:rPr>
  </w:style>
  <w:style w:type="character" w:customStyle="1" w:styleId="QuoteChar">
    <w:name w:val="Quote Char"/>
    <w:basedOn w:val="DefaultParagraphFont"/>
    <w:link w:val="Quote"/>
    <w:uiPriority w:val="29"/>
    <w:rsid w:val="00B26B6E"/>
    <w:rPr>
      <w:i/>
      <w:iCs/>
      <w:color w:val="404040" w:themeColor="text1" w:themeTint="BF"/>
    </w:rPr>
  </w:style>
  <w:style w:type="paragraph" w:styleId="ListParagraph">
    <w:name w:val="List Paragraph"/>
    <w:basedOn w:val="Normal"/>
    <w:uiPriority w:val="34"/>
    <w:qFormat/>
    <w:rsid w:val="00B26B6E"/>
    <w:pPr>
      <w:ind w:left="720"/>
      <w:contextualSpacing/>
    </w:pPr>
  </w:style>
  <w:style w:type="character" w:styleId="IntenseEmphasis">
    <w:name w:val="Intense Emphasis"/>
    <w:basedOn w:val="DefaultParagraphFont"/>
    <w:uiPriority w:val="21"/>
    <w:qFormat/>
    <w:rsid w:val="00B26B6E"/>
    <w:rPr>
      <w:i/>
      <w:iCs/>
      <w:color w:val="0F4761" w:themeColor="accent1" w:themeShade="BF"/>
    </w:rPr>
  </w:style>
  <w:style w:type="paragraph" w:styleId="IntenseQuote">
    <w:name w:val="Intense Quote"/>
    <w:basedOn w:val="Normal"/>
    <w:next w:val="Normal"/>
    <w:link w:val="IntenseQuoteChar"/>
    <w:uiPriority w:val="30"/>
    <w:qFormat/>
    <w:rsid w:val="00B26B6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26B6E"/>
    <w:rPr>
      <w:i/>
      <w:iCs/>
      <w:color w:val="0F4761" w:themeColor="accent1" w:themeShade="BF"/>
    </w:rPr>
  </w:style>
  <w:style w:type="character" w:styleId="IntenseReference">
    <w:name w:val="Intense Reference"/>
    <w:basedOn w:val="DefaultParagraphFont"/>
    <w:uiPriority w:val="32"/>
    <w:qFormat/>
    <w:rsid w:val="00B26B6E"/>
    <w:rPr>
      <w:b/>
      <w:bCs/>
      <w:smallCaps/>
      <w:color w:val="0F4761" w:themeColor="accent1" w:themeShade="BF"/>
      <w:spacing w:val="5"/>
    </w:rPr>
  </w:style>
  <w:style w:type="character" w:styleId="Hyperlink">
    <w:name w:val="Hyperlink"/>
    <w:basedOn w:val="DefaultParagraphFont"/>
    <w:uiPriority w:val="99"/>
    <w:unhideWhenUsed/>
    <w:rsid w:val="00B07566"/>
    <w:rPr>
      <w:color w:val="467886" w:themeColor="hyperlink"/>
      <w:u w:val="single"/>
    </w:rPr>
  </w:style>
  <w:style w:type="character" w:styleId="UnresolvedMention">
    <w:name w:val="Unresolved Mention"/>
    <w:basedOn w:val="DefaultParagraphFont"/>
    <w:uiPriority w:val="99"/>
    <w:semiHidden/>
    <w:unhideWhenUsed/>
    <w:rsid w:val="00B07566"/>
    <w:rPr>
      <w:color w:val="605E5C"/>
      <w:shd w:val="clear" w:color="auto" w:fill="E1DFDD"/>
    </w:rPr>
  </w:style>
  <w:style w:type="paragraph" w:styleId="NoSpacing">
    <w:name w:val="No Spacing"/>
    <w:uiPriority w:val="1"/>
    <w:qFormat/>
    <w:rsid w:val="00B134F8"/>
    <w:pPr>
      <w:spacing w:after="0" w:line="240" w:lineRule="auto"/>
    </w:pPr>
  </w:style>
  <w:style w:type="table" w:styleId="PlainTable4">
    <w:name w:val="Plain Table 4"/>
    <w:basedOn w:val="TableNormal"/>
    <w:uiPriority w:val="44"/>
    <w:rsid w:val="00D35FEC"/>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1">
    <w:name w:val="Plain Table 1"/>
    <w:basedOn w:val="TableNormal"/>
    <w:uiPriority w:val="41"/>
    <w:rsid w:val="00AB5D0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FootnoteText">
    <w:name w:val="footnote text"/>
    <w:basedOn w:val="Normal"/>
    <w:link w:val="FootnoteTextChar"/>
    <w:uiPriority w:val="99"/>
    <w:semiHidden/>
    <w:unhideWhenUsed/>
    <w:rsid w:val="002149E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149EB"/>
    <w:rPr>
      <w:sz w:val="20"/>
      <w:szCs w:val="20"/>
    </w:rPr>
  </w:style>
  <w:style w:type="character" w:styleId="FootnoteReference">
    <w:name w:val="footnote reference"/>
    <w:basedOn w:val="DefaultParagraphFont"/>
    <w:uiPriority w:val="99"/>
    <w:semiHidden/>
    <w:unhideWhenUsed/>
    <w:rsid w:val="002149EB"/>
    <w:rPr>
      <w:vertAlign w:val="superscript"/>
    </w:rPr>
  </w:style>
  <w:style w:type="table" w:styleId="TableGridLight">
    <w:name w:val="Grid Table Light"/>
    <w:basedOn w:val="TableNormal"/>
    <w:uiPriority w:val="40"/>
    <w:rsid w:val="00940A5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Header">
    <w:name w:val="header"/>
    <w:basedOn w:val="Normal"/>
    <w:link w:val="HeaderChar"/>
    <w:uiPriority w:val="99"/>
    <w:unhideWhenUsed/>
    <w:rsid w:val="00FB4E81"/>
    <w:pPr>
      <w:tabs>
        <w:tab w:val="center" w:pos="4513"/>
        <w:tab w:val="right" w:pos="9026"/>
      </w:tabs>
      <w:spacing w:after="0" w:line="240" w:lineRule="auto"/>
    </w:pPr>
  </w:style>
  <w:style w:type="character" w:customStyle="1" w:styleId="HeaderChar">
    <w:name w:val="Header Char"/>
    <w:basedOn w:val="DefaultParagraphFont"/>
    <w:link w:val="Header"/>
    <w:uiPriority w:val="99"/>
    <w:rsid w:val="00FB4E81"/>
  </w:style>
  <w:style w:type="paragraph" w:styleId="Footer">
    <w:name w:val="footer"/>
    <w:basedOn w:val="Normal"/>
    <w:link w:val="FooterChar"/>
    <w:uiPriority w:val="99"/>
    <w:unhideWhenUsed/>
    <w:rsid w:val="00FB4E81"/>
    <w:pPr>
      <w:tabs>
        <w:tab w:val="center" w:pos="4513"/>
        <w:tab w:val="right" w:pos="9026"/>
      </w:tabs>
      <w:spacing w:after="0" w:line="240" w:lineRule="auto"/>
    </w:pPr>
  </w:style>
  <w:style w:type="character" w:customStyle="1" w:styleId="FooterChar">
    <w:name w:val="Footer Char"/>
    <w:basedOn w:val="DefaultParagraphFont"/>
    <w:link w:val="Footer"/>
    <w:uiPriority w:val="99"/>
    <w:rsid w:val="00FB4E81"/>
  </w:style>
  <w:style w:type="table" w:styleId="TableGrid">
    <w:name w:val="Table Grid"/>
    <w:basedOn w:val="TableNormal"/>
    <w:uiPriority w:val="39"/>
    <w:rsid w:val="00A609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6B4840"/>
    <w:pPr>
      <w:spacing w:before="100" w:beforeAutospacing="1" w:after="100" w:afterAutospacing="1" w:line="240" w:lineRule="auto"/>
    </w:pPr>
    <w:rPr>
      <w:rFonts w:ascii="Times New Roman" w:eastAsia="Times New Roman" w:hAnsi="Times New Roman" w:cs="Times New Roman"/>
      <w:kern w:val="0"/>
      <w:lang w:eastAsia="en-AE"/>
      <w14:ligatures w14:val="none"/>
    </w:rPr>
  </w:style>
  <w:style w:type="character" w:styleId="Strong">
    <w:name w:val="Strong"/>
    <w:basedOn w:val="DefaultParagraphFont"/>
    <w:uiPriority w:val="22"/>
    <w:qFormat/>
    <w:rsid w:val="006B484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02/da.10113" TargetMode="External"/><Relationship Id="rId18" Type="http://schemas.openxmlformats.org/officeDocument/2006/relationships/hyperlink" Target="https://raceequalityfoundation.org.uk" TargetMode="External"/><Relationship Id="rId26" Type="http://schemas.openxmlformats.org/officeDocument/2006/relationships/hyperlink" Target="https://doi.org/10.1037/vio0000212" TargetMode="External"/><Relationship Id="rId3" Type="http://schemas.openxmlformats.org/officeDocument/2006/relationships/styles" Target="styles.xml"/><Relationship Id="rId21" Type="http://schemas.openxmlformats.org/officeDocument/2006/relationships/hyperlink" Target="https://uktraumacouncil.org"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doi.org/10.1002/jts.22891" TargetMode="External"/><Relationship Id="rId17" Type="http://schemas.openxmlformats.org/officeDocument/2006/relationships/hyperlink" Target="https://doi.org/10.1080/0145935X.2021.1885980" TargetMode="External"/><Relationship Id="rId25" Type="http://schemas.openxmlformats.org/officeDocument/2006/relationships/hyperlink" Target="https://doi.org/10.1037/tra0001100"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doi.org/10.1177/0011000009351930" TargetMode="External"/><Relationship Id="rId20" Type="http://schemas.openxmlformats.org/officeDocument/2006/relationships/hyperlink" Target="https://doi.org/10.1037/a0037564" TargetMode="External"/><Relationship Id="rId29" Type="http://schemas.openxmlformats.org/officeDocument/2006/relationships/hyperlink" Target="https://doi.org/10.1016/j.janxdis.2010.02.00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02/j.2161-1912.2013.00023.x" TargetMode="External"/><Relationship Id="rId24" Type="http://schemas.openxmlformats.org/officeDocument/2006/relationships/hyperlink" Target="https://www.ptsd.va.gov" TargetMode="External"/><Relationship Id="rId32" Type="http://schemas.openxmlformats.org/officeDocument/2006/relationships/hyperlink" Target="https://doi.org/10.1037/vio0000212" TargetMode="External"/><Relationship Id="rId5" Type="http://schemas.openxmlformats.org/officeDocument/2006/relationships/webSettings" Target="webSettings.xml"/><Relationship Id="rId15" Type="http://schemas.openxmlformats.org/officeDocument/2006/relationships/hyperlink" Target="https://doi.org/10.1016/S0749-3797(98)00017-8" TargetMode="External"/><Relationship Id="rId23" Type="http://schemas.openxmlformats.org/officeDocument/2006/relationships/hyperlink" Target="https://doi.org/10.1016/j.janxdis.2010.02.002" TargetMode="External"/><Relationship Id="rId28" Type="http://schemas.openxmlformats.org/officeDocument/2006/relationships/hyperlink" Target="https://doi.org/10.1037/0022-0167.43.4.490" TargetMode="External"/><Relationship Id="rId10" Type="http://schemas.openxmlformats.org/officeDocument/2006/relationships/hyperlink" Target="https://doi.org/10.1177/0011000006292033" TargetMode="External"/><Relationship Id="rId19" Type="http://schemas.openxmlformats.org/officeDocument/2006/relationships/hyperlink" Target="https://doi.org/10.1037/1099-9809.9.3.263" TargetMode="External"/><Relationship Id="rId31" Type="http://schemas.openxmlformats.org/officeDocument/2006/relationships/hyperlink" Target="https://doi.org/10.1037/tra0001100" TargetMode="External"/><Relationship Id="rId4" Type="http://schemas.openxmlformats.org/officeDocument/2006/relationships/settings" Target="settings.xml"/><Relationship Id="rId9" Type="http://schemas.openxmlformats.org/officeDocument/2006/relationships/hyperlink" Target="https://doi.org/10.1177/0011000005276465" TargetMode="External"/><Relationship Id="rId14" Type="http://schemas.openxmlformats.org/officeDocument/2006/relationships/hyperlink" Target="https://doi.org/10.1080/13557858.2022.2046281" TargetMode="External"/><Relationship Id="rId22" Type="http://schemas.openxmlformats.org/officeDocument/2006/relationships/hyperlink" Target="https://doi.org/10.1037/0022-0167.43.4.490" TargetMode="External"/><Relationship Id="rId27" Type="http://schemas.openxmlformats.org/officeDocument/2006/relationships/hyperlink" Target="https://doi.org/10.1037/a0037564" TargetMode="External"/><Relationship Id="rId30" Type="http://schemas.openxmlformats.org/officeDocument/2006/relationships/hyperlink" Target="https://www.ptsd.va.gov" TargetMode="External"/><Relationship Id="rId35" Type="http://schemas.openxmlformats.org/officeDocument/2006/relationships/theme" Target="theme/theme1.xml"/><Relationship Id="rId8" Type="http://schemas.openxmlformats.org/officeDocument/2006/relationships/hyperlink" Target="https://doi.org/10.1080/01419870.2020.185138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CE7716-3EC7-479A-BAF7-F6DAAEFFD3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4213</TotalTime>
  <Pages>40</Pages>
  <Words>18093</Words>
  <Characters>103131</Characters>
  <Application>Microsoft Office Word</Application>
  <DocSecurity>0</DocSecurity>
  <Lines>859</Lines>
  <Paragraphs>241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Delroy Constantine-Simms</dc:creator>
  <cp:keywords/>
  <dc:description/>
  <cp:lastModifiedBy>Delroy Constantine-Simms</cp:lastModifiedBy>
  <cp:revision>12</cp:revision>
  <dcterms:created xsi:type="dcterms:W3CDTF">2025-11-09T12:00:00Z</dcterms:created>
  <dcterms:modified xsi:type="dcterms:W3CDTF">2025-11-13T20:31:00Z</dcterms:modified>
</cp:coreProperties>
</file>