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3656E" w:rsidRPr="00272676" w:rsidRDefault="00C85525" w:rsidP="0081496F">
      <w:pPr>
        <w:pStyle w:val="Heading3"/>
        <w:jc w:val="center"/>
      </w:pPr>
      <w:r w:rsidRPr="00272676">
        <w:t>Systemic Challenges in Science Education: A Case Study of Teacher Training Colleges in Ghana’s Eastern Region</w:t>
      </w:r>
      <w:r w:rsidR="00F3656E" w:rsidRPr="00272676">
        <w:br/>
      </w:r>
      <w:r w:rsidR="00F3656E" w:rsidRPr="00272676">
        <w:br/>
        <w:t>ABSTRACT</w:t>
      </w:r>
    </w:p>
    <w:p w:rsidR="00D503B9" w:rsidRPr="00272676" w:rsidRDefault="00D503B9" w:rsidP="0081496F">
      <w:pPr>
        <w:jc w:val="both"/>
        <w:rPr>
          <w:rFonts w:ascii="Times New Roman" w:eastAsia="Times New Roman" w:hAnsi="Times New Roman" w:cs="Times New Roman"/>
          <w:sz w:val="24"/>
          <w:szCs w:val="24"/>
          <w:lang w:val="en-GB" w:eastAsia="en-GB"/>
        </w:rPr>
      </w:pPr>
      <w:r w:rsidRPr="00272676">
        <w:rPr>
          <w:rFonts w:ascii="Times New Roman" w:eastAsia="Times New Roman" w:hAnsi="Times New Roman" w:cs="Times New Roman"/>
          <w:sz w:val="24"/>
          <w:szCs w:val="24"/>
          <w:lang w:val="en-GB" w:eastAsia="en-GB"/>
        </w:rPr>
        <w:t xml:space="preserve">This study investigates the persistent challenges hindering science education in four Colleges of Education in Ghana's Eastern Region, where future teachers are </w:t>
      </w:r>
      <w:r w:rsidR="0081496F" w:rsidRPr="00272676">
        <w:rPr>
          <w:rFonts w:ascii="Times New Roman" w:eastAsia="Times New Roman" w:hAnsi="Times New Roman" w:cs="Times New Roman"/>
          <w:sz w:val="24"/>
          <w:szCs w:val="24"/>
          <w:lang w:val="en-GB" w:eastAsia="en-GB"/>
        </w:rPr>
        <w:t>raised</w:t>
      </w:r>
      <w:r w:rsidRPr="00272676">
        <w:rPr>
          <w:rFonts w:ascii="Times New Roman" w:eastAsia="Times New Roman" w:hAnsi="Times New Roman" w:cs="Times New Roman"/>
          <w:sz w:val="24"/>
          <w:szCs w:val="24"/>
          <w:lang w:val="en-GB" w:eastAsia="en-GB"/>
        </w:rPr>
        <w:t>. By examining gaps in resources, pedagogy, and institutional support, the research identifies actionable solutions to improve science instruction at the foundational level.</w:t>
      </w:r>
    </w:p>
    <w:p w:rsidR="00D503B9" w:rsidRPr="00272676" w:rsidRDefault="00D503B9" w:rsidP="0081496F">
      <w:pPr>
        <w:jc w:val="both"/>
        <w:rPr>
          <w:rFonts w:ascii="Times New Roman" w:eastAsia="Times New Roman" w:hAnsi="Times New Roman" w:cs="Times New Roman"/>
          <w:sz w:val="24"/>
          <w:szCs w:val="24"/>
          <w:lang w:val="en-GB" w:eastAsia="en-GB"/>
        </w:rPr>
      </w:pPr>
      <w:r w:rsidRPr="00272676">
        <w:rPr>
          <w:rFonts w:ascii="Times New Roman" w:eastAsia="Times New Roman" w:hAnsi="Times New Roman" w:cs="Times New Roman"/>
          <w:sz w:val="24"/>
          <w:szCs w:val="24"/>
          <w:lang w:val="en-GB" w:eastAsia="en-GB"/>
        </w:rPr>
        <w:t>A mixed-methods d</w:t>
      </w:r>
      <w:r w:rsidR="00A4625C">
        <w:rPr>
          <w:rFonts w:ascii="Times New Roman" w:eastAsia="Times New Roman" w:hAnsi="Times New Roman" w:cs="Times New Roman"/>
          <w:sz w:val="24"/>
          <w:szCs w:val="24"/>
          <w:lang w:val="en-GB" w:eastAsia="en-GB"/>
        </w:rPr>
        <w:t>esign gathered insights from 209</w:t>
      </w:r>
      <w:r w:rsidRPr="00272676">
        <w:rPr>
          <w:rFonts w:ascii="Times New Roman" w:eastAsia="Times New Roman" w:hAnsi="Times New Roman" w:cs="Times New Roman"/>
          <w:sz w:val="24"/>
          <w:szCs w:val="24"/>
          <w:lang w:val="en-GB" w:eastAsia="en-GB"/>
        </w:rPr>
        <w:t xml:space="preserve"> student-teachers and science tutors through questionnaires and interviews. Findings reveal a critical disconnect: over 75% of enrolled students lacked prior science training, yet were expected to master and later teach the subject. Compounding this issue, colleges operated with severely limited resources, including no functional laboratories, scarce teaching materials, and only four hours of weekly instructional time. Practical sessions, when they occurred, were often confined to standard classrooms, limiting hands-on learning. Despite tutors' efforts to improvise, systemic neglect left students </w:t>
      </w:r>
      <w:r w:rsidR="00CE2DEE">
        <w:rPr>
          <w:rFonts w:ascii="Times New Roman" w:eastAsia="Times New Roman" w:hAnsi="Times New Roman" w:cs="Times New Roman"/>
          <w:sz w:val="24"/>
          <w:szCs w:val="24"/>
          <w:lang w:val="en-GB" w:eastAsia="en-GB"/>
        </w:rPr>
        <w:t>under-prepared</w:t>
      </w:r>
      <w:r w:rsidRPr="00272676">
        <w:rPr>
          <w:rFonts w:ascii="Times New Roman" w:eastAsia="Times New Roman" w:hAnsi="Times New Roman" w:cs="Times New Roman"/>
          <w:sz w:val="24"/>
          <w:szCs w:val="24"/>
          <w:lang w:val="en-GB" w:eastAsia="en-GB"/>
        </w:rPr>
        <w:t xml:space="preserve"> and disengaged.</w:t>
      </w:r>
    </w:p>
    <w:p w:rsidR="00D503B9" w:rsidRPr="00272676" w:rsidRDefault="00D503B9" w:rsidP="0081496F">
      <w:pPr>
        <w:jc w:val="both"/>
        <w:rPr>
          <w:rFonts w:ascii="Times New Roman" w:eastAsia="Times New Roman" w:hAnsi="Times New Roman" w:cs="Times New Roman"/>
          <w:sz w:val="24"/>
          <w:szCs w:val="24"/>
          <w:lang w:val="en-GB" w:eastAsia="en-GB"/>
        </w:rPr>
      </w:pPr>
      <w:r w:rsidRPr="00272676">
        <w:rPr>
          <w:rFonts w:ascii="Times New Roman" w:eastAsia="Times New Roman" w:hAnsi="Times New Roman" w:cs="Times New Roman"/>
          <w:sz w:val="24"/>
          <w:szCs w:val="24"/>
          <w:lang w:val="en-GB" w:eastAsia="en-GB"/>
        </w:rPr>
        <w:t>The study underscores the urgency of targeted interventions. Key recommendations include revising admission policies to prioritize science-proficient candidates, expanding instructional time, and investing in laboratory infrastructure. Additionally, sustained professional development for tutors and partnerships with local industries could help address resource gaps.</w:t>
      </w:r>
    </w:p>
    <w:p w:rsidR="00D503B9" w:rsidRPr="00272676" w:rsidRDefault="00D503B9" w:rsidP="0081496F">
      <w:pPr>
        <w:jc w:val="both"/>
        <w:rPr>
          <w:rFonts w:ascii="Times New Roman" w:eastAsia="Times New Roman" w:hAnsi="Times New Roman" w:cs="Times New Roman"/>
          <w:sz w:val="24"/>
          <w:szCs w:val="24"/>
          <w:lang w:val="en-GB" w:eastAsia="en-GB"/>
        </w:rPr>
      </w:pPr>
      <w:r w:rsidRPr="00272676">
        <w:rPr>
          <w:rFonts w:ascii="Times New Roman" w:eastAsia="Times New Roman" w:hAnsi="Times New Roman" w:cs="Times New Roman"/>
          <w:sz w:val="24"/>
          <w:szCs w:val="24"/>
          <w:lang w:val="en-GB" w:eastAsia="en-GB"/>
        </w:rPr>
        <w:t>Without these reforms, Ghana's vision for a scientifically literate workforce remains at risk. Strengthening teacher training in science is not just an educational priority but a catalyst for national development.</w:t>
      </w:r>
    </w:p>
    <w:p w:rsidR="00D503B9" w:rsidRPr="00272676" w:rsidRDefault="00D503B9" w:rsidP="0081496F">
      <w:pPr>
        <w:jc w:val="both"/>
        <w:rPr>
          <w:rFonts w:ascii="Times New Roman" w:eastAsia="Times New Roman" w:hAnsi="Times New Roman" w:cs="Times New Roman"/>
          <w:sz w:val="24"/>
          <w:szCs w:val="24"/>
          <w:lang w:val="en-GB" w:eastAsia="en-GB"/>
        </w:rPr>
      </w:pPr>
      <w:r w:rsidRPr="00272676">
        <w:rPr>
          <w:rFonts w:ascii="Times New Roman" w:eastAsia="Times New Roman" w:hAnsi="Times New Roman" w:cs="Times New Roman"/>
          <w:sz w:val="24"/>
          <w:szCs w:val="24"/>
          <w:lang w:val="en-GB" w:eastAsia="en-GB"/>
        </w:rPr>
        <w:t>Keywords: Science education reform, Teacher preparedness, Resource scarcity, Curriculum alignment, Ghanaian education policy</w:t>
      </w:r>
      <w:r w:rsidR="00E52A57" w:rsidRPr="00272676">
        <w:rPr>
          <w:rFonts w:ascii="Times New Roman" w:eastAsia="Times New Roman" w:hAnsi="Times New Roman" w:cs="Times New Roman"/>
          <w:sz w:val="24"/>
          <w:szCs w:val="24"/>
          <w:lang w:val="en-GB" w:eastAsia="en-GB"/>
        </w:rPr>
        <w:t>, Teacher Training</w:t>
      </w:r>
    </w:p>
    <w:p w:rsidR="00D503B9" w:rsidRPr="00272676" w:rsidRDefault="00D503B9" w:rsidP="0081496F">
      <w:pPr>
        <w:jc w:val="both"/>
        <w:rPr>
          <w:rFonts w:ascii="Times New Roman" w:eastAsia="Times New Roman" w:hAnsi="Times New Roman" w:cs="Times New Roman"/>
          <w:sz w:val="24"/>
          <w:szCs w:val="24"/>
          <w:lang w:val="en-GB" w:eastAsia="en-GB"/>
        </w:rPr>
      </w:pPr>
    </w:p>
    <w:p w:rsidR="00043771" w:rsidRPr="00ED70A5" w:rsidRDefault="00ED70A5" w:rsidP="0081496F">
      <w:pPr>
        <w:jc w:val="both"/>
        <w:rPr>
          <w:rFonts w:ascii="Times New Roman" w:hAnsi="Times New Roman" w:cs="Times New Roman"/>
          <w:b/>
          <w:sz w:val="28"/>
          <w:szCs w:val="28"/>
        </w:rPr>
      </w:pPr>
      <w:r w:rsidRPr="00ED70A5">
        <w:rPr>
          <w:rFonts w:ascii="Times New Roman" w:hAnsi="Times New Roman" w:cs="Times New Roman"/>
          <w:b/>
          <w:sz w:val="28"/>
          <w:szCs w:val="28"/>
        </w:rPr>
        <w:t xml:space="preserve">1.0 </w:t>
      </w:r>
      <w:r w:rsidR="00043771" w:rsidRPr="00ED70A5">
        <w:rPr>
          <w:rFonts w:ascii="Times New Roman" w:hAnsi="Times New Roman" w:cs="Times New Roman"/>
          <w:b/>
          <w:sz w:val="28"/>
          <w:szCs w:val="28"/>
        </w:rPr>
        <w:t>Introduction</w:t>
      </w:r>
    </w:p>
    <w:p w:rsidR="00D503B9" w:rsidRPr="00272676" w:rsidRDefault="00D503B9" w:rsidP="0081496F">
      <w:pPr>
        <w:pStyle w:val="NormalWeb"/>
        <w:jc w:val="both"/>
      </w:pPr>
      <w:r w:rsidRPr="00272676">
        <w:t>Science education holds a central place in the growth of individuals and the progress of nations. It nurtures critical thinking, encourages curiosity, and equips learners with the tools to solve complex problems (</w:t>
      </w:r>
      <w:proofErr w:type="spellStart"/>
      <w:r w:rsidRPr="00272676">
        <w:t>Sujatmika</w:t>
      </w:r>
      <w:proofErr w:type="spellEnd"/>
      <w:r w:rsidRPr="00272676">
        <w:t xml:space="preserve">, </w:t>
      </w:r>
      <w:proofErr w:type="spellStart"/>
      <w:r w:rsidRPr="00272676">
        <w:t>Masykuri</w:t>
      </w:r>
      <w:proofErr w:type="spellEnd"/>
      <w:r w:rsidRPr="00272676">
        <w:t xml:space="preserve">, </w:t>
      </w:r>
      <w:proofErr w:type="spellStart"/>
      <w:r w:rsidRPr="00272676">
        <w:t>Prayitno</w:t>
      </w:r>
      <w:proofErr w:type="spellEnd"/>
      <w:r w:rsidRPr="00272676">
        <w:t xml:space="preserve">, &amp; </w:t>
      </w:r>
      <w:proofErr w:type="spellStart"/>
      <w:r w:rsidRPr="00272676">
        <w:t>Sutarno</w:t>
      </w:r>
      <w:proofErr w:type="spellEnd"/>
      <w:r w:rsidRPr="00272676">
        <w:t xml:space="preserve">, 2024; </w:t>
      </w:r>
      <w:proofErr w:type="spellStart"/>
      <w:r w:rsidRPr="00272676">
        <w:t>Akyeampong</w:t>
      </w:r>
      <w:proofErr w:type="spellEnd"/>
      <w:r w:rsidRPr="00272676">
        <w:t xml:space="preserve">, 2010; UNESCO, 2005). In Ghana, this role is especially crucial. As the country aspires to build a scientifically literate society, teacher education becomes the main vehicle for preparing future educators to carry this vision forward (Ministry of Education, 2007; </w:t>
      </w:r>
      <w:proofErr w:type="spellStart"/>
      <w:r w:rsidRPr="00272676">
        <w:t>Buabeng</w:t>
      </w:r>
      <w:proofErr w:type="spellEnd"/>
      <w:r w:rsidRPr="00272676">
        <w:t xml:space="preserve">, </w:t>
      </w:r>
      <w:proofErr w:type="spellStart"/>
      <w:r w:rsidRPr="00272676">
        <w:t>Ntow</w:t>
      </w:r>
      <w:proofErr w:type="spellEnd"/>
      <w:r w:rsidRPr="00272676">
        <w:t xml:space="preserve">, &amp; </w:t>
      </w:r>
      <w:proofErr w:type="spellStart"/>
      <w:r w:rsidRPr="00272676">
        <w:t>Otami</w:t>
      </w:r>
      <w:proofErr w:type="spellEnd"/>
      <w:r w:rsidRPr="00272676">
        <w:t>, 2020).</w:t>
      </w:r>
    </w:p>
    <w:p w:rsidR="00D503B9" w:rsidRPr="00272676" w:rsidRDefault="00D503B9" w:rsidP="0081496F">
      <w:pPr>
        <w:pStyle w:val="NormalWeb"/>
        <w:jc w:val="both"/>
      </w:pPr>
      <w:r w:rsidRPr="00272676">
        <w:t>Ghana has made significant strides in reforming its teacher education system to meet both local needs and global expectations. The transformation of Teacher Training Colleges into Colleges of Education in 2008, followed by the introduction of the Bachelor of Education degree in 2018, marked important milestones in this journey (Government of Ghana, 2004; Newman, 2013). These reforms were designed to raise the quality of teaching, deepen subject knowledge, and improve alignment with international standards.</w:t>
      </w:r>
    </w:p>
    <w:p w:rsidR="00D503B9" w:rsidRPr="00272676" w:rsidRDefault="00D503B9" w:rsidP="0081496F">
      <w:pPr>
        <w:pStyle w:val="NormalWeb"/>
        <w:jc w:val="both"/>
      </w:pPr>
      <w:r w:rsidRPr="00272676">
        <w:lastRenderedPageBreak/>
        <w:t>Yet, despite these structural changes, the teaching and learning of science in Colleges of Education remain fraught with challenges. Laboratories are scarce, instructional hours are often inadequate, and teaching materials are limited. Many student-teachers also begin their training without a strong foundation in science, which further complicates their learning experience (</w:t>
      </w:r>
      <w:proofErr w:type="spellStart"/>
      <w:r w:rsidRPr="00272676">
        <w:t>Farrant</w:t>
      </w:r>
      <w:proofErr w:type="spellEnd"/>
      <w:r w:rsidRPr="00272676">
        <w:t xml:space="preserve">, 1996; James &amp; Pedder, 2006; </w:t>
      </w:r>
      <w:proofErr w:type="spellStart"/>
      <w:r w:rsidRPr="00272676">
        <w:t>Kaptan</w:t>
      </w:r>
      <w:proofErr w:type="spellEnd"/>
      <w:r w:rsidRPr="00272676">
        <w:t xml:space="preserve"> &amp; </w:t>
      </w:r>
      <w:proofErr w:type="spellStart"/>
      <w:r w:rsidRPr="00272676">
        <w:t>Timurlenk</w:t>
      </w:r>
      <w:proofErr w:type="spellEnd"/>
      <w:r w:rsidRPr="00272676">
        <w:t>, 2012). These challenges not only affect trainee teachers' confidence but also limit their ability to implement effective science instruction in the basic schools where they will eventually teach.</w:t>
      </w:r>
    </w:p>
    <w:p w:rsidR="00D503B9" w:rsidRPr="00272676" w:rsidRDefault="00D503B9" w:rsidP="0081496F">
      <w:pPr>
        <w:pStyle w:val="NormalWeb"/>
        <w:jc w:val="both"/>
      </w:pPr>
      <w:r w:rsidRPr="00272676">
        <w:t>Evidence from national reviews and academic studies underscores the need for practical, hands-on science training in teacher education. Inquiry-based approaches and real-world applications are vital for fostering deeper understanding and student engagement (</w:t>
      </w:r>
      <w:proofErr w:type="spellStart"/>
      <w:r w:rsidRPr="00272676">
        <w:t>Asare</w:t>
      </w:r>
      <w:proofErr w:type="spellEnd"/>
      <w:r w:rsidRPr="00272676">
        <w:t xml:space="preserve"> &amp; </w:t>
      </w:r>
      <w:proofErr w:type="spellStart"/>
      <w:r w:rsidRPr="00272676">
        <w:t>Nti</w:t>
      </w:r>
      <w:proofErr w:type="spellEnd"/>
      <w:r w:rsidRPr="00272676">
        <w:t>, 2014). However, a gap still exists between the goals outlined in policy and the day-to-day realities within the Colleges of Education. This disconnect is particularly visible in institutions located in Ghana’s Eastern Region, where disparities in resources and administrative support further hinder progress (</w:t>
      </w:r>
      <w:proofErr w:type="spellStart"/>
      <w:r w:rsidRPr="00272676">
        <w:t>Ntumi</w:t>
      </w:r>
      <w:proofErr w:type="spellEnd"/>
      <w:r w:rsidRPr="00272676">
        <w:t xml:space="preserve">, </w:t>
      </w:r>
      <w:proofErr w:type="spellStart"/>
      <w:r w:rsidRPr="00272676">
        <w:t>Shilla</w:t>
      </w:r>
      <w:proofErr w:type="spellEnd"/>
      <w:r w:rsidRPr="00272676">
        <w:t xml:space="preserve">, </w:t>
      </w:r>
      <w:proofErr w:type="spellStart"/>
      <w:r w:rsidRPr="00272676">
        <w:t>Tetteh</w:t>
      </w:r>
      <w:proofErr w:type="spellEnd"/>
      <w:r w:rsidRPr="00272676">
        <w:t xml:space="preserve">, </w:t>
      </w:r>
      <w:proofErr w:type="spellStart"/>
      <w:r w:rsidRPr="00272676">
        <w:t>Yalley</w:t>
      </w:r>
      <w:proofErr w:type="spellEnd"/>
      <w:r w:rsidRPr="00272676">
        <w:t xml:space="preserve">, </w:t>
      </w:r>
      <w:proofErr w:type="spellStart"/>
      <w:r w:rsidRPr="00272676">
        <w:t>Yeboah</w:t>
      </w:r>
      <w:proofErr w:type="spellEnd"/>
      <w:r w:rsidRPr="00272676">
        <w:t xml:space="preserve">, &amp; </w:t>
      </w:r>
      <w:proofErr w:type="spellStart"/>
      <w:r w:rsidRPr="00272676">
        <w:t>Nimo</w:t>
      </w:r>
      <w:proofErr w:type="spellEnd"/>
      <w:r w:rsidRPr="00272676">
        <w:t>, 2023).</w:t>
      </w:r>
    </w:p>
    <w:p w:rsidR="00D503B9" w:rsidRPr="00272676" w:rsidRDefault="00D503B9" w:rsidP="0081496F">
      <w:pPr>
        <w:pStyle w:val="NormalWeb"/>
        <w:jc w:val="both"/>
      </w:pPr>
      <w:r w:rsidRPr="00272676">
        <w:t xml:space="preserve">This study focuses on four Colleges of </w:t>
      </w:r>
      <w:r w:rsidR="00772471" w:rsidRPr="00272676">
        <w:t xml:space="preserve">Education in the Eastern Region; </w:t>
      </w:r>
      <w:proofErr w:type="spellStart"/>
      <w:r w:rsidR="00366CEE">
        <w:t>Somanya</w:t>
      </w:r>
      <w:proofErr w:type="spellEnd"/>
      <w:proofErr w:type="gramStart"/>
      <w:r w:rsidR="00366CEE">
        <w:t xml:space="preserve">, </w:t>
      </w:r>
      <w:r w:rsidRPr="00272676">
        <w:t xml:space="preserve"> </w:t>
      </w:r>
      <w:r w:rsidR="00366CEE">
        <w:t>Koforidua</w:t>
      </w:r>
      <w:proofErr w:type="gramEnd"/>
      <w:r w:rsidRPr="00272676">
        <w:t xml:space="preserve">, </w:t>
      </w:r>
      <w:proofErr w:type="spellStart"/>
      <w:r w:rsidRPr="00272676">
        <w:t>Abetifi</w:t>
      </w:r>
      <w:proofErr w:type="spellEnd"/>
      <w:r w:rsidRPr="00272676">
        <w:t xml:space="preserve">, and </w:t>
      </w:r>
      <w:proofErr w:type="spellStart"/>
      <w:r w:rsidR="00366CEE">
        <w:t>Akpropong</w:t>
      </w:r>
      <w:proofErr w:type="spellEnd"/>
      <w:r w:rsidR="00366CEE">
        <w:t xml:space="preserve"> </w:t>
      </w:r>
      <w:r w:rsidRPr="00272676">
        <w:t xml:space="preserve">to examine the current state of science education from the perspective of both student-teachers and tutors. Through a blend of quantitative and qualitative data, it seeks to understand the depth of the challenges and identify practical, context-sensitive strategies for improvement. In doing so, the study contributes to the broader conversation on educational reform and the role science plays in preparing teachers who can inspire future generations (UNESCO, 2012; </w:t>
      </w:r>
      <w:proofErr w:type="spellStart"/>
      <w:r w:rsidRPr="00272676">
        <w:t>Perraton</w:t>
      </w:r>
      <w:proofErr w:type="spellEnd"/>
      <w:r w:rsidRPr="00272676">
        <w:t>, 2010).</w:t>
      </w:r>
    </w:p>
    <w:p w:rsidR="00772471" w:rsidRPr="00ED70A5" w:rsidRDefault="00ED70A5" w:rsidP="0081496F">
      <w:pPr>
        <w:pStyle w:val="Heading3"/>
        <w:jc w:val="both"/>
        <w:rPr>
          <w:sz w:val="28"/>
          <w:szCs w:val="28"/>
        </w:rPr>
      </w:pPr>
      <w:r w:rsidRPr="00ED70A5">
        <w:rPr>
          <w:sz w:val="28"/>
          <w:szCs w:val="28"/>
        </w:rPr>
        <w:t xml:space="preserve">2.0 </w:t>
      </w:r>
      <w:r w:rsidR="00772471" w:rsidRPr="00ED70A5">
        <w:rPr>
          <w:sz w:val="28"/>
          <w:szCs w:val="28"/>
        </w:rPr>
        <w:t>Review of related Literature</w:t>
      </w:r>
    </w:p>
    <w:p w:rsidR="00772471" w:rsidRPr="00272676" w:rsidRDefault="00772471" w:rsidP="0081496F">
      <w:pPr>
        <w:pStyle w:val="NormalWeb"/>
        <w:jc w:val="both"/>
      </w:pPr>
      <w:r w:rsidRPr="00272676">
        <w:t>Science education is widely acknowledged as a vital driver for national development, yet the systemic challenges that impede its effective delivery, especially in teacher education, remain a pressing concern. The success of science teaching depends not only on individual effort but on the strength of the education system as a whole (</w:t>
      </w:r>
      <w:proofErr w:type="spellStart"/>
      <w:r w:rsidRPr="00272676">
        <w:t>Sujatmika</w:t>
      </w:r>
      <w:proofErr w:type="spellEnd"/>
      <w:r w:rsidRPr="00272676">
        <w:t xml:space="preserve"> et al., 2024; </w:t>
      </w:r>
      <w:proofErr w:type="spellStart"/>
      <w:r w:rsidRPr="00272676">
        <w:t>Akyeampong</w:t>
      </w:r>
      <w:proofErr w:type="spellEnd"/>
      <w:r w:rsidRPr="00272676">
        <w:t>, 2010). In Ghana, this system is at a crossroads, seeking to balance ambitious policy reforms with the realities faced by Colleges of Education.</w:t>
      </w:r>
    </w:p>
    <w:p w:rsidR="00772471" w:rsidRPr="00ED70A5" w:rsidRDefault="00ED70A5" w:rsidP="0081496F">
      <w:pPr>
        <w:pStyle w:val="NormalWeb"/>
        <w:jc w:val="both"/>
      </w:pPr>
      <w:r w:rsidRPr="00ED70A5">
        <w:rPr>
          <w:rStyle w:val="Strong"/>
        </w:rPr>
        <w:t xml:space="preserve">2.1 </w:t>
      </w:r>
      <w:r w:rsidR="00772471" w:rsidRPr="00ED70A5">
        <w:rPr>
          <w:rStyle w:val="Strong"/>
        </w:rPr>
        <w:t>Systemic Infrastructure Deficiencies</w:t>
      </w:r>
    </w:p>
    <w:p w:rsidR="00772471" w:rsidRPr="00272676" w:rsidRDefault="00772471" w:rsidP="0081496F">
      <w:pPr>
        <w:pStyle w:val="NormalWeb"/>
        <w:jc w:val="both"/>
      </w:pPr>
      <w:r w:rsidRPr="00272676">
        <w:t>A major body of literature points to infrastructure shortcomings as a primary barrier. Laboratories, which are essential for hands-on science learning, are either insufficient or poorly equipped in many teacher training institutions (</w:t>
      </w:r>
      <w:proofErr w:type="spellStart"/>
      <w:r w:rsidRPr="00272676">
        <w:t>Farrant</w:t>
      </w:r>
      <w:proofErr w:type="spellEnd"/>
      <w:r w:rsidRPr="00272676">
        <w:t xml:space="preserve">, 1996; James &amp; Pedder, 2006). Without adequate physical resources, student-teachers struggle to engage deeply with scientific concepts, leading to a theoretical rather than practical grasp of the subject matter. </w:t>
      </w:r>
      <w:proofErr w:type="spellStart"/>
      <w:r w:rsidRPr="00272676">
        <w:t>Kaptan</w:t>
      </w:r>
      <w:proofErr w:type="spellEnd"/>
      <w:r w:rsidRPr="00272676">
        <w:t xml:space="preserve"> and </w:t>
      </w:r>
      <w:proofErr w:type="spellStart"/>
      <w:r w:rsidRPr="00272676">
        <w:t>Timurlenk</w:t>
      </w:r>
      <w:proofErr w:type="spellEnd"/>
      <w:r w:rsidRPr="00272676">
        <w:t xml:space="preserve"> (2012) emphasize that such limitations weaken inquiry-based learning, which is critical for developing problem-solving skills.</w:t>
      </w:r>
    </w:p>
    <w:p w:rsidR="00772471" w:rsidRPr="00ED70A5" w:rsidRDefault="00ED70A5" w:rsidP="0081496F">
      <w:pPr>
        <w:pStyle w:val="NormalWeb"/>
        <w:jc w:val="both"/>
      </w:pPr>
      <w:r w:rsidRPr="00ED70A5">
        <w:rPr>
          <w:rStyle w:val="Strong"/>
        </w:rPr>
        <w:t xml:space="preserve">2.2 </w:t>
      </w:r>
      <w:r w:rsidR="00772471" w:rsidRPr="00ED70A5">
        <w:rPr>
          <w:rStyle w:val="Strong"/>
        </w:rPr>
        <w:t>Instructional Time and Curriculum Constraints</w:t>
      </w:r>
    </w:p>
    <w:p w:rsidR="00772471" w:rsidRPr="00272676" w:rsidRDefault="00772471" w:rsidP="0081496F">
      <w:pPr>
        <w:pStyle w:val="NormalWeb"/>
        <w:jc w:val="both"/>
      </w:pPr>
      <w:r w:rsidRPr="00272676">
        <w:lastRenderedPageBreak/>
        <w:t>Instructional time devoted to science is another systemic issue that echoes across studies. The pressure to cover broad curricula within limited time frames reduces opportunities for experiential learning (</w:t>
      </w:r>
      <w:proofErr w:type="spellStart"/>
      <w:r w:rsidRPr="00272676">
        <w:t>Buabeng</w:t>
      </w:r>
      <w:proofErr w:type="spellEnd"/>
      <w:r w:rsidRPr="00272676">
        <w:t xml:space="preserve"> et al., 2020; Ministry of Education, 2007). This is compounded by curriculum designs that often prioritize content coverage over pedagogical skills, which are crucial for fostering active learning environments (Newman, 2013; </w:t>
      </w:r>
      <w:proofErr w:type="spellStart"/>
      <w:r w:rsidRPr="00272676">
        <w:t>Abudu</w:t>
      </w:r>
      <w:proofErr w:type="spellEnd"/>
      <w:r w:rsidRPr="00272676">
        <w:t xml:space="preserve">, </w:t>
      </w:r>
      <w:proofErr w:type="spellStart"/>
      <w:r w:rsidRPr="00272676">
        <w:t>Wuripe</w:t>
      </w:r>
      <w:proofErr w:type="spellEnd"/>
      <w:r w:rsidRPr="00272676">
        <w:t xml:space="preserve">, &amp; </w:t>
      </w:r>
      <w:proofErr w:type="spellStart"/>
      <w:r w:rsidRPr="00272676">
        <w:t>Abdulai</w:t>
      </w:r>
      <w:proofErr w:type="spellEnd"/>
      <w:r w:rsidRPr="00272676">
        <w:t xml:space="preserve">, 2025). Research by </w:t>
      </w:r>
      <w:proofErr w:type="spellStart"/>
      <w:r w:rsidRPr="00272676">
        <w:t>Owusu-Amanfo</w:t>
      </w:r>
      <w:proofErr w:type="spellEnd"/>
      <w:r w:rsidRPr="00272676">
        <w:t xml:space="preserve"> (2012) highlights the tension between curriculum expectations and practical implementation, pointing to the need for curricular frameworks that align with teaching realities.</w:t>
      </w:r>
    </w:p>
    <w:p w:rsidR="00772471" w:rsidRPr="00ED70A5" w:rsidRDefault="00ED70A5" w:rsidP="0081496F">
      <w:pPr>
        <w:pStyle w:val="NormalWeb"/>
        <w:jc w:val="both"/>
      </w:pPr>
      <w:r w:rsidRPr="00ED70A5">
        <w:rPr>
          <w:rStyle w:val="Strong"/>
        </w:rPr>
        <w:t xml:space="preserve">2.3 </w:t>
      </w:r>
      <w:r w:rsidR="00772471" w:rsidRPr="00ED70A5">
        <w:rPr>
          <w:rStyle w:val="Strong"/>
        </w:rPr>
        <w:t>Student Background and Preparedness</w:t>
      </w:r>
    </w:p>
    <w:p w:rsidR="00772471" w:rsidRPr="00272676" w:rsidRDefault="00772471" w:rsidP="0081496F">
      <w:pPr>
        <w:pStyle w:val="NormalWeb"/>
        <w:jc w:val="both"/>
      </w:pPr>
      <w:r w:rsidRPr="00272676">
        <w:t>The challenge of student preparedness is deeply systemic. Many teacher trainees enter Colleges of Education with limited science backgrounds, reflecting earlier educational gaps (</w:t>
      </w:r>
      <w:proofErr w:type="spellStart"/>
      <w:r w:rsidRPr="00272676">
        <w:t>Ayse</w:t>
      </w:r>
      <w:proofErr w:type="spellEnd"/>
      <w:r w:rsidRPr="00272676">
        <w:t xml:space="preserve">, 2005; </w:t>
      </w:r>
      <w:proofErr w:type="spellStart"/>
      <w:r w:rsidRPr="00272676">
        <w:t>Ntumi</w:t>
      </w:r>
      <w:proofErr w:type="spellEnd"/>
      <w:r w:rsidRPr="00272676">
        <w:t xml:space="preserve"> et al., 2023). This undermines their confidence and ability to absorb advanced science content or to teach it effectively at the basic school level. The lack of a strong foundation contributes to high attrition rates in science-related courses and diminished enthusiasm for science teaching careers (</w:t>
      </w:r>
      <w:proofErr w:type="spellStart"/>
      <w:r w:rsidRPr="00272676">
        <w:t>Anamuah</w:t>
      </w:r>
      <w:proofErr w:type="spellEnd"/>
      <w:r w:rsidRPr="00272676">
        <w:t>-Mensah, 2002).</w:t>
      </w:r>
    </w:p>
    <w:p w:rsidR="00772471" w:rsidRPr="00ED70A5" w:rsidRDefault="00ED70A5" w:rsidP="0081496F">
      <w:pPr>
        <w:pStyle w:val="NormalWeb"/>
        <w:jc w:val="both"/>
      </w:pPr>
      <w:r w:rsidRPr="00ED70A5">
        <w:rPr>
          <w:rStyle w:val="Strong"/>
        </w:rPr>
        <w:t xml:space="preserve">2.4 </w:t>
      </w:r>
      <w:r w:rsidR="00772471" w:rsidRPr="00ED70A5">
        <w:rPr>
          <w:rStyle w:val="Strong"/>
        </w:rPr>
        <w:t>Training and Professional Development Gaps</w:t>
      </w:r>
    </w:p>
    <w:p w:rsidR="00772471" w:rsidRPr="00272676" w:rsidRDefault="00772471" w:rsidP="0081496F">
      <w:pPr>
        <w:pStyle w:val="NormalWeb"/>
        <w:jc w:val="both"/>
      </w:pPr>
      <w:r w:rsidRPr="00272676">
        <w:t>Studies underscore the importance of equipping pre-service teachers with pedagogical skills tailored for science education, including inquiry-based and learner-</w:t>
      </w:r>
      <w:proofErr w:type="spellStart"/>
      <w:r w:rsidRPr="00272676">
        <w:t>centered</w:t>
      </w:r>
      <w:proofErr w:type="spellEnd"/>
      <w:r w:rsidRPr="00272676">
        <w:t xml:space="preserve"> methods (</w:t>
      </w:r>
      <w:proofErr w:type="spellStart"/>
      <w:r w:rsidRPr="00272676">
        <w:t>Asare</w:t>
      </w:r>
      <w:proofErr w:type="spellEnd"/>
      <w:r w:rsidRPr="00272676">
        <w:t xml:space="preserve"> &amp; </w:t>
      </w:r>
      <w:proofErr w:type="spellStart"/>
      <w:r w:rsidRPr="00272676">
        <w:t>Nti</w:t>
      </w:r>
      <w:proofErr w:type="spellEnd"/>
      <w:r w:rsidRPr="00272676">
        <w:t xml:space="preserve">, 2014; </w:t>
      </w:r>
      <w:proofErr w:type="spellStart"/>
      <w:r w:rsidRPr="00272676">
        <w:t>Perraton</w:t>
      </w:r>
      <w:proofErr w:type="spellEnd"/>
      <w:r w:rsidRPr="00272676">
        <w:t>, 2</w:t>
      </w:r>
      <w:r w:rsidR="009906F9">
        <w:t xml:space="preserve">010). However, there is often a </w:t>
      </w:r>
      <w:r w:rsidRPr="00272676">
        <w:t>disconnect between policy intentions for professional development and their translation into practice. Tutors themselves sometimes lack up-to-date training or resources, which affects the quality of mentorship and instruction provided to trainees (</w:t>
      </w:r>
      <w:proofErr w:type="spellStart"/>
      <w:r w:rsidRPr="00272676">
        <w:t>Ntumi</w:t>
      </w:r>
      <w:proofErr w:type="spellEnd"/>
      <w:r w:rsidRPr="00272676">
        <w:t xml:space="preserve"> et al., 2023). This systemic gap slows the progress toward producing competent, confident science teachers.</w:t>
      </w:r>
    </w:p>
    <w:p w:rsidR="00772471" w:rsidRPr="00ED70A5" w:rsidRDefault="00ED70A5" w:rsidP="0081496F">
      <w:pPr>
        <w:pStyle w:val="NormalWeb"/>
        <w:jc w:val="both"/>
      </w:pPr>
      <w:r w:rsidRPr="00ED70A5">
        <w:rPr>
          <w:rStyle w:val="Strong"/>
        </w:rPr>
        <w:t xml:space="preserve">2.5 </w:t>
      </w:r>
      <w:r w:rsidR="00772471" w:rsidRPr="00ED70A5">
        <w:rPr>
          <w:rStyle w:val="Strong"/>
        </w:rPr>
        <w:t>Regional Disparities and Administrative Challenges</w:t>
      </w:r>
    </w:p>
    <w:p w:rsidR="00772471" w:rsidRPr="00272676" w:rsidRDefault="00772471" w:rsidP="0081496F">
      <w:pPr>
        <w:pStyle w:val="NormalWeb"/>
        <w:jc w:val="both"/>
      </w:pPr>
      <w:r w:rsidRPr="00272676">
        <w:t>Research focusing on Ghana’s Eastern Region reveals that resource disparities and local administrative capacities contribute significantly to the uneven quality of science education (</w:t>
      </w:r>
      <w:proofErr w:type="spellStart"/>
      <w:r w:rsidRPr="00272676">
        <w:t>Ntumi</w:t>
      </w:r>
      <w:proofErr w:type="spellEnd"/>
      <w:r w:rsidRPr="00272676">
        <w:t xml:space="preserve"> et al., 2023). Such disparities mean that some Colleges of Education struggle more than others to implement reforms effectively. These regional inequalities reflect broader systemic issues related to funding, governance, and policy implementation mechanisms, which require targeted interventions.</w:t>
      </w:r>
    </w:p>
    <w:p w:rsidR="00772471" w:rsidRPr="00ED70A5" w:rsidRDefault="00ED70A5" w:rsidP="0081496F">
      <w:pPr>
        <w:pStyle w:val="NormalWeb"/>
        <w:jc w:val="both"/>
      </w:pPr>
      <w:r w:rsidRPr="00ED70A5">
        <w:rPr>
          <w:rStyle w:val="Strong"/>
        </w:rPr>
        <w:t xml:space="preserve">2.6 </w:t>
      </w:r>
      <w:r w:rsidR="00772471" w:rsidRPr="00ED70A5">
        <w:rPr>
          <w:rStyle w:val="Strong"/>
        </w:rPr>
        <w:t>Bridging Policy and Practice</w:t>
      </w:r>
    </w:p>
    <w:p w:rsidR="00772471" w:rsidRPr="00272676" w:rsidRDefault="00772471" w:rsidP="0081496F">
      <w:pPr>
        <w:pStyle w:val="NormalWeb"/>
        <w:jc w:val="both"/>
      </w:pPr>
      <w:r w:rsidRPr="00272676">
        <w:t>The literature calls for renewed attention to bridging the gap between national policies and the realities on the ground (</w:t>
      </w:r>
      <w:proofErr w:type="spellStart"/>
      <w:r w:rsidRPr="00272676">
        <w:t>Asare</w:t>
      </w:r>
      <w:proofErr w:type="spellEnd"/>
      <w:r w:rsidRPr="00272676">
        <w:t xml:space="preserve"> &amp; </w:t>
      </w:r>
      <w:proofErr w:type="spellStart"/>
      <w:r w:rsidRPr="00272676">
        <w:t>Nti</w:t>
      </w:r>
      <w:proofErr w:type="spellEnd"/>
      <w:r w:rsidRPr="00272676">
        <w:t>, 2014; UNESCO, 2012). While reforms such as upgrading Colleges of Education and expanding degree programs are positive steps, they must be matched by investments in infrastructure, materials, and human capacity development. Without this, the transformative potential of science education for Ghana’s future remains unrealized.</w:t>
      </w:r>
    </w:p>
    <w:p w:rsidR="00772471" w:rsidRPr="00ED70A5" w:rsidRDefault="00272676" w:rsidP="0081496F">
      <w:pPr>
        <w:pStyle w:val="Heading1"/>
        <w:jc w:val="both"/>
        <w:rPr>
          <w:rFonts w:ascii="Times New Roman" w:hAnsi="Times New Roman" w:cs="Times New Roman"/>
          <w:b/>
          <w:color w:val="auto"/>
          <w:sz w:val="28"/>
          <w:szCs w:val="28"/>
        </w:rPr>
      </w:pPr>
      <w:r w:rsidRPr="00ED70A5">
        <w:rPr>
          <w:rFonts w:ascii="Times New Roman" w:hAnsi="Times New Roman" w:cs="Times New Roman"/>
          <w:b/>
          <w:color w:val="auto"/>
          <w:sz w:val="28"/>
          <w:szCs w:val="28"/>
        </w:rPr>
        <w:lastRenderedPageBreak/>
        <w:t xml:space="preserve">3.0 </w:t>
      </w:r>
      <w:r w:rsidR="00772471" w:rsidRPr="00ED70A5">
        <w:rPr>
          <w:rFonts w:ascii="Times New Roman" w:hAnsi="Times New Roman" w:cs="Times New Roman"/>
          <w:b/>
          <w:color w:val="auto"/>
          <w:sz w:val="28"/>
          <w:szCs w:val="28"/>
        </w:rPr>
        <w:t>Research Methodology</w:t>
      </w:r>
    </w:p>
    <w:p w:rsidR="00772471" w:rsidRPr="00272676" w:rsidRDefault="00772471" w:rsidP="0081496F">
      <w:pPr>
        <w:pStyle w:val="NormalWeb"/>
        <w:jc w:val="both"/>
      </w:pPr>
      <w:r w:rsidRPr="00272676">
        <w:t>This study employed a mixed methods design, weaving together qualitative and quantitative approaches to unveil a comprehensive picture of the systemic challenges facing science education in selected Teacher Training Colleges in Ghana’s Eastern Region. This dual lens enriches the understanding of the obstacles through measurable trends and personal narratives, providing depth and clarity to the study’s aims.</w:t>
      </w:r>
    </w:p>
    <w:p w:rsidR="00772471" w:rsidRPr="00ED70A5" w:rsidRDefault="00772471" w:rsidP="0081496F">
      <w:pPr>
        <w:pStyle w:val="Heading2"/>
        <w:jc w:val="both"/>
        <w:rPr>
          <w:rFonts w:ascii="Times New Roman" w:hAnsi="Times New Roman" w:cs="Times New Roman"/>
          <w:b/>
          <w:color w:val="auto"/>
          <w:sz w:val="24"/>
          <w:szCs w:val="24"/>
        </w:rPr>
      </w:pPr>
      <w:r w:rsidRPr="00ED70A5">
        <w:rPr>
          <w:rFonts w:ascii="Times New Roman" w:hAnsi="Times New Roman" w:cs="Times New Roman"/>
          <w:b/>
          <w:color w:val="auto"/>
          <w:sz w:val="24"/>
          <w:szCs w:val="24"/>
        </w:rPr>
        <w:t>3.1 Research Design</w:t>
      </w:r>
    </w:p>
    <w:p w:rsidR="00772471" w:rsidRPr="00272676" w:rsidRDefault="00772471" w:rsidP="0081496F">
      <w:pPr>
        <w:pStyle w:val="NormalWeb"/>
        <w:jc w:val="both"/>
      </w:pPr>
      <w:r w:rsidRPr="00272676">
        <w:t>An explanatory sequential mixed methods design guided this study. Initially, quantitative data</w:t>
      </w:r>
      <w:r w:rsidR="00272676">
        <w:t xml:space="preserve"> received from s</w:t>
      </w:r>
      <w:r w:rsidRPr="00272676">
        <w:t>urvey responses on resource availability, instructional time, and student prep</w:t>
      </w:r>
      <w:r w:rsidR="00272676">
        <w:t xml:space="preserve">aredness </w:t>
      </w:r>
      <w:r w:rsidRPr="00272676">
        <w:t xml:space="preserve">were </w:t>
      </w:r>
      <w:proofErr w:type="spellStart"/>
      <w:r w:rsidRPr="00272676">
        <w:t>analyzed</w:t>
      </w:r>
      <w:proofErr w:type="spellEnd"/>
      <w:r w:rsidRPr="00272676">
        <w:t xml:space="preserve"> to detect key patterns and trends across the colleges. These quantitative insights then shaped the collection and analysis of qualitative data from interviews and focus groups with student-teachers and tutors. This design, endorsed by Creswell and Plano Clark (2018) and </w:t>
      </w:r>
      <w:proofErr w:type="spellStart"/>
      <w:r w:rsidRPr="00272676">
        <w:t>Tashakkori</w:t>
      </w:r>
      <w:proofErr w:type="spellEnd"/>
      <w:r w:rsidRPr="00272676">
        <w:t xml:space="preserve"> and </w:t>
      </w:r>
      <w:proofErr w:type="spellStart"/>
      <w:r w:rsidRPr="00272676">
        <w:t>Teddlie</w:t>
      </w:r>
      <w:proofErr w:type="spellEnd"/>
      <w:r w:rsidRPr="00272676">
        <w:t xml:space="preserve"> (2010), allowed numerical findings to be </w:t>
      </w:r>
      <w:r w:rsidR="00272676">
        <w:t xml:space="preserve">explored </w:t>
      </w:r>
      <w:r w:rsidRPr="00272676">
        <w:t>and contextualized by rich, lived experiences, strengthening the study’s explanatory power.</w:t>
      </w:r>
    </w:p>
    <w:p w:rsidR="00772471" w:rsidRPr="00ED70A5" w:rsidRDefault="00772471" w:rsidP="0081496F">
      <w:pPr>
        <w:pStyle w:val="Heading2"/>
        <w:jc w:val="both"/>
        <w:rPr>
          <w:rFonts w:ascii="Times New Roman" w:hAnsi="Times New Roman" w:cs="Times New Roman"/>
          <w:b/>
          <w:color w:val="auto"/>
          <w:sz w:val="24"/>
          <w:szCs w:val="24"/>
        </w:rPr>
      </w:pPr>
      <w:r w:rsidRPr="00ED70A5">
        <w:rPr>
          <w:rFonts w:ascii="Times New Roman" w:hAnsi="Times New Roman" w:cs="Times New Roman"/>
          <w:b/>
          <w:color w:val="auto"/>
          <w:sz w:val="24"/>
          <w:szCs w:val="24"/>
        </w:rPr>
        <w:t>3.2 Target Population</w:t>
      </w:r>
    </w:p>
    <w:p w:rsidR="00772471" w:rsidRPr="00272676" w:rsidRDefault="00772471" w:rsidP="0081496F">
      <w:pPr>
        <w:pStyle w:val="NormalWeb"/>
        <w:jc w:val="both"/>
      </w:pPr>
      <w:r w:rsidRPr="00272676">
        <w:t>The research focused on student-teachers enrolled in science education programs and science tutors at four Teacher Training Col</w:t>
      </w:r>
      <w:r w:rsidR="00272676">
        <w:t xml:space="preserve">leges in Ghana’s Eastern Region thus </w:t>
      </w:r>
      <w:r w:rsidRPr="00272676">
        <w:t>Mount Mary</w:t>
      </w:r>
      <w:r w:rsidR="00272676">
        <w:t xml:space="preserve"> </w:t>
      </w:r>
      <w:proofErr w:type="gramStart"/>
      <w:r w:rsidR="00272676">
        <w:t>college</w:t>
      </w:r>
      <w:proofErr w:type="gramEnd"/>
      <w:r w:rsidR="00272676">
        <w:t xml:space="preserve"> of education in </w:t>
      </w:r>
      <w:proofErr w:type="spellStart"/>
      <w:r w:rsidR="00272676">
        <w:t>Somanya</w:t>
      </w:r>
      <w:proofErr w:type="spellEnd"/>
      <w:r w:rsidRPr="00272676">
        <w:t>, S</w:t>
      </w:r>
      <w:r w:rsidR="00272676">
        <w:t>eventh Day Adventist College of Education in Koforidua</w:t>
      </w:r>
      <w:r w:rsidRPr="00272676">
        <w:t xml:space="preserve">, </w:t>
      </w:r>
      <w:proofErr w:type="spellStart"/>
      <w:r w:rsidRPr="00272676">
        <w:t>Abetifi</w:t>
      </w:r>
      <w:proofErr w:type="spellEnd"/>
      <w:r w:rsidR="00272676">
        <w:t xml:space="preserve"> College of Education, </w:t>
      </w:r>
      <w:proofErr w:type="spellStart"/>
      <w:r w:rsidR="00272676">
        <w:t>Kwahu</w:t>
      </w:r>
      <w:proofErr w:type="spellEnd"/>
      <w:r w:rsidRPr="00272676">
        <w:t xml:space="preserve">, and </w:t>
      </w:r>
      <w:r w:rsidR="00272676">
        <w:t xml:space="preserve">Presbyterian College of Education, </w:t>
      </w:r>
      <w:proofErr w:type="spellStart"/>
      <w:r w:rsidR="00272676">
        <w:t>Akropong</w:t>
      </w:r>
      <w:proofErr w:type="spellEnd"/>
      <w:r w:rsidRPr="00272676">
        <w:t>. These participants are critical actors in the science education pipeline, poised between policy reforms and classroom realities, making their perspectives invaluable for understanding systemic barriers and opportunities.</w:t>
      </w:r>
    </w:p>
    <w:p w:rsidR="00772471" w:rsidRPr="00ED70A5" w:rsidRDefault="00772471" w:rsidP="0081496F">
      <w:pPr>
        <w:pStyle w:val="Heading2"/>
        <w:jc w:val="both"/>
        <w:rPr>
          <w:rFonts w:ascii="Times New Roman" w:hAnsi="Times New Roman" w:cs="Times New Roman"/>
          <w:b/>
          <w:color w:val="auto"/>
          <w:sz w:val="24"/>
          <w:szCs w:val="24"/>
        </w:rPr>
      </w:pPr>
      <w:r w:rsidRPr="00ED70A5">
        <w:rPr>
          <w:rFonts w:ascii="Times New Roman" w:hAnsi="Times New Roman" w:cs="Times New Roman"/>
          <w:b/>
          <w:color w:val="auto"/>
          <w:sz w:val="24"/>
          <w:szCs w:val="24"/>
        </w:rPr>
        <w:t>3.3 Sampling Method</w:t>
      </w:r>
    </w:p>
    <w:p w:rsidR="00772471" w:rsidRPr="00272676" w:rsidRDefault="00772471" w:rsidP="0081496F">
      <w:pPr>
        <w:pStyle w:val="NormalWeb"/>
        <w:jc w:val="both"/>
      </w:pPr>
      <w:r w:rsidRPr="00272676">
        <w:t>Purposive sampling was employed to select participants with direct involvement in science teaching and learning within the colleges. Stratified random sampling ensured proportional representation of student-teachers across program levels and tutors across science disciplines for the quantitative survey. For qualitative inquiry, purposive sampling identified individuals whose experiences reflected diverse challenges, enabling in-depth exploration of contextual nuances.</w:t>
      </w:r>
    </w:p>
    <w:p w:rsidR="00772471" w:rsidRPr="00ED70A5" w:rsidRDefault="00772471" w:rsidP="0081496F">
      <w:pPr>
        <w:pStyle w:val="Heading2"/>
        <w:jc w:val="both"/>
        <w:rPr>
          <w:rFonts w:ascii="Times New Roman" w:hAnsi="Times New Roman" w:cs="Times New Roman"/>
          <w:color w:val="auto"/>
          <w:sz w:val="24"/>
          <w:szCs w:val="24"/>
        </w:rPr>
      </w:pPr>
      <w:r w:rsidRPr="00ED70A5">
        <w:rPr>
          <w:rFonts w:ascii="Times New Roman" w:hAnsi="Times New Roman" w:cs="Times New Roman"/>
          <w:b/>
          <w:color w:val="auto"/>
          <w:sz w:val="24"/>
          <w:szCs w:val="24"/>
        </w:rPr>
        <w:t>3.4 Sample Size and Justification</w:t>
      </w:r>
    </w:p>
    <w:p w:rsidR="00772471" w:rsidRPr="00272676" w:rsidRDefault="00ED70A5" w:rsidP="0081496F">
      <w:pPr>
        <w:pStyle w:val="NormalWeb"/>
        <w:jc w:val="both"/>
      </w:pPr>
      <w:r>
        <w:t>A total of 209</w:t>
      </w:r>
      <w:r w:rsidR="00772471" w:rsidRPr="00272676">
        <w:t xml:space="preserve"> participants were engaged</w:t>
      </w:r>
      <w:r w:rsidR="00C64B66">
        <w:t xml:space="preserve"> altogether in the four colleges of education</w:t>
      </w:r>
      <w:r w:rsidR="00772471" w:rsidRPr="00272676">
        <w:t xml:space="preserve">: 200 student-teachers and </w:t>
      </w:r>
      <w:r w:rsidR="00C64B66">
        <w:t>9</w:t>
      </w:r>
      <w:r w:rsidR="00772471" w:rsidRPr="00272676">
        <w:t xml:space="preserve"> science </w:t>
      </w:r>
      <w:r w:rsidRPr="00272676">
        <w:t>tutors</w:t>
      </w:r>
      <w:r>
        <w:t xml:space="preserve">. </w:t>
      </w:r>
      <w:r w:rsidR="00772471" w:rsidRPr="00272676">
        <w:t>The sample size was sufficient to yield statistically meaningful quantitative data while allowing for rich qualitative insights. This balance is crucial in education research that aims to blend generalizable evidence with nuanced understanding (Creswell &amp; Plano Clark, 2018).</w:t>
      </w:r>
    </w:p>
    <w:p w:rsidR="00772471" w:rsidRPr="00ED70A5" w:rsidRDefault="00772471" w:rsidP="0081496F">
      <w:pPr>
        <w:pStyle w:val="Heading2"/>
        <w:jc w:val="both"/>
        <w:rPr>
          <w:rFonts w:ascii="Times New Roman" w:hAnsi="Times New Roman" w:cs="Times New Roman"/>
          <w:b/>
          <w:color w:val="auto"/>
          <w:sz w:val="24"/>
          <w:szCs w:val="24"/>
        </w:rPr>
      </w:pPr>
      <w:r w:rsidRPr="00ED70A5">
        <w:rPr>
          <w:rFonts w:ascii="Times New Roman" w:hAnsi="Times New Roman" w:cs="Times New Roman"/>
          <w:b/>
          <w:color w:val="auto"/>
          <w:sz w:val="24"/>
          <w:szCs w:val="24"/>
        </w:rPr>
        <w:lastRenderedPageBreak/>
        <w:t>3.5 Data Collection</w:t>
      </w:r>
    </w:p>
    <w:p w:rsidR="00772471" w:rsidRPr="00272676" w:rsidRDefault="00772471" w:rsidP="0081496F">
      <w:pPr>
        <w:pStyle w:val="NormalWeb"/>
        <w:jc w:val="both"/>
      </w:pPr>
      <w:r w:rsidRPr="00272676">
        <w:t>Data collection integrated multiple sources for triangulation:</w:t>
      </w:r>
    </w:p>
    <w:p w:rsidR="00772471" w:rsidRPr="00272676" w:rsidRDefault="00772471" w:rsidP="0081496F">
      <w:pPr>
        <w:pStyle w:val="NormalWeb"/>
        <w:numPr>
          <w:ilvl w:val="0"/>
          <w:numId w:val="3"/>
        </w:numPr>
        <w:jc w:val="both"/>
      </w:pPr>
      <w:r w:rsidRPr="00272676">
        <w:rPr>
          <w:rStyle w:val="Strong"/>
        </w:rPr>
        <w:t>Quantitative data:</w:t>
      </w:r>
      <w:r w:rsidRPr="00272676">
        <w:t xml:space="preserve"> Structured questionnaires measured access to facilities, instructional time allocation, availability of teaching materials, and perceived preparedness.</w:t>
      </w:r>
    </w:p>
    <w:p w:rsidR="00772471" w:rsidRPr="00272676" w:rsidRDefault="00772471" w:rsidP="0081496F">
      <w:pPr>
        <w:pStyle w:val="NormalWeb"/>
        <w:numPr>
          <w:ilvl w:val="0"/>
          <w:numId w:val="3"/>
        </w:numPr>
        <w:jc w:val="both"/>
      </w:pPr>
      <w:r w:rsidRPr="00272676">
        <w:rPr>
          <w:rStyle w:val="Strong"/>
        </w:rPr>
        <w:t>Qualitative data:</w:t>
      </w:r>
      <w:r w:rsidRPr="00272676">
        <w:t xml:space="preserve"> Semi-structured interviews and focus groups captured the lived experiences, perceptions, and recommendations of student-teachers and tutors.</w:t>
      </w:r>
    </w:p>
    <w:p w:rsidR="00772471" w:rsidRPr="00272676" w:rsidRDefault="00772471" w:rsidP="0081496F">
      <w:pPr>
        <w:pStyle w:val="NormalWeb"/>
        <w:numPr>
          <w:ilvl w:val="0"/>
          <w:numId w:val="3"/>
        </w:numPr>
        <w:jc w:val="both"/>
      </w:pPr>
      <w:r w:rsidRPr="00272676">
        <w:rPr>
          <w:rStyle w:val="Strong"/>
        </w:rPr>
        <w:t>Document review:</w:t>
      </w:r>
      <w:r w:rsidRPr="00272676">
        <w:t xml:space="preserve"> National education policies, college reports, and curriculum frameworks were </w:t>
      </w:r>
      <w:proofErr w:type="spellStart"/>
      <w:r w:rsidRPr="00272676">
        <w:t>analyzed</w:t>
      </w:r>
      <w:proofErr w:type="spellEnd"/>
      <w:r w:rsidRPr="00272676">
        <w:t xml:space="preserve"> to situate findings within broader systemic contexts.</w:t>
      </w:r>
    </w:p>
    <w:p w:rsidR="00772471" w:rsidRPr="00272676" w:rsidRDefault="00772471" w:rsidP="0081496F">
      <w:pPr>
        <w:pStyle w:val="NormalWeb"/>
        <w:jc w:val="both"/>
      </w:pPr>
      <w:r w:rsidRPr="00272676">
        <w:t>Together, these data sources unveiled both the breadth of systemic challenges and their deeper impact on teaching and learning processes.</w:t>
      </w:r>
    </w:p>
    <w:p w:rsidR="00772471" w:rsidRPr="00ED70A5" w:rsidRDefault="00772471" w:rsidP="0081496F">
      <w:pPr>
        <w:pStyle w:val="Heading2"/>
        <w:jc w:val="both"/>
        <w:rPr>
          <w:rFonts w:ascii="Times New Roman" w:hAnsi="Times New Roman" w:cs="Times New Roman"/>
          <w:b/>
          <w:color w:val="auto"/>
          <w:sz w:val="24"/>
          <w:szCs w:val="24"/>
        </w:rPr>
      </w:pPr>
      <w:r w:rsidRPr="00ED70A5">
        <w:rPr>
          <w:rFonts w:ascii="Times New Roman" w:hAnsi="Times New Roman" w:cs="Times New Roman"/>
          <w:b/>
          <w:color w:val="auto"/>
          <w:sz w:val="24"/>
          <w:szCs w:val="24"/>
        </w:rPr>
        <w:t>3.6 Data Analysis</w:t>
      </w:r>
    </w:p>
    <w:p w:rsidR="00772471" w:rsidRPr="00272676" w:rsidRDefault="00772471" w:rsidP="0081496F">
      <w:pPr>
        <w:pStyle w:val="NormalWeb"/>
        <w:jc w:val="both"/>
      </w:pPr>
      <w:r w:rsidRPr="00272676">
        <w:t xml:space="preserve">Quantitative data </w:t>
      </w:r>
      <w:r w:rsidR="00ED70A5">
        <w:t>was taken through</w:t>
      </w:r>
      <w:r w:rsidRPr="00272676">
        <w:t xml:space="preserve"> descriptive and inferential statistical analysis, revealing frequencies, means, and correlations among key variables such as resource availability and self-reported teaching confidence. Qualitative data were </w:t>
      </w:r>
      <w:proofErr w:type="spellStart"/>
      <w:r w:rsidRPr="00272676">
        <w:t>analyzed</w:t>
      </w:r>
      <w:proofErr w:type="spellEnd"/>
      <w:r w:rsidRPr="00272676">
        <w:t xml:space="preserve"> thematically through a rigorous coding process to extract recurring patterns and unique insights related to infrastructural gaps, pedagogical challenges, and institutional support.</w:t>
      </w:r>
    </w:p>
    <w:p w:rsidR="00772471" w:rsidRPr="00272676" w:rsidRDefault="00772471" w:rsidP="0081496F">
      <w:pPr>
        <w:pStyle w:val="NormalWeb"/>
        <w:jc w:val="both"/>
      </w:pPr>
      <w:r w:rsidRPr="00272676">
        <w:t>The integration of findings from both strands employed a triangulation approach, ensuring that qualitative narratives helped explain and enrich the quantitative results, producing a holistic understanding of the systemic challenges.</w:t>
      </w:r>
    </w:p>
    <w:p w:rsidR="00772471" w:rsidRPr="00ED70A5" w:rsidRDefault="00772471" w:rsidP="0081496F">
      <w:pPr>
        <w:pStyle w:val="Heading2"/>
        <w:jc w:val="both"/>
        <w:rPr>
          <w:rFonts w:ascii="Times New Roman" w:hAnsi="Times New Roman" w:cs="Times New Roman"/>
          <w:b/>
          <w:color w:val="auto"/>
          <w:sz w:val="24"/>
          <w:szCs w:val="24"/>
        </w:rPr>
      </w:pPr>
      <w:r w:rsidRPr="00ED70A5">
        <w:rPr>
          <w:rFonts w:ascii="Times New Roman" w:hAnsi="Times New Roman" w:cs="Times New Roman"/>
          <w:b/>
          <w:color w:val="auto"/>
          <w:sz w:val="24"/>
          <w:szCs w:val="24"/>
        </w:rPr>
        <w:t>3.7 Appropriateness of the Methodology</w:t>
      </w:r>
    </w:p>
    <w:p w:rsidR="00772471" w:rsidRPr="00272676" w:rsidRDefault="00772471" w:rsidP="0081496F">
      <w:pPr>
        <w:pStyle w:val="NormalWeb"/>
        <w:jc w:val="both"/>
      </w:pPr>
      <w:r w:rsidRPr="00272676">
        <w:t>This mixed methods approach was particularly suited for investigating the complex, multifaceted nature of systemic challenges in science education. Quantitative data offered clear evidence of the scale and prevalence of issues, while qualitative data provided the essential human context, revealing how these issues manifest in daily teaching and learning experiences. Together, they enabled the identification of pragmatic, context-sensitive solutions to inform policy and practice in Ghana’s Colleges of Education.</w:t>
      </w:r>
    </w:p>
    <w:p w:rsidR="00772471" w:rsidRPr="00ED70A5" w:rsidRDefault="00772471" w:rsidP="0081496F">
      <w:pPr>
        <w:pStyle w:val="Heading1"/>
        <w:jc w:val="both"/>
        <w:rPr>
          <w:rFonts w:ascii="Times New Roman" w:hAnsi="Times New Roman" w:cs="Times New Roman"/>
          <w:b/>
          <w:color w:val="auto"/>
          <w:sz w:val="28"/>
          <w:szCs w:val="28"/>
        </w:rPr>
      </w:pPr>
      <w:r w:rsidRPr="00ED70A5">
        <w:rPr>
          <w:rFonts w:ascii="Times New Roman" w:hAnsi="Times New Roman" w:cs="Times New Roman"/>
          <w:b/>
          <w:color w:val="auto"/>
          <w:sz w:val="28"/>
          <w:szCs w:val="28"/>
        </w:rPr>
        <w:t>Findings and Discussion</w:t>
      </w:r>
    </w:p>
    <w:p w:rsidR="00772471" w:rsidRPr="00ED70A5" w:rsidRDefault="00772471" w:rsidP="0081496F">
      <w:pPr>
        <w:pStyle w:val="Heading2"/>
        <w:jc w:val="both"/>
        <w:rPr>
          <w:rFonts w:ascii="Times New Roman" w:hAnsi="Times New Roman" w:cs="Times New Roman"/>
          <w:b/>
          <w:color w:val="auto"/>
          <w:sz w:val="24"/>
          <w:szCs w:val="24"/>
        </w:rPr>
      </w:pPr>
      <w:r w:rsidRPr="00ED70A5">
        <w:rPr>
          <w:rFonts w:ascii="Times New Roman" w:hAnsi="Times New Roman" w:cs="Times New Roman"/>
          <w:b/>
          <w:color w:val="auto"/>
          <w:sz w:val="24"/>
          <w:szCs w:val="24"/>
        </w:rPr>
        <w:t>4.1 Overview of Systemic Challenges in Science Education</w:t>
      </w:r>
    </w:p>
    <w:p w:rsidR="00772471" w:rsidRPr="00272676" w:rsidRDefault="00772471" w:rsidP="0081496F">
      <w:pPr>
        <w:pStyle w:val="NormalWeb"/>
        <w:jc w:val="both"/>
      </w:pPr>
      <w:r w:rsidRPr="00272676">
        <w:t>The study’s findings paint a vivid picture of the systemic barriers shadowing science education in the selected Teacher Training Colleges. These challenges ripple across infrastructure, instructional time, resource availability, and learner preparedness, confirming and expanding on prior research (</w:t>
      </w:r>
      <w:proofErr w:type="spellStart"/>
      <w:r w:rsidRPr="00272676">
        <w:t>Farrant</w:t>
      </w:r>
      <w:proofErr w:type="spellEnd"/>
      <w:r w:rsidRPr="00272676">
        <w:t xml:space="preserve">, 1996; </w:t>
      </w:r>
      <w:proofErr w:type="spellStart"/>
      <w:r w:rsidRPr="00272676">
        <w:t>Ayse</w:t>
      </w:r>
      <w:proofErr w:type="spellEnd"/>
      <w:r w:rsidRPr="00272676">
        <w:t xml:space="preserve">, 2005; </w:t>
      </w:r>
      <w:proofErr w:type="spellStart"/>
      <w:r w:rsidRPr="00272676">
        <w:t>Kaptan</w:t>
      </w:r>
      <w:proofErr w:type="spellEnd"/>
      <w:r w:rsidRPr="00272676">
        <w:t xml:space="preserve"> &amp; </w:t>
      </w:r>
      <w:proofErr w:type="spellStart"/>
      <w:r w:rsidRPr="00272676">
        <w:t>Timurlenk</w:t>
      </w:r>
      <w:proofErr w:type="spellEnd"/>
      <w:r w:rsidRPr="00272676">
        <w:t>, 2012).</w:t>
      </w:r>
    </w:p>
    <w:p w:rsidR="00772471" w:rsidRPr="000B6235" w:rsidRDefault="00772471" w:rsidP="0081496F">
      <w:pPr>
        <w:pStyle w:val="Heading2"/>
        <w:jc w:val="both"/>
        <w:rPr>
          <w:rFonts w:ascii="Times New Roman" w:hAnsi="Times New Roman" w:cs="Times New Roman"/>
          <w:b/>
          <w:color w:val="auto"/>
          <w:sz w:val="24"/>
          <w:szCs w:val="24"/>
        </w:rPr>
      </w:pPr>
      <w:r w:rsidRPr="000B6235">
        <w:rPr>
          <w:rFonts w:ascii="Times New Roman" w:hAnsi="Times New Roman" w:cs="Times New Roman"/>
          <w:b/>
          <w:color w:val="auto"/>
          <w:sz w:val="24"/>
          <w:szCs w:val="24"/>
        </w:rPr>
        <w:lastRenderedPageBreak/>
        <w:t>4.2 Laboratory Infrastructure Deficits</w:t>
      </w:r>
    </w:p>
    <w:p w:rsidR="00772471" w:rsidRPr="00272676" w:rsidRDefault="00772471" w:rsidP="0081496F">
      <w:pPr>
        <w:pStyle w:val="NormalWeb"/>
        <w:jc w:val="both"/>
      </w:pPr>
      <w:r w:rsidRPr="00272676">
        <w:t>Quantitative data revealed that over 75% of student-teachers and tutors reported inadequate laboratory facilities. Many colleges lacked functioning science labs or essential equipment, severely limiting hands-on practical experiences. Qualitative narratives highlighted how this scarcity undermines inquiry-based learning, reducing science to abstract theory:</w:t>
      </w:r>
      <w:r w:rsidR="000B6235">
        <w:t xml:space="preserve"> </w:t>
      </w:r>
    </w:p>
    <w:p w:rsidR="00772471" w:rsidRPr="00272676" w:rsidRDefault="00772471" w:rsidP="0081496F">
      <w:pPr>
        <w:pStyle w:val="NormalWeb"/>
        <w:jc w:val="both"/>
      </w:pPr>
      <w:r w:rsidRPr="00272676">
        <w:t xml:space="preserve">This echoes UNESCO’s (2005) assertion that laboratory experience is crucial for nurturing scientific literacy and enthusiasm. The infrastructural gap </w:t>
      </w:r>
      <w:r w:rsidR="000B6235">
        <w:t xml:space="preserve">does </w:t>
      </w:r>
      <w:r w:rsidRPr="00272676">
        <w:t xml:space="preserve">not only </w:t>
      </w:r>
      <w:r w:rsidR="000B6235">
        <w:t>disturb</w:t>
      </w:r>
      <w:r w:rsidRPr="00272676">
        <w:t xml:space="preserve"> pedagogical methods but also erodes student confidence and curiosity.</w:t>
      </w:r>
    </w:p>
    <w:p w:rsidR="00772471" w:rsidRPr="000B6235" w:rsidRDefault="00772471" w:rsidP="0081496F">
      <w:pPr>
        <w:pStyle w:val="Heading2"/>
        <w:jc w:val="both"/>
        <w:rPr>
          <w:rFonts w:ascii="Times New Roman" w:hAnsi="Times New Roman" w:cs="Times New Roman"/>
          <w:b/>
          <w:color w:val="auto"/>
          <w:sz w:val="24"/>
          <w:szCs w:val="24"/>
        </w:rPr>
      </w:pPr>
      <w:r w:rsidRPr="000B6235">
        <w:rPr>
          <w:rFonts w:ascii="Times New Roman" w:hAnsi="Times New Roman" w:cs="Times New Roman"/>
          <w:b/>
          <w:color w:val="auto"/>
          <w:sz w:val="24"/>
          <w:szCs w:val="24"/>
        </w:rPr>
        <w:t>4.3 Insufficient Instructional Time</w:t>
      </w:r>
    </w:p>
    <w:p w:rsidR="00772471" w:rsidRPr="00272676" w:rsidRDefault="00772471" w:rsidP="0081496F">
      <w:pPr>
        <w:pStyle w:val="NormalWeb"/>
        <w:jc w:val="both"/>
      </w:pPr>
      <w:r w:rsidRPr="00272676">
        <w:t>Data indicated that science lessons often suffered from compressed timetables. Over 60% of respondents noted that the allocated teaching hours fell short of recommended standards. Tutors described the pressure to cover vast curricula within limited periods, leaving little room for active learning or reflection.</w:t>
      </w:r>
    </w:p>
    <w:p w:rsidR="00772471" w:rsidRPr="00272676" w:rsidRDefault="00772471" w:rsidP="0081496F">
      <w:pPr>
        <w:pStyle w:val="NormalWeb"/>
        <w:jc w:val="both"/>
      </w:pPr>
      <w:r w:rsidRPr="00272676">
        <w:t>This aligns with James and Pedder (2006), who observed that instructional time constraints diminish opportunities for effective science teaching. The result is a hurried, superficial engagement with content that fails to cultivate deep understanding or critical thinking skills, vital for Ghana’s educational ambitions (Ministry of Education, 2007).</w:t>
      </w:r>
    </w:p>
    <w:p w:rsidR="00772471" w:rsidRPr="000B6235" w:rsidRDefault="00772471" w:rsidP="0081496F">
      <w:pPr>
        <w:pStyle w:val="Heading2"/>
        <w:jc w:val="both"/>
        <w:rPr>
          <w:rFonts w:ascii="Times New Roman" w:hAnsi="Times New Roman" w:cs="Times New Roman"/>
          <w:b/>
          <w:color w:val="auto"/>
          <w:sz w:val="24"/>
          <w:szCs w:val="24"/>
        </w:rPr>
      </w:pPr>
      <w:r w:rsidRPr="000B6235">
        <w:rPr>
          <w:rFonts w:ascii="Times New Roman" w:hAnsi="Times New Roman" w:cs="Times New Roman"/>
          <w:b/>
          <w:color w:val="auto"/>
          <w:sz w:val="24"/>
          <w:szCs w:val="24"/>
        </w:rPr>
        <w:t>4.4 Limited Access to Teaching and Learning Materials</w:t>
      </w:r>
    </w:p>
    <w:p w:rsidR="00772471" w:rsidRPr="00272676" w:rsidRDefault="00772471" w:rsidP="000B6235">
      <w:pPr>
        <w:pStyle w:val="NormalWeb"/>
        <w:jc w:val="both"/>
      </w:pPr>
      <w:r w:rsidRPr="00272676">
        <w:t xml:space="preserve">The survey showed a </w:t>
      </w:r>
      <w:r w:rsidR="000B6235">
        <w:t xml:space="preserve">serious </w:t>
      </w:r>
      <w:r w:rsidRPr="00272676">
        <w:t xml:space="preserve">shortage of teaching aids, textbooks, and locally relevant materials. Nearly 70% of student-teachers reported relying primarily on theoretical notes without supplementary resources. </w:t>
      </w:r>
      <w:r w:rsidR="000B6235">
        <w:t xml:space="preserve">In fact, most student-teachers relied primarily and heavily on lecture notes prepared by the tutors which in itself was mostly theoretical. </w:t>
      </w:r>
    </w:p>
    <w:p w:rsidR="00772471" w:rsidRPr="00272676" w:rsidRDefault="00772471" w:rsidP="0081496F">
      <w:pPr>
        <w:pStyle w:val="NormalWeb"/>
        <w:jc w:val="both"/>
      </w:pPr>
      <w:r w:rsidRPr="00272676">
        <w:t xml:space="preserve">This scarcity hampers active learning and constrains </w:t>
      </w:r>
      <w:r w:rsidR="000B6235">
        <w:t>student-</w:t>
      </w:r>
      <w:r w:rsidRPr="00272676">
        <w:t xml:space="preserve">teachers’ creativity, echoing findings by </w:t>
      </w:r>
      <w:proofErr w:type="spellStart"/>
      <w:r w:rsidRPr="00272676">
        <w:t>Buabeng</w:t>
      </w:r>
      <w:proofErr w:type="spellEnd"/>
      <w:r w:rsidRPr="00272676">
        <w:t xml:space="preserve">, </w:t>
      </w:r>
      <w:proofErr w:type="spellStart"/>
      <w:r w:rsidRPr="00272676">
        <w:t>Ntow</w:t>
      </w:r>
      <w:proofErr w:type="spellEnd"/>
      <w:r w:rsidRPr="00272676">
        <w:t xml:space="preserve">, and </w:t>
      </w:r>
      <w:proofErr w:type="spellStart"/>
      <w:r w:rsidRPr="00272676">
        <w:t>Otami</w:t>
      </w:r>
      <w:proofErr w:type="spellEnd"/>
      <w:r w:rsidRPr="00272676">
        <w:t xml:space="preserve"> (2020). The lack of contextually appropriate materials dilutes the relevance and accessibility of science education, detaching it from students’ lived realities.</w:t>
      </w:r>
    </w:p>
    <w:p w:rsidR="00772471" w:rsidRPr="000B6235" w:rsidRDefault="00772471" w:rsidP="0081496F">
      <w:pPr>
        <w:pStyle w:val="Heading2"/>
        <w:jc w:val="both"/>
        <w:rPr>
          <w:rFonts w:ascii="Times New Roman" w:hAnsi="Times New Roman" w:cs="Times New Roman"/>
          <w:b/>
          <w:color w:val="auto"/>
          <w:sz w:val="24"/>
          <w:szCs w:val="24"/>
        </w:rPr>
      </w:pPr>
      <w:r w:rsidRPr="000B6235">
        <w:rPr>
          <w:rFonts w:ascii="Times New Roman" w:hAnsi="Times New Roman" w:cs="Times New Roman"/>
          <w:b/>
          <w:color w:val="auto"/>
          <w:sz w:val="24"/>
          <w:szCs w:val="24"/>
        </w:rPr>
        <w:t xml:space="preserve">4.5 </w:t>
      </w:r>
      <w:r w:rsidR="009A10D3">
        <w:rPr>
          <w:rFonts w:ascii="Times New Roman" w:hAnsi="Times New Roman" w:cs="Times New Roman"/>
          <w:b/>
          <w:color w:val="auto"/>
          <w:sz w:val="24"/>
          <w:szCs w:val="24"/>
        </w:rPr>
        <w:t>Under-</w:t>
      </w:r>
      <w:r w:rsidR="000B6235" w:rsidRPr="000B6235">
        <w:rPr>
          <w:rFonts w:ascii="Times New Roman" w:hAnsi="Times New Roman" w:cs="Times New Roman"/>
          <w:b/>
          <w:color w:val="auto"/>
          <w:sz w:val="24"/>
          <w:szCs w:val="24"/>
        </w:rPr>
        <w:t>preparedness</w:t>
      </w:r>
      <w:r w:rsidRPr="000B6235">
        <w:rPr>
          <w:rFonts w:ascii="Times New Roman" w:hAnsi="Times New Roman" w:cs="Times New Roman"/>
          <w:b/>
          <w:color w:val="auto"/>
          <w:sz w:val="24"/>
          <w:szCs w:val="24"/>
        </w:rPr>
        <w:t xml:space="preserve"> of Student-Teachers</w:t>
      </w:r>
    </w:p>
    <w:p w:rsidR="00772471" w:rsidRPr="00272676" w:rsidRDefault="00772471" w:rsidP="0081496F">
      <w:pPr>
        <w:pStyle w:val="NormalWeb"/>
        <w:jc w:val="both"/>
      </w:pPr>
      <w:r w:rsidRPr="00272676">
        <w:t>The data revealed that many student-teachers entered college with weak foundational knowledge in science, confirming previous studies (</w:t>
      </w:r>
      <w:proofErr w:type="spellStart"/>
      <w:r w:rsidRPr="00272676">
        <w:t>Abudu</w:t>
      </w:r>
      <w:proofErr w:type="spellEnd"/>
      <w:r w:rsidRPr="00272676">
        <w:t xml:space="preserve">, </w:t>
      </w:r>
      <w:proofErr w:type="spellStart"/>
      <w:r w:rsidRPr="00272676">
        <w:t>Wuripe</w:t>
      </w:r>
      <w:proofErr w:type="spellEnd"/>
      <w:r w:rsidRPr="00272676">
        <w:t xml:space="preserve"> &amp; </w:t>
      </w:r>
      <w:proofErr w:type="spellStart"/>
      <w:r w:rsidRPr="00272676">
        <w:t>Abdulai</w:t>
      </w:r>
      <w:proofErr w:type="spellEnd"/>
      <w:r w:rsidRPr="00272676">
        <w:t>, 2025). More than half expressed low confidence in their scientific skills and content mastery.</w:t>
      </w:r>
    </w:p>
    <w:p w:rsidR="00772471" w:rsidRPr="00272676" w:rsidRDefault="00772471" w:rsidP="0081496F">
      <w:pPr>
        <w:pStyle w:val="NormalWeb"/>
        <w:jc w:val="both"/>
      </w:pPr>
      <w:r w:rsidRPr="00272676">
        <w:t>Qualitative responses highlighted the cascading effect of this deficit:</w:t>
      </w:r>
    </w:p>
    <w:p w:rsidR="00772471" w:rsidRPr="00272676" w:rsidRDefault="00772471" w:rsidP="0081496F">
      <w:pPr>
        <w:pStyle w:val="NormalWeb"/>
        <w:jc w:val="both"/>
      </w:pPr>
      <w:r w:rsidRPr="00272676">
        <w:t>“Many students struggled with basic concepts. This makes it difficult for us tutors to teach at higher levels or encourage inquiry.”</w:t>
      </w:r>
    </w:p>
    <w:p w:rsidR="00772471" w:rsidRPr="00272676" w:rsidRDefault="00772471" w:rsidP="0081496F">
      <w:pPr>
        <w:pStyle w:val="NormalWeb"/>
        <w:jc w:val="both"/>
      </w:pPr>
      <w:r w:rsidRPr="00272676">
        <w:lastRenderedPageBreak/>
        <w:t xml:space="preserve">This gap threatens the cycle of quality science education, as </w:t>
      </w:r>
      <w:r w:rsidR="00CE2DEE">
        <w:t>under-prepared</w:t>
      </w:r>
      <w:r w:rsidRPr="00272676">
        <w:t xml:space="preserve"> teachers may perpetuate low learner achievement, aligning with concerns raised by </w:t>
      </w:r>
      <w:proofErr w:type="spellStart"/>
      <w:r w:rsidRPr="00272676">
        <w:t>Asare</w:t>
      </w:r>
      <w:proofErr w:type="spellEnd"/>
      <w:r w:rsidRPr="00272676">
        <w:t xml:space="preserve"> and </w:t>
      </w:r>
      <w:proofErr w:type="spellStart"/>
      <w:r w:rsidRPr="00272676">
        <w:t>Nti</w:t>
      </w:r>
      <w:proofErr w:type="spellEnd"/>
      <w:r w:rsidRPr="00272676">
        <w:t xml:space="preserve"> (2014).</w:t>
      </w:r>
    </w:p>
    <w:p w:rsidR="00772471" w:rsidRPr="009A10D3" w:rsidRDefault="00772471" w:rsidP="0081496F">
      <w:pPr>
        <w:pStyle w:val="Heading2"/>
        <w:jc w:val="both"/>
        <w:rPr>
          <w:rFonts w:ascii="Times New Roman" w:hAnsi="Times New Roman" w:cs="Times New Roman"/>
          <w:b/>
          <w:color w:val="auto"/>
          <w:sz w:val="24"/>
          <w:szCs w:val="24"/>
        </w:rPr>
      </w:pPr>
      <w:r w:rsidRPr="009A10D3">
        <w:rPr>
          <w:rFonts w:ascii="Times New Roman" w:hAnsi="Times New Roman" w:cs="Times New Roman"/>
          <w:b/>
          <w:color w:val="auto"/>
          <w:sz w:val="24"/>
          <w:szCs w:val="24"/>
        </w:rPr>
        <w:t>4.6 Disparities in Resource Distribution</w:t>
      </w:r>
    </w:p>
    <w:p w:rsidR="00772471" w:rsidRPr="00272676" w:rsidRDefault="00772471" w:rsidP="0081496F">
      <w:pPr>
        <w:pStyle w:val="NormalWeb"/>
        <w:jc w:val="both"/>
      </w:pPr>
      <w:r w:rsidRPr="00272676">
        <w:t xml:space="preserve">Differences emerged across the four colleges, with rural-based institutions like </w:t>
      </w:r>
      <w:proofErr w:type="spellStart"/>
      <w:r w:rsidRPr="00272676">
        <w:t>Abetifi</w:t>
      </w:r>
      <w:proofErr w:type="spellEnd"/>
      <w:r w:rsidRPr="00272676">
        <w:t xml:space="preserve"> experiencing more pronounced resource gaps than their urban counterparts. Local administrative capacity and funding variability were cited as contributory factors.</w:t>
      </w:r>
    </w:p>
    <w:p w:rsidR="00772471" w:rsidRPr="00272676" w:rsidRDefault="00772471" w:rsidP="0081496F">
      <w:pPr>
        <w:pStyle w:val="NormalWeb"/>
        <w:jc w:val="both"/>
      </w:pPr>
      <w:r w:rsidRPr="00272676">
        <w:t xml:space="preserve">This uneven landscape reflects </w:t>
      </w:r>
      <w:proofErr w:type="spellStart"/>
      <w:r w:rsidRPr="00272676">
        <w:t>Ntumi</w:t>
      </w:r>
      <w:proofErr w:type="spellEnd"/>
      <w:r w:rsidRPr="00272676">
        <w:t xml:space="preserve"> et al.’s (2023) findings on regional disparities, </w:t>
      </w:r>
      <w:r w:rsidR="009A10D3" w:rsidRPr="00272676">
        <w:t>signalling</w:t>
      </w:r>
      <w:r w:rsidRPr="00272676">
        <w:t xml:space="preserve"> a need for targeted policy interventions to level the playing field and ensure equity in science education access.</w:t>
      </w:r>
    </w:p>
    <w:p w:rsidR="00772471" w:rsidRPr="009A10D3" w:rsidRDefault="00772471" w:rsidP="0081496F">
      <w:pPr>
        <w:pStyle w:val="Heading2"/>
        <w:jc w:val="both"/>
        <w:rPr>
          <w:rFonts w:ascii="Times New Roman" w:hAnsi="Times New Roman" w:cs="Times New Roman"/>
          <w:b/>
          <w:color w:val="auto"/>
          <w:sz w:val="24"/>
          <w:szCs w:val="24"/>
        </w:rPr>
      </w:pPr>
      <w:r w:rsidRPr="009A10D3">
        <w:rPr>
          <w:rFonts w:ascii="Times New Roman" w:hAnsi="Times New Roman" w:cs="Times New Roman"/>
          <w:b/>
          <w:color w:val="auto"/>
          <w:sz w:val="24"/>
          <w:szCs w:val="24"/>
        </w:rPr>
        <w:t>4.7 Integration with Policy and Practice</w:t>
      </w:r>
    </w:p>
    <w:p w:rsidR="00772471" w:rsidRPr="00272676" w:rsidRDefault="00772471" w:rsidP="0081496F">
      <w:pPr>
        <w:pStyle w:val="NormalWeb"/>
        <w:jc w:val="both"/>
      </w:pPr>
      <w:r w:rsidRPr="00272676">
        <w:t>The findings underscore a persistent disconnect between Ghana’s progressive education policies and the realities within Teacher Training Colleges. While reforms aim to elevate teaching standards and professionalize science education (Government of Ghana, 2004; Newman, 2013), implementation falters due to systemic resource constraints and structural bottlenecks.</w:t>
      </w:r>
    </w:p>
    <w:p w:rsidR="00772471" w:rsidRPr="00272676" w:rsidRDefault="00772471" w:rsidP="0081496F">
      <w:pPr>
        <w:pStyle w:val="NormalWeb"/>
        <w:jc w:val="both"/>
      </w:pPr>
      <w:r w:rsidRPr="00272676">
        <w:t>The study’s insights call for holistic approaches that transcend policy pronouncements, embedding sustainable infrastructure development, curriculum realignment, and capacity-building at the heart of teacher education reforms.</w:t>
      </w:r>
    </w:p>
    <w:p w:rsidR="00772471" w:rsidRPr="009A10D3" w:rsidRDefault="009A10D3" w:rsidP="0081496F">
      <w:pPr>
        <w:pStyle w:val="Heading1"/>
        <w:jc w:val="both"/>
        <w:rPr>
          <w:rFonts w:ascii="Times New Roman" w:hAnsi="Times New Roman" w:cs="Times New Roman"/>
          <w:b/>
          <w:color w:val="auto"/>
          <w:sz w:val="24"/>
          <w:szCs w:val="24"/>
        </w:rPr>
      </w:pPr>
      <w:r w:rsidRPr="009A10D3">
        <w:rPr>
          <w:rFonts w:ascii="Times New Roman" w:hAnsi="Times New Roman" w:cs="Times New Roman"/>
          <w:b/>
          <w:color w:val="auto"/>
          <w:sz w:val="24"/>
          <w:szCs w:val="24"/>
        </w:rPr>
        <w:t xml:space="preserve">4.8 </w:t>
      </w:r>
      <w:r w:rsidR="00772471" w:rsidRPr="009A10D3">
        <w:rPr>
          <w:rFonts w:ascii="Times New Roman" w:hAnsi="Times New Roman" w:cs="Times New Roman"/>
          <w:b/>
          <w:color w:val="auto"/>
          <w:sz w:val="24"/>
          <w:szCs w:val="24"/>
        </w:rPr>
        <w:t>Discussio</w:t>
      </w:r>
      <w:r>
        <w:rPr>
          <w:rFonts w:ascii="Times New Roman" w:hAnsi="Times New Roman" w:cs="Times New Roman"/>
          <w:b/>
          <w:color w:val="auto"/>
          <w:sz w:val="24"/>
          <w:szCs w:val="24"/>
        </w:rPr>
        <w:t>ns</w:t>
      </w:r>
    </w:p>
    <w:p w:rsidR="00772471" w:rsidRPr="00272676" w:rsidRDefault="00772471" w:rsidP="0081496F">
      <w:pPr>
        <w:pStyle w:val="NormalWeb"/>
        <w:jc w:val="both"/>
      </w:pPr>
      <w:r w:rsidRPr="00272676">
        <w:t>These findings reveal that systemic challenges in science education are not isolated incidents but interconnected threads woven into the fabric of teacher training institutions. The absence of functional labs, inadequate teaching time, limited materials, and underprepared learners collectively curtail the realization of Ghana’s vision for scientific literacy and innovation.</w:t>
      </w:r>
    </w:p>
    <w:p w:rsidR="00772471" w:rsidRPr="00272676" w:rsidRDefault="009A10D3" w:rsidP="0081496F">
      <w:pPr>
        <w:pStyle w:val="NormalWeb"/>
        <w:jc w:val="both"/>
      </w:pPr>
      <w:r>
        <w:t>W</w:t>
      </w:r>
      <w:r w:rsidR="00772471" w:rsidRPr="00272676">
        <w:t>ithin these challenges lie opportunities for transformation. Prioritizing investment in affordable, context-appropriate laboratory resources could ignite hands-on learning and reignite student-teacher passion for science. Revising timetables to create space for active learning aligns with global best practices and nurtures critical thinking.</w:t>
      </w:r>
    </w:p>
    <w:p w:rsidR="00772471" w:rsidRPr="00272676" w:rsidRDefault="00772471" w:rsidP="0081496F">
      <w:pPr>
        <w:pStyle w:val="NormalWeb"/>
        <w:jc w:val="both"/>
      </w:pPr>
      <w:r w:rsidRPr="00272676">
        <w:t xml:space="preserve">Moreover, developing locally relevant teaching materials leverages Ghana’s rich cultural and ecological context, making science more meaningful and accessible. Addressing student-teacher foundational gaps through bridging programs or pre-service support enhances confidence and competence, breaking the cycle of </w:t>
      </w:r>
      <w:r w:rsidR="009A10D3" w:rsidRPr="00272676">
        <w:t>under</w:t>
      </w:r>
      <w:r w:rsidR="009A10D3">
        <w:t>-</w:t>
      </w:r>
      <w:r w:rsidR="009A10D3" w:rsidRPr="00272676">
        <w:t>preparedness</w:t>
      </w:r>
      <w:r w:rsidRPr="00272676">
        <w:t>.</w:t>
      </w:r>
      <w:r w:rsidR="00CE2DEE">
        <w:t xml:space="preserve"> </w:t>
      </w:r>
    </w:p>
    <w:p w:rsidR="00772471" w:rsidRPr="00272676" w:rsidRDefault="00772471" w:rsidP="0081496F">
      <w:pPr>
        <w:pStyle w:val="NormalWeb"/>
        <w:jc w:val="both"/>
      </w:pPr>
      <w:r w:rsidRPr="00272676">
        <w:t xml:space="preserve">Finally, equitable resource allocation across colleges ensures no learner or teacher is left behind, fostering national cohesion in educational progress. These pathways resonate with the </w:t>
      </w:r>
      <w:r w:rsidR="00CE2DEE">
        <w:t>philosophy</w:t>
      </w:r>
      <w:r w:rsidRPr="00272676">
        <w:t xml:space="preserve"> of inquiry, reflection, and resilience critical to evolving teacher education systems.</w:t>
      </w:r>
    </w:p>
    <w:p w:rsidR="00175D8A" w:rsidRDefault="00175D8A" w:rsidP="0081496F">
      <w:pPr>
        <w:pStyle w:val="NormalWeb"/>
        <w:jc w:val="both"/>
      </w:pPr>
    </w:p>
    <w:p w:rsidR="00175D8A" w:rsidRPr="00175D8A" w:rsidRDefault="00175D8A" w:rsidP="00175D8A">
      <w:pPr>
        <w:pStyle w:val="Heading1"/>
        <w:jc w:val="both"/>
        <w:rPr>
          <w:rFonts w:ascii="Times New Roman" w:hAnsi="Times New Roman" w:cs="Times New Roman"/>
          <w:b/>
          <w:color w:val="auto"/>
          <w:sz w:val="28"/>
          <w:szCs w:val="28"/>
        </w:rPr>
      </w:pPr>
      <w:r>
        <w:rPr>
          <w:rFonts w:ascii="Times New Roman" w:hAnsi="Times New Roman" w:cs="Times New Roman"/>
          <w:b/>
          <w:color w:val="auto"/>
          <w:sz w:val="28"/>
          <w:szCs w:val="28"/>
        </w:rPr>
        <w:lastRenderedPageBreak/>
        <w:t>5.0 Conclusion</w:t>
      </w:r>
    </w:p>
    <w:p w:rsidR="00772471" w:rsidRPr="00272676" w:rsidRDefault="00772471" w:rsidP="0081496F">
      <w:pPr>
        <w:pStyle w:val="NormalWeb"/>
        <w:jc w:val="both"/>
      </w:pPr>
      <w:r w:rsidRPr="00272676">
        <w:t>As the colleges strive toward fulfilling their mandate within Ghana’s educational landscape, embracing these strategies promises not just to overcome obstacles but to pioneer a vibrant future for sc</w:t>
      </w:r>
      <w:r w:rsidR="00CE2DEE">
        <w:t xml:space="preserve">ience education </w:t>
      </w:r>
      <w:r w:rsidRPr="00272676">
        <w:t>where every teacher is equipped and every learner</w:t>
      </w:r>
      <w:r w:rsidR="00CE2DEE">
        <w:t xml:space="preserve"> is</w:t>
      </w:r>
      <w:r w:rsidRPr="00272676">
        <w:t xml:space="preserve"> inspired.</w:t>
      </w:r>
    </w:p>
    <w:p w:rsidR="000B4585" w:rsidRPr="00272676" w:rsidRDefault="000B4585" w:rsidP="0081496F">
      <w:pPr>
        <w:pStyle w:val="NormalWeb"/>
        <w:jc w:val="both"/>
      </w:pPr>
      <w:r w:rsidRPr="00272676">
        <w:t>This study has unveil</w:t>
      </w:r>
      <w:r w:rsidR="00CE2DEE">
        <w:t xml:space="preserve">ed enduring systemic challenges; </w:t>
      </w:r>
      <w:r w:rsidRPr="00272676">
        <w:t>insufficient laboratory infrastructure, limited instructional time, scarce teaching materials, and under</w:t>
      </w:r>
      <w:r w:rsidR="00CE2DEE">
        <w:t>-</w:t>
      </w:r>
      <w:r w:rsidRPr="00272676">
        <w:t>prepared student-teachers</w:t>
      </w:r>
      <w:r w:rsidR="00CE2DEE">
        <w:t xml:space="preserve"> </w:t>
      </w:r>
      <w:r w:rsidRPr="00272676">
        <w:t xml:space="preserve">that collectively hinder the full </w:t>
      </w:r>
      <w:r w:rsidR="00CE2DEE">
        <w:t>fruition</w:t>
      </w:r>
      <w:r w:rsidRPr="00272676">
        <w:t xml:space="preserve"> of scientific literacy and pedagogical excellence. These barriers are more than operational shortcomings; they echo deeper structural inequities and resource imbalances that shape the educational experience and, ultimately, the nation’s scientific future.</w:t>
      </w:r>
    </w:p>
    <w:p w:rsidR="000B4585" w:rsidRPr="00272676" w:rsidRDefault="00CE2DEE" w:rsidP="0081496F">
      <w:pPr>
        <w:pStyle w:val="NormalWeb"/>
        <w:jc w:val="both"/>
      </w:pPr>
      <w:r>
        <w:t xml:space="preserve">There is a </w:t>
      </w:r>
      <w:r w:rsidR="000B4585" w:rsidRPr="00272676">
        <w:t>call to reimagine and reconstruct science education with intention and innovation. Strengthening the physical and instructional environment, aligning policy with practical realities, and nurturing foundational competencies among future teachers are not mere improvements; they are essential investments in Ghana’s intellectual and economic vitality.</w:t>
      </w:r>
    </w:p>
    <w:p w:rsidR="000B4585" w:rsidRPr="00272676" w:rsidRDefault="000B4585" w:rsidP="0081496F">
      <w:pPr>
        <w:pStyle w:val="NormalWeb"/>
        <w:jc w:val="both"/>
      </w:pPr>
      <w:r w:rsidRPr="00272676">
        <w:t xml:space="preserve">As Ghana moves toward a future shaped by science and technology, empowering its educators to embody curiosity, confidence, and competence is paramount. This study contributes to that vision by </w:t>
      </w:r>
      <w:r w:rsidR="00CE2DEE">
        <w:t xml:space="preserve">charting the path ahead, </w:t>
      </w:r>
      <w:r w:rsidRPr="00272676">
        <w:t>one where challenges become catalysts for transformation, and where every teacher trained becomes a beacon of possibility for generations to come.</w:t>
      </w:r>
    </w:p>
    <w:p w:rsidR="000B4585" w:rsidRPr="00272676" w:rsidRDefault="000B4585" w:rsidP="0081496F">
      <w:pPr>
        <w:pStyle w:val="NormalWeb"/>
        <w:jc w:val="both"/>
      </w:pPr>
      <w:r w:rsidRPr="00272676">
        <w:t xml:space="preserve">By addressing these systemic gaps with strategic, context-sensitive solutions, Ghana’s Teacher Training Colleges can rise as fertile ground </w:t>
      </w:r>
      <w:r w:rsidR="00CE2DEE">
        <w:t xml:space="preserve">where science education thrives </w:t>
      </w:r>
      <w:proofErr w:type="spellStart"/>
      <w:r w:rsidRPr="00272676">
        <w:t>fueling</w:t>
      </w:r>
      <w:proofErr w:type="spellEnd"/>
      <w:r w:rsidRPr="00272676">
        <w:t xml:space="preserve"> innovation, critical th</w:t>
      </w:r>
      <w:r w:rsidR="00CE2DEE">
        <w:t xml:space="preserve">inking, and a brighter tomorrow for the learners they hope to impact. </w:t>
      </w:r>
    </w:p>
    <w:p w:rsidR="007B7596" w:rsidRPr="00272676" w:rsidRDefault="000B6235" w:rsidP="0081496F">
      <w:pPr>
        <w:pStyle w:val="NormalWeb"/>
        <w:jc w:val="both"/>
        <w:rPr>
          <w:b/>
          <w:sz w:val="28"/>
          <w:szCs w:val="28"/>
        </w:rPr>
      </w:pPr>
      <w:bookmarkStart w:id="0" w:name="_GoBack"/>
      <w:bookmarkEnd w:id="0"/>
      <w:r>
        <w:rPr>
          <w:b/>
          <w:sz w:val="28"/>
          <w:szCs w:val="28"/>
        </w:rPr>
        <w:t xml:space="preserve">6.0 </w:t>
      </w:r>
      <w:r w:rsidR="007B7596" w:rsidRPr="00272676">
        <w:rPr>
          <w:b/>
          <w:sz w:val="28"/>
          <w:szCs w:val="28"/>
        </w:rPr>
        <w:t>References</w:t>
      </w:r>
    </w:p>
    <w:p w:rsidR="00D503B9" w:rsidRPr="00272676" w:rsidRDefault="00D503B9" w:rsidP="0081496F">
      <w:pPr>
        <w:pStyle w:val="NormalWeb"/>
        <w:jc w:val="both"/>
      </w:pPr>
      <w:proofErr w:type="spellStart"/>
      <w:r w:rsidRPr="00272676">
        <w:t>Akyeampong</w:t>
      </w:r>
      <w:proofErr w:type="spellEnd"/>
      <w:r w:rsidRPr="00272676">
        <w:t xml:space="preserve">, K. (2010). </w:t>
      </w:r>
      <w:r w:rsidRPr="00272676">
        <w:rPr>
          <w:rStyle w:val="Emphasis"/>
        </w:rPr>
        <w:t>50 years of educational progress and challenge in Ghana</w:t>
      </w:r>
      <w:r w:rsidRPr="00272676">
        <w:t xml:space="preserve"> (CREATE Pathways to Access Research Monograph No. 33). University of Sussex, Centre for International Education. </w:t>
      </w:r>
      <w:hyperlink r:id="rId5" w:history="1">
        <w:r w:rsidR="00772471" w:rsidRPr="00272676">
          <w:rPr>
            <w:rStyle w:val="Hyperlink"/>
            <w:color w:val="auto"/>
          </w:rPr>
          <w:t>https://www.academia.edu/33602820/50_Years_of_Educational_Progress_and_Challenge_in_Ghana_Research_Monograph_No_33</w:t>
        </w:r>
      </w:hyperlink>
      <w:r w:rsidR="00772471" w:rsidRPr="00272676">
        <w:t xml:space="preserve"> </w:t>
      </w:r>
    </w:p>
    <w:p w:rsidR="00D503B9" w:rsidRPr="00272676" w:rsidRDefault="00D503B9" w:rsidP="0081496F">
      <w:pPr>
        <w:pStyle w:val="NormalWeb"/>
        <w:jc w:val="both"/>
      </w:pPr>
      <w:r w:rsidRPr="00272676">
        <w:t xml:space="preserve">Annan, J. K. (2020). Preparing globally competent teachers: A paradigm shift for teacher education in Ghana. </w:t>
      </w:r>
      <w:r w:rsidRPr="00272676">
        <w:rPr>
          <w:rStyle w:val="Emphasis"/>
        </w:rPr>
        <w:t>Education Research International</w:t>
      </w:r>
      <w:r w:rsidRPr="00272676">
        <w:t xml:space="preserve">, </w:t>
      </w:r>
      <w:r w:rsidRPr="00272676">
        <w:rPr>
          <w:rStyle w:val="Emphasis"/>
        </w:rPr>
        <w:t>2020</w:t>
      </w:r>
      <w:r w:rsidRPr="00272676">
        <w:t xml:space="preserve">, 1–9. </w:t>
      </w:r>
      <w:hyperlink r:id="rId6" w:history="1">
        <w:r w:rsidR="00772471" w:rsidRPr="00272676">
          <w:rPr>
            <w:rStyle w:val="Hyperlink"/>
            <w:color w:val="auto"/>
          </w:rPr>
          <w:t>https://doi.org/10.1155/2020/8841653</w:t>
        </w:r>
      </w:hyperlink>
      <w:r w:rsidR="00772471" w:rsidRPr="00272676">
        <w:t xml:space="preserve"> </w:t>
      </w:r>
    </w:p>
    <w:p w:rsidR="00D503B9" w:rsidRPr="00272676" w:rsidRDefault="00D503B9" w:rsidP="0081496F">
      <w:pPr>
        <w:pStyle w:val="NormalWeb"/>
        <w:jc w:val="both"/>
      </w:pPr>
      <w:proofErr w:type="spellStart"/>
      <w:r w:rsidRPr="00272676">
        <w:t>Asare</w:t>
      </w:r>
      <w:proofErr w:type="spellEnd"/>
      <w:r w:rsidRPr="00272676">
        <w:t xml:space="preserve">, K. B., &amp; </w:t>
      </w:r>
      <w:proofErr w:type="spellStart"/>
      <w:r w:rsidRPr="00272676">
        <w:t>Nti</w:t>
      </w:r>
      <w:proofErr w:type="spellEnd"/>
      <w:r w:rsidRPr="00272676">
        <w:t xml:space="preserve">, S. K. (2014). Teacher education in Ghana: A contemporary synopsis and matters arising. </w:t>
      </w:r>
      <w:r w:rsidRPr="00272676">
        <w:rPr>
          <w:rStyle w:val="Emphasis"/>
        </w:rPr>
        <w:t>SAGE Open</w:t>
      </w:r>
      <w:r w:rsidRPr="00272676">
        <w:t xml:space="preserve">, </w:t>
      </w:r>
      <w:r w:rsidRPr="00272676">
        <w:rPr>
          <w:rStyle w:val="Emphasis"/>
        </w:rPr>
        <w:t>4</w:t>
      </w:r>
      <w:r w:rsidRPr="00272676">
        <w:t xml:space="preserve">(2), 1–8. </w:t>
      </w:r>
      <w:hyperlink r:id="rId7" w:history="1">
        <w:r w:rsidR="00772471" w:rsidRPr="00272676">
          <w:rPr>
            <w:rStyle w:val="Hyperlink"/>
            <w:color w:val="auto"/>
          </w:rPr>
          <w:t>https://doi.org/10.1177/2158244014529781</w:t>
        </w:r>
      </w:hyperlink>
      <w:r w:rsidR="00772471" w:rsidRPr="00272676">
        <w:t xml:space="preserve"> </w:t>
      </w:r>
    </w:p>
    <w:p w:rsidR="00D503B9" w:rsidRPr="00272676" w:rsidRDefault="00D503B9" w:rsidP="0081496F">
      <w:pPr>
        <w:pStyle w:val="NormalWeb"/>
        <w:jc w:val="both"/>
      </w:pPr>
      <w:proofErr w:type="spellStart"/>
      <w:r w:rsidRPr="00272676">
        <w:t>Buabeng</w:t>
      </w:r>
      <w:proofErr w:type="spellEnd"/>
      <w:r w:rsidRPr="00272676">
        <w:t xml:space="preserve">, I., </w:t>
      </w:r>
      <w:proofErr w:type="spellStart"/>
      <w:r w:rsidRPr="00272676">
        <w:t>Ntow</w:t>
      </w:r>
      <w:proofErr w:type="spellEnd"/>
      <w:r w:rsidRPr="00272676">
        <w:t xml:space="preserve">, F. D., &amp; </w:t>
      </w:r>
      <w:proofErr w:type="spellStart"/>
      <w:r w:rsidRPr="00272676">
        <w:t>Otami</w:t>
      </w:r>
      <w:proofErr w:type="spellEnd"/>
      <w:r w:rsidRPr="00272676">
        <w:t xml:space="preserve">, C. D. (2020). Teacher education in Ghana: Policies and practices. </w:t>
      </w:r>
      <w:r w:rsidRPr="00272676">
        <w:rPr>
          <w:rStyle w:val="Emphasis"/>
        </w:rPr>
        <w:t>Journal of Curriculum and Teaching</w:t>
      </w:r>
      <w:r w:rsidRPr="00272676">
        <w:t xml:space="preserve">, </w:t>
      </w:r>
      <w:r w:rsidRPr="00272676">
        <w:rPr>
          <w:rStyle w:val="Emphasis"/>
        </w:rPr>
        <w:t>9</w:t>
      </w:r>
      <w:r w:rsidRPr="00272676">
        <w:t xml:space="preserve">(1), 86–95. </w:t>
      </w:r>
      <w:hyperlink r:id="rId8" w:tgtFrame="_new" w:history="1">
        <w:r w:rsidRPr="00272676">
          <w:rPr>
            <w:rStyle w:val="Hyperlink"/>
            <w:color w:val="auto"/>
          </w:rPr>
          <w:t>https://doi.org/10.5430/jct.v9n1p86</w:t>
        </w:r>
      </w:hyperlink>
    </w:p>
    <w:p w:rsidR="00D503B9" w:rsidRPr="00272676" w:rsidRDefault="00D503B9" w:rsidP="0081496F">
      <w:pPr>
        <w:pStyle w:val="NormalWeb"/>
        <w:jc w:val="both"/>
      </w:pPr>
      <w:proofErr w:type="spellStart"/>
      <w:r w:rsidRPr="00272676">
        <w:t>Farrant</w:t>
      </w:r>
      <w:proofErr w:type="spellEnd"/>
      <w:r w:rsidRPr="00272676">
        <w:t xml:space="preserve">, J. S. (1996). </w:t>
      </w:r>
      <w:r w:rsidRPr="00272676">
        <w:rPr>
          <w:rStyle w:val="Emphasis"/>
        </w:rPr>
        <w:t>Principles and practice of education</w:t>
      </w:r>
      <w:r w:rsidRPr="00272676">
        <w:t xml:space="preserve"> (New </w:t>
      </w:r>
      <w:proofErr w:type="gramStart"/>
      <w:r w:rsidRPr="00272676">
        <w:t>ed</w:t>
      </w:r>
      <w:proofErr w:type="gramEnd"/>
      <w:r w:rsidRPr="00272676">
        <w:t>.). Longman.</w:t>
      </w:r>
    </w:p>
    <w:p w:rsidR="00D503B9" w:rsidRPr="00272676" w:rsidRDefault="00D503B9" w:rsidP="0081496F">
      <w:pPr>
        <w:pStyle w:val="NormalWeb"/>
        <w:jc w:val="both"/>
      </w:pPr>
      <w:r w:rsidRPr="00272676">
        <w:lastRenderedPageBreak/>
        <w:t xml:space="preserve">Government of Ghana. (2004). </w:t>
      </w:r>
      <w:r w:rsidRPr="00272676">
        <w:rPr>
          <w:rStyle w:val="Emphasis"/>
        </w:rPr>
        <w:t>White paper on the report of the education reform review committee</w:t>
      </w:r>
      <w:r w:rsidRPr="00272676">
        <w:t>. Ministry of Education.</w:t>
      </w:r>
    </w:p>
    <w:p w:rsidR="00D503B9" w:rsidRPr="00272676" w:rsidRDefault="00D503B9" w:rsidP="0081496F">
      <w:pPr>
        <w:pStyle w:val="NormalWeb"/>
        <w:jc w:val="both"/>
      </w:pPr>
      <w:r w:rsidRPr="00272676">
        <w:t xml:space="preserve">James, M., &amp; Pedder, D. (2006). Beyond method: Assessment and learning practices and values. </w:t>
      </w:r>
      <w:r w:rsidRPr="00272676">
        <w:rPr>
          <w:rStyle w:val="Emphasis"/>
        </w:rPr>
        <w:t>The Curriculum Journal</w:t>
      </w:r>
      <w:r w:rsidRPr="00272676">
        <w:t xml:space="preserve">, </w:t>
      </w:r>
      <w:r w:rsidRPr="00272676">
        <w:rPr>
          <w:rStyle w:val="Emphasis"/>
        </w:rPr>
        <w:t>17</w:t>
      </w:r>
      <w:r w:rsidRPr="00272676">
        <w:t xml:space="preserve">(2), 109–138. </w:t>
      </w:r>
      <w:hyperlink r:id="rId9" w:history="1">
        <w:r w:rsidR="00772471" w:rsidRPr="00272676">
          <w:rPr>
            <w:rStyle w:val="Hyperlink"/>
            <w:color w:val="auto"/>
          </w:rPr>
          <w:t>https://doi.org/10.1080/09585170600792712</w:t>
        </w:r>
      </w:hyperlink>
      <w:r w:rsidR="00772471" w:rsidRPr="00272676">
        <w:t xml:space="preserve"> </w:t>
      </w:r>
    </w:p>
    <w:p w:rsidR="00D503B9" w:rsidRPr="00272676" w:rsidRDefault="00D503B9" w:rsidP="0081496F">
      <w:pPr>
        <w:pStyle w:val="NormalWeb"/>
        <w:jc w:val="both"/>
      </w:pPr>
      <w:proofErr w:type="spellStart"/>
      <w:r w:rsidRPr="00272676">
        <w:t>Kaptan</w:t>
      </w:r>
      <w:proofErr w:type="spellEnd"/>
      <w:r w:rsidRPr="00272676">
        <w:t xml:space="preserve">, K., &amp; </w:t>
      </w:r>
      <w:proofErr w:type="spellStart"/>
      <w:r w:rsidRPr="00272676">
        <w:t>Timurlenk</w:t>
      </w:r>
      <w:proofErr w:type="spellEnd"/>
      <w:r w:rsidRPr="00272676">
        <w:t xml:space="preserve">, O. (2012). Challenges for science education. </w:t>
      </w:r>
      <w:r w:rsidRPr="00272676">
        <w:rPr>
          <w:rStyle w:val="Emphasis"/>
        </w:rPr>
        <w:t xml:space="preserve">Procedia - Social and </w:t>
      </w:r>
      <w:proofErr w:type="spellStart"/>
      <w:r w:rsidRPr="00272676">
        <w:rPr>
          <w:rStyle w:val="Emphasis"/>
        </w:rPr>
        <w:t>Behavioral</w:t>
      </w:r>
      <w:proofErr w:type="spellEnd"/>
      <w:r w:rsidRPr="00272676">
        <w:rPr>
          <w:rStyle w:val="Emphasis"/>
        </w:rPr>
        <w:t xml:space="preserve"> Sciences</w:t>
      </w:r>
      <w:r w:rsidRPr="00272676">
        <w:t xml:space="preserve">, </w:t>
      </w:r>
      <w:r w:rsidRPr="00272676">
        <w:rPr>
          <w:rStyle w:val="Emphasis"/>
        </w:rPr>
        <w:t>51</w:t>
      </w:r>
      <w:r w:rsidRPr="00272676">
        <w:t xml:space="preserve">, 763–771. </w:t>
      </w:r>
      <w:hyperlink r:id="rId10" w:tgtFrame="_new" w:history="1">
        <w:r w:rsidRPr="00272676">
          <w:rPr>
            <w:rStyle w:val="Hyperlink"/>
            <w:color w:val="auto"/>
          </w:rPr>
          <w:t>https://doi.org/10.1016/j.sbspro.2012.08.237</w:t>
        </w:r>
      </w:hyperlink>
    </w:p>
    <w:p w:rsidR="00D503B9" w:rsidRPr="00272676" w:rsidRDefault="00D503B9" w:rsidP="0081496F">
      <w:pPr>
        <w:pStyle w:val="NormalWeb"/>
        <w:jc w:val="both"/>
      </w:pPr>
      <w:r w:rsidRPr="00272676">
        <w:t xml:space="preserve">Ministry of Education. (2007). </w:t>
      </w:r>
      <w:proofErr w:type="gramStart"/>
      <w:r w:rsidRPr="00272676">
        <w:rPr>
          <w:rStyle w:val="Emphasis"/>
        </w:rPr>
        <w:t>Teaching</w:t>
      </w:r>
      <w:proofErr w:type="gramEnd"/>
      <w:r w:rsidRPr="00272676">
        <w:rPr>
          <w:rStyle w:val="Emphasis"/>
        </w:rPr>
        <w:t xml:space="preserve"> syllabus for science: Colleges of education</w:t>
      </w:r>
      <w:r w:rsidRPr="00272676">
        <w:t>. Curriculum Research and Development Division, Ghana Education Service.</w:t>
      </w:r>
    </w:p>
    <w:p w:rsidR="00D503B9" w:rsidRPr="00272676" w:rsidRDefault="00D503B9" w:rsidP="0081496F">
      <w:pPr>
        <w:pStyle w:val="NormalWeb"/>
        <w:jc w:val="both"/>
      </w:pPr>
      <w:r w:rsidRPr="00272676">
        <w:t xml:space="preserve">Newman, E. K. (2013). The upgrading of teacher training institutions to colleges of education: Issues and prospects. </w:t>
      </w:r>
      <w:r w:rsidRPr="00272676">
        <w:rPr>
          <w:rStyle w:val="Emphasis"/>
        </w:rPr>
        <w:t>African Journal of Teacher Education</w:t>
      </w:r>
      <w:r w:rsidRPr="00272676">
        <w:t xml:space="preserve">, </w:t>
      </w:r>
      <w:r w:rsidRPr="00272676">
        <w:rPr>
          <w:rStyle w:val="Emphasis"/>
        </w:rPr>
        <w:t>3</w:t>
      </w:r>
      <w:r w:rsidRPr="00272676">
        <w:t xml:space="preserve">(2). </w:t>
      </w:r>
      <w:hyperlink r:id="rId11" w:history="1">
        <w:r w:rsidR="00772471" w:rsidRPr="00272676">
          <w:rPr>
            <w:rStyle w:val="Hyperlink"/>
            <w:color w:val="auto"/>
          </w:rPr>
          <w:t>https://doi.org/10.21083/ajote.v3i2.2728</w:t>
        </w:r>
      </w:hyperlink>
      <w:r w:rsidR="00772471" w:rsidRPr="00272676">
        <w:t xml:space="preserve"> </w:t>
      </w:r>
    </w:p>
    <w:p w:rsidR="00D503B9" w:rsidRPr="00272676" w:rsidRDefault="00D503B9" w:rsidP="0081496F">
      <w:pPr>
        <w:pStyle w:val="NormalWeb"/>
        <w:jc w:val="both"/>
      </w:pPr>
      <w:proofErr w:type="spellStart"/>
      <w:r w:rsidRPr="00272676">
        <w:t>Ntumi</w:t>
      </w:r>
      <w:proofErr w:type="spellEnd"/>
      <w:r w:rsidRPr="00272676">
        <w:t xml:space="preserve">, S., </w:t>
      </w:r>
      <w:proofErr w:type="spellStart"/>
      <w:r w:rsidRPr="00272676">
        <w:t>Shilla</w:t>
      </w:r>
      <w:proofErr w:type="spellEnd"/>
      <w:r w:rsidRPr="00272676">
        <w:t xml:space="preserve">, A., </w:t>
      </w:r>
      <w:proofErr w:type="spellStart"/>
      <w:r w:rsidRPr="00272676">
        <w:t>Tetteh</w:t>
      </w:r>
      <w:proofErr w:type="spellEnd"/>
      <w:r w:rsidRPr="00272676">
        <w:t xml:space="preserve">, A., </w:t>
      </w:r>
      <w:proofErr w:type="spellStart"/>
      <w:r w:rsidRPr="00272676">
        <w:t>Yalley</w:t>
      </w:r>
      <w:proofErr w:type="spellEnd"/>
      <w:r w:rsidRPr="00272676">
        <w:t xml:space="preserve">, C., </w:t>
      </w:r>
      <w:proofErr w:type="spellStart"/>
      <w:r w:rsidRPr="00272676">
        <w:t>Yeboah</w:t>
      </w:r>
      <w:proofErr w:type="spellEnd"/>
      <w:r w:rsidRPr="00272676">
        <w:t xml:space="preserve">, A., &amp; </w:t>
      </w:r>
      <w:proofErr w:type="spellStart"/>
      <w:r w:rsidRPr="00272676">
        <w:t>Nimo</w:t>
      </w:r>
      <w:proofErr w:type="spellEnd"/>
      <w:r w:rsidRPr="00272676">
        <w:t xml:space="preserve">, D. (2023). Teacher preparedness and implementation of the National Pre-Tertiary Education Curriculum Framework in Ghana. </w:t>
      </w:r>
      <w:r w:rsidRPr="00272676">
        <w:rPr>
          <w:rStyle w:val="Emphasis"/>
        </w:rPr>
        <w:t>Journal of Educational Research and Practice</w:t>
      </w:r>
      <w:r w:rsidRPr="00272676">
        <w:t xml:space="preserve">, </w:t>
      </w:r>
      <w:r w:rsidRPr="00272676">
        <w:rPr>
          <w:rStyle w:val="Emphasis"/>
        </w:rPr>
        <w:t>13</w:t>
      </w:r>
      <w:r w:rsidRPr="00272676">
        <w:t xml:space="preserve">, 251–269. </w:t>
      </w:r>
      <w:hyperlink r:id="rId12" w:history="1">
        <w:r w:rsidR="00772471" w:rsidRPr="00272676">
          <w:rPr>
            <w:rStyle w:val="Hyperlink"/>
            <w:color w:val="auto"/>
          </w:rPr>
          <w:t>https://doi.org/10.5590/JERAP.2023.13.1.18</w:t>
        </w:r>
      </w:hyperlink>
      <w:r w:rsidR="00772471" w:rsidRPr="00272676">
        <w:t xml:space="preserve"> </w:t>
      </w:r>
    </w:p>
    <w:p w:rsidR="00D503B9" w:rsidRPr="00272676" w:rsidRDefault="00D503B9" w:rsidP="0081496F">
      <w:pPr>
        <w:pStyle w:val="NormalWeb"/>
        <w:jc w:val="both"/>
      </w:pPr>
      <w:proofErr w:type="spellStart"/>
      <w:r w:rsidRPr="00272676">
        <w:t>Perraton</w:t>
      </w:r>
      <w:proofErr w:type="spellEnd"/>
      <w:r w:rsidRPr="00272676">
        <w:t xml:space="preserve">, H. (2010). </w:t>
      </w:r>
      <w:r w:rsidRPr="00272676">
        <w:rPr>
          <w:rStyle w:val="Emphasis"/>
        </w:rPr>
        <w:t>Teacher education: The role of open and distance learning</w:t>
      </w:r>
      <w:r w:rsidRPr="00272676">
        <w:t>. Commonwealth of Learning.</w:t>
      </w:r>
    </w:p>
    <w:p w:rsidR="00D503B9" w:rsidRPr="00272676" w:rsidRDefault="00D503B9" w:rsidP="0081496F">
      <w:pPr>
        <w:pStyle w:val="NormalWeb"/>
        <w:jc w:val="both"/>
      </w:pPr>
      <w:proofErr w:type="spellStart"/>
      <w:r w:rsidRPr="00272676">
        <w:t>Sujatmika</w:t>
      </w:r>
      <w:proofErr w:type="spellEnd"/>
      <w:r w:rsidRPr="00272676">
        <w:t xml:space="preserve">, S., </w:t>
      </w:r>
      <w:proofErr w:type="spellStart"/>
      <w:r w:rsidRPr="00272676">
        <w:t>Masykuri</w:t>
      </w:r>
      <w:proofErr w:type="spellEnd"/>
      <w:r w:rsidRPr="00272676">
        <w:t xml:space="preserve">, M., </w:t>
      </w:r>
      <w:proofErr w:type="spellStart"/>
      <w:r w:rsidRPr="00272676">
        <w:t>Prayitno</w:t>
      </w:r>
      <w:proofErr w:type="spellEnd"/>
      <w:r w:rsidRPr="00272676">
        <w:t xml:space="preserve">, B. A., &amp; </w:t>
      </w:r>
      <w:proofErr w:type="spellStart"/>
      <w:r w:rsidRPr="00272676">
        <w:t>Sutarno</w:t>
      </w:r>
      <w:proofErr w:type="spellEnd"/>
      <w:r w:rsidRPr="00272676">
        <w:t xml:space="preserve">. (2024). </w:t>
      </w:r>
      <w:proofErr w:type="gramStart"/>
      <w:r w:rsidRPr="00272676">
        <w:t>Fostering</w:t>
      </w:r>
      <w:proofErr w:type="gramEnd"/>
      <w:r w:rsidRPr="00272676">
        <w:t xml:space="preserve"> critical thinking in science education: Exploring effective pedagogical models. </w:t>
      </w:r>
      <w:r w:rsidRPr="00272676">
        <w:rPr>
          <w:rStyle w:val="Emphasis"/>
        </w:rPr>
        <w:t>International Journal of Advanced and Applied Sciences</w:t>
      </w:r>
      <w:r w:rsidRPr="00272676">
        <w:t xml:space="preserve">, </w:t>
      </w:r>
      <w:r w:rsidRPr="00272676">
        <w:rPr>
          <w:rStyle w:val="Emphasis"/>
        </w:rPr>
        <w:t>11</w:t>
      </w:r>
      <w:r w:rsidRPr="00272676">
        <w:t xml:space="preserve">(7), 149–159. </w:t>
      </w:r>
      <w:hyperlink r:id="rId13" w:tgtFrame="_new" w:history="1">
        <w:r w:rsidRPr="00272676">
          <w:rPr>
            <w:rStyle w:val="Hyperlink"/>
            <w:color w:val="auto"/>
          </w:rPr>
          <w:t>https://doi.org/10.21833/ijaas.2024.07.016</w:t>
        </w:r>
      </w:hyperlink>
    </w:p>
    <w:p w:rsidR="00D503B9" w:rsidRPr="00272676" w:rsidRDefault="00D503B9" w:rsidP="0081496F">
      <w:pPr>
        <w:pStyle w:val="NormalWeb"/>
        <w:jc w:val="both"/>
      </w:pPr>
      <w:r w:rsidRPr="00272676">
        <w:t xml:space="preserve">UNESCO. (2005). </w:t>
      </w:r>
      <w:r w:rsidRPr="00272676">
        <w:rPr>
          <w:rStyle w:val="Emphasis"/>
        </w:rPr>
        <w:t>Guidelines for quality provision in cross-border higher education</w:t>
      </w:r>
      <w:r w:rsidRPr="00272676">
        <w:t>. UNESCO Publishing.</w:t>
      </w:r>
    </w:p>
    <w:p w:rsidR="00D503B9" w:rsidRPr="00272676" w:rsidRDefault="00D503B9" w:rsidP="0081496F">
      <w:pPr>
        <w:pStyle w:val="NormalWeb"/>
        <w:jc w:val="both"/>
      </w:pPr>
      <w:r w:rsidRPr="00272676">
        <w:t xml:space="preserve">UNESCO. (2012). </w:t>
      </w:r>
      <w:r w:rsidRPr="00272676">
        <w:rPr>
          <w:rStyle w:val="Emphasis"/>
        </w:rPr>
        <w:t>Strengthening teacher education policies and practices</w:t>
      </w:r>
      <w:r w:rsidRPr="00272676">
        <w:t>. International Institute for Educational Planning.</w:t>
      </w:r>
    </w:p>
    <w:p w:rsidR="00437BEB" w:rsidRPr="00272676" w:rsidRDefault="00437BEB" w:rsidP="0081496F">
      <w:pPr>
        <w:pStyle w:val="NormalWeb"/>
        <w:jc w:val="both"/>
      </w:pPr>
    </w:p>
    <w:sectPr w:rsidR="00437BEB" w:rsidRPr="00272676">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790496"/>
    <w:multiLevelType w:val="hybridMultilevel"/>
    <w:tmpl w:val="3782E13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60DA5F72"/>
    <w:multiLevelType w:val="multilevel"/>
    <w:tmpl w:val="AC3E3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720614E9"/>
    <w:multiLevelType w:val="hybridMultilevel"/>
    <w:tmpl w:val="53ECEFDA"/>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525"/>
    <w:rsid w:val="00043771"/>
    <w:rsid w:val="000B4585"/>
    <w:rsid w:val="000B6235"/>
    <w:rsid w:val="000F5D48"/>
    <w:rsid w:val="00175D8A"/>
    <w:rsid w:val="001D76BD"/>
    <w:rsid w:val="00272676"/>
    <w:rsid w:val="002C7F88"/>
    <w:rsid w:val="00366CEE"/>
    <w:rsid w:val="00367A5C"/>
    <w:rsid w:val="00437BEB"/>
    <w:rsid w:val="00524387"/>
    <w:rsid w:val="00585915"/>
    <w:rsid w:val="005B394A"/>
    <w:rsid w:val="007057E2"/>
    <w:rsid w:val="00772471"/>
    <w:rsid w:val="007B7596"/>
    <w:rsid w:val="0081496F"/>
    <w:rsid w:val="008E2352"/>
    <w:rsid w:val="009906F9"/>
    <w:rsid w:val="009A10D3"/>
    <w:rsid w:val="00A4625C"/>
    <w:rsid w:val="00C64B66"/>
    <w:rsid w:val="00C85525"/>
    <w:rsid w:val="00CE2DEE"/>
    <w:rsid w:val="00D503B9"/>
    <w:rsid w:val="00E05D63"/>
    <w:rsid w:val="00E52A57"/>
    <w:rsid w:val="00ED70A5"/>
    <w:rsid w:val="00F10A1A"/>
    <w:rsid w:val="00F13C4C"/>
    <w:rsid w:val="00F3656E"/>
    <w:rsid w:val="00F7201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610F21"/>
  <w15:chartTrackingRefBased/>
  <w15:docId w15:val="{141EA9FE-1493-4AE7-8A20-7C811835C1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next w:val="Normal"/>
    <w:link w:val="Heading1Char"/>
    <w:uiPriority w:val="9"/>
    <w:qFormat/>
    <w:rsid w:val="00772471"/>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77247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link w:val="Heading3Char"/>
    <w:uiPriority w:val="9"/>
    <w:qFormat/>
    <w:rsid w:val="00F3656E"/>
    <w:pPr>
      <w:spacing w:before="100" w:beforeAutospacing="1" w:after="100" w:afterAutospacing="1" w:line="240" w:lineRule="auto"/>
      <w:outlineLvl w:val="2"/>
    </w:pPr>
    <w:rPr>
      <w:rFonts w:ascii="Times New Roman" w:eastAsia="Times New Roman" w:hAnsi="Times New Roman" w:cs="Times New Roman"/>
      <w:b/>
      <w:bCs/>
      <w:sz w:val="27"/>
      <w:szCs w:val="27"/>
      <w:lang w:val="en-GB"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uiPriority w:val="9"/>
    <w:rsid w:val="00F3656E"/>
    <w:rPr>
      <w:rFonts w:ascii="Times New Roman" w:eastAsia="Times New Roman" w:hAnsi="Times New Roman" w:cs="Times New Roman"/>
      <w:b/>
      <w:bCs/>
      <w:sz w:val="27"/>
      <w:szCs w:val="27"/>
      <w:lang w:val="en-GB" w:eastAsia="en-GB"/>
    </w:rPr>
  </w:style>
  <w:style w:type="character" w:styleId="Strong">
    <w:name w:val="Strong"/>
    <w:basedOn w:val="DefaultParagraphFont"/>
    <w:uiPriority w:val="22"/>
    <w:qFormat/>
    <w:rsid w:val="00F3656E"/>
    <w:rPr>
      <w:b/>
      <w:bCs/>
    </w:rPr>
  </w:style>
  <w:style w:type="paragraph" w:styleId="NormalWeb">
    <w:name w:val="Normal (Web)"/>
    <w:basedOn w:val="Normal"/>
    <w:uiPriority w:val="99"/>
    <w:unhideWhenUsed/>
    <w:rsid w:val="00F3656E"/>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paragraph" w:styleId="ListParagraph">
    <w:name w:val="List Paragraph"/>
    <w:basedOn w:val="Normal"/>
    <w:uiPriority w:val="34"/>
    <w:qFormat/>
    <w:rsid w:val="007B7596"/>
    <w:pPr>
      <w:ind w:left="720"/>
      <w:contextualSpacing/>
    </w:pPr>
  </w:style>
  <w:style w:type="character" w:customStyle="1" w:styleId="relative">
    <w:name w:val="relative"/>
    <w:basedOn w:val="DefaultParagraphFont"/>
    <w:rsid w:val="007B7596"/>
  </w:style>
  <w:style w:type="character" w:styleId="Emphasis">
    <w:name w:val="Emphasis"/>
    <w:basedOn w:val="DefaultParagraphFont"/>
    <w:uiPriority w:val="20"/>
    <w:qFormat/>
    <w:rsid w:val="007B7596"/>
    <w:rPr>
      <w:i/>
      <w:iCs/>
    </w:rPr>
  </w:style>
  <w:style w:type="character" w:styleId="Hyperlink">
    <w:name w:val="Hyperlink"/>
    <w:basedOn w:val="DefaultParagraphFont"/>
    <w:uiPriority w:val="99"/>
    <w:unhideWhenUsed/>
    <w:rsid w:val="007B7596"/>
    <w:rPr>
      <w:color w:val="0000FF"/>
      <w:u w:val="single"/>
    </w:rPr>
  </w:style>
  <w:style w:type="character" w:customStyle="1" w:styleId="Heading1Char">
    <w:name w:val="Heading 1 Char"/>
    <w:basedOn w:val="DefaultParagraphFont"/>
    <w:link w:val="Heading1"/>
    <w:uiPriority w:val="9"/>
    <w:rsid w:val="00772471"/>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semiHidden/>
    <w:rsid w:val="00772471"/>
    <w:rPr>
      <w:rFonts w:asciiTheme="majorHAnsi" w:eastAsiaTheme="majorEastAsia" w:hAnsiTheme="majorHAnsi" w:cstheme="majorBidi"/>
      <w:color w:val="2E74B5"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4253863">
      <w:bodyDiv w:val="1"/>
      <w:marLeft w:val="0"/>
      <w:marRight w:val="0"/>
      <w:marTop w:val="0"/>
      <w:marBottom w:val="0"/>
      <w:divBdr>
        <w:top w:val="none" w:sz="0" w:space="0" w:color="auto"/>
        <w:left w:val="none" w:sz="0" w:space="0" w:color="auto"/>
        <w:bottom w:val="none" w:sz="0" w:space="0" w:color="auto"/>
        <w:right w:val="none" w:sz="0" w:space="0" w:color="auto"/>
      </w:divBdr>
    </w:div>
    <w:div w:id="319503918">
      <w:bodyDiv w:val="1"/>
      <w:marLeft w:val="0"/>
      <w:marRight w:val="0"/>
      <w:marTop w:val="0"/>
      <w:marBottom w:val="0"/>
      <w:divBdr>
        <w:top w:val="none" w:sz="0" w:space="0" w:color="auto"/>
        <w:left w:val="none" w:sz="0" w:space="0" w:color="auto"/>
        <w:bottom w:val="none" w:sz="0" w:space="0" w:color="auto"/>
        <w:right w:val="none" w:sz="0" w:space="0" w:color="auto"/>
      </w:divBdr>
      <w:divsChild>
        <w:div w:id="1698773639">
          <w:blockQuote w:val="1"/>
          <w:marLeft w:val="720"/>
          <w:marRight w:val="720"/>
          <w:marTop w:val="100"/>
          <w:marBottom w:val="100"/>
          <w:divBdr>
            <w:top w:val="none" w:sz="0" w:space="0" w:color="auto"/>
            <w:left w:val="none" w:sz="0" w:space="0" w:color="auto"/>
            <w:bottom w:val="none" w:sz="0" w:space="0" w:color="auto"/>
            <w:right w:val="none" w:sz="0" w:space="0" w:color="auto"/>
          </w:divBdr>
        </w:div>
        <w:div w:id="1758556809">
          <w:blockQuote w:val="1"/>
          <w:marLeft w:val="720"/>
          <w:marRight w:val="720"/>
          <w:marTop w:val="100"/>
          <w:marBottom w:val="100"/>
          <w:divBdr>
            <w:top w:val="none" w:sz="0" w:space="0" w:color="auto"/>
            <w:left w:val="none" w:sz="0" w:space="0" w:color="auto"/>
            <w:bottom w:val="none" w:sz="0" w:space="0" w:color="auto"/>
            <w:right w:val="none" w:sz="0" w:space="0" w:color="auto"/>
          </w:divBdr>
        </w:div>
        <w:div w:id="63926575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683289347">
      <w:bodyDiv w:val="1"/>
      <w:marLeft w:val="0"/>
      <w:marRight w:val="0"/>
      <w:marTop w:val="0"/>
      <w:marBottom w:val="0"/>
      <w:divBdr>
        <w:top w:val="none" w:sz="0" w:space="0" w:color="auto"/>
        <w:left w:val="none" w:sz="0" w:space="0" w:color="auto"/>
        <w:bottom w:val="none" w:sz="0" w:space="0" w:color="auto"/>
        <w:right w:val="none" w:sz="0" w:space="0" w:color="auto"/>
      </w:divBdr>
    </w:div>
    <w:div w:id="1027289225">
      <w:bodyDiv w:val="1"/>
      <w:marLeft w:val="0"/>
      <w:marRight w:val="0"/>
      <w:marTop w:val="0"/>
      <w:marBottom w:val="0"/>
      <w:divBdr>
        <w:top w:val="none" w:sz="0" w:space="0" w:color="auto"/>
        <w:left w:val="none" w:sz="0" w:space="0" w:color="auto"/>
        <w:bottom w:val="none" w:sz="0" w:space="0" w:color="auto"/>
        <w:right w:val="none" w:sz="0" w:space="0" w:color="auto"/>
      </w:divBdr>
    </w:div>
    <w:div w:id="1203637942">
      <w:bodyDiv w:val="1"/>
      <w:marLeft w:val="0"/>
      <w:marRight w:val="0"/>
      <w:marTop w:val="0"/>
      <w:marBottom w:val="0"/>
      <w:divBdr>
        <w:top w:val="none" w:sz="0" w:space="0" w:color="auto"/>
        <w:left w:val="none" w:sz="0" w:space="0" w:color="auto"/>
        <w:bottom w:val="none" w:sz="0" w:space="0" w:color="auto"/>
        <w:right w:val="none" w:sz="0" w:space="0" w:color="auto"/>
      </w:divBdr>
    </w:div>
    <w:div w:id="1375542461">
      <w:bodyDiv w:val="1"/>
      <w:marLeft w:val="0"/>
      <w:marRight w:val="0"/>
      <w:marTop w:val="0"/>
      <w:marBottom w:val="0"/>
      <w:divBdr>
        <w:top w:val="none" w:sz="0" w:space="0" w:color="auto"/>
        <w:left w:val="none" w:sz="0" w:space="0" w:color="auto"/>
        <w:bottom w:val="none" w:sz="0" w:space="0" w:color="auto"/>
        <w:right w:val="none" w:sz="0" w:space="0" w:color="auto"/>
      </w:divBdr>
    </w:div>
    <w:div w:id="1453211007">
      <w:bodyDiv w:val="1"/>
      <w:marLeft w:val="0"/>
      <w:marRight w:val="0"/>
      <w:marTop w:val="0"/>
      <w:marBottom w:val="0"/>
      <w:divBdr>
        <w:top w:val="none" w:sz="0" w:space="0" w:color="auto"/>
        <w:left w:val="none" w:sz="0" w:space="0" w:color="auto"/>
        <w:bottom w:val="none" w:sz="0" w:space="0" w:color="auto"/>
        <w:right w:val="none" w:sz="0" w:space="0" w:color="auto"/>
      </w:divBdr>
    </w:div>
    <w:div w:id="1588923975">
      <w:bodyDiv w:val="1"/>
      <w:marLeft w:val="0"/>
      <w:marRight w:val="0"/>
      <w:marTop w:val="0"/>
      <w:marBottom w:val="0"/>
      <w:divBdr>
        <w:top w:val="none" w:sz="0" w:space="0" w:color="auto"/>
        <w:left w:val="none" w:sz="0" w:space="0" w:color="auto"/>
        <w:bottom w:val="none" w:sz="0" w:space="0" w:color="auto"/>
        <w:right w:val="none" w:sz="0" w:space="0" w:color="auto"/>
      </w:divBdr>
    </w:div>
    <w:div w:id="1808081455">
      <w:bodyDiv w:val="1"/>
      <w:marLeft w:val="0"/>
      <w:marRight w:val="0"/>
      <w:marTop w:val="0"/>
      <w:marBottom w:val="0"/>
      <w:divBdr>
        <w:top w:val="none" w:sz="0" w:space="0" w:color="auto"/>
        <w:left w:val="none" w:sz="0" w:space="0" w:color="auto"/>
        <w:bottom w:val="none" w:sz="0" w:space="0" w:color="auto"/>
        <w:right w:val="none" w:sz="0" w:space="0" w:color="auto"/>
      </w:divBdr>
    </w:div>
    <w:div w:id="2031956041">
      <w:bodyDiv w:val="1"/>
      <w:marLeft w:val="0"/>
      <w:marRight w:val="0"/>
      <w:marTop w:val="0"/>
      <w:marBottom w:val="0"/>
      <w:divBdr>
        <w:top w:val="none" w:sz="0" w:space="0" w:color="auto"/>
        <w:left w:val="none" w:sz="0" w:space="0" w:color="auto"/>
        <w:bottom w:val="none" w:sz="0" w:space="0" w:color="auto"/>
        <w:right w:val="none" w:sz="0" w:space="0" w:color="auto"/>
      </w:divBdr>
    </w:div>
    <w:div w:id="207107914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5430/jct.v9n1p86" TargetMode="External"/><Relationship Id="rId13" Type="http://schemas.openxmlformats.org/officeDocument/2006/relationships/hyperlink" Target="https://doi.org/10.21833/ijaas.2024.07.016" TargetMode="External"/><Relationship Id="rId3" Type="http://schemas.openxmlformats.org/officeDocument/2006/relationships/settings" Target="settings.xml"/><Relationship Id="rId7" Type="http://schemas.openxmlformats.org/officeDocument/2006/relationships/hyperlink" Target="https://doi.org/10.1177/2158244014529781" TargetMode="External"/><Relationship Id="rId12" Type="http://schemas.openxmlformats.org/officeDocument/2006/relationships/hyperlink" Target="https://doi.org/10.5590/JERAP.2023.13.1.1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oi.org/10.1155/2020/8841653" TargetMode="External"/><Relationship Id="rId11" Type="http://schemas.openxmlformats.org/officeDocument/2006/relationships/hyperlink" Target="https://doi.org/10.21083/ajote.v3i2.2728" TargetMode="External"/><Relationship Id="rId5" Type="http://schemas.openxmlformats.org/officeDocument/2006/relationships/hyperlink" Target="https://www.academia.edu/33602820/50_Years_of_Educational_Progress_and_Challenge_in_Ghana_Research_Monograph_No_33" TargetMode="External"/><Relationship Id="rId15" Type="http://schemas.openxmlformats.org/officeDocument/2006/relationships/theme" Target="theme/theme1.xml"/><Relationship Id="rId10" Type="http://schemas.openxmlformats.org/officeDocument/2006/relationships/hyperlink" Target="https://doi.org/10.1016/j.sbspro.2012.08.237" TargetMode="External"/><Relationship Id="rId4" Type="http://schemas.openxmlformats.org/officeDocument/2006/relationships/webSettings" Target="webSettings.xml"/><Relationship Id="rId9" Type="http://schemas.openxmlformats.org/officeDocument/2006/relationships/hyperlink" Target="https://doi.org/10.1080/09585170600792712"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480</TotalTime>
  <Pages>9</Pages>
  <Words>3624</Words>
  <Characters>20659</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24235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Isaac Sogbadzi</dc:creator>
  <cp:keywords/>
  <dc:description/>
  <cp:lastModifiedBy>Isaac Sogbadzi</cp:lastModifiedBy>
  <cp:revision>14</cp:revision>
  <dcterms:created xsi:type="dcterms:W3CDTF">2025-05-28T19:07:00Z</dcterms:created>
  <dcterms:modified xsi:type="dcterms:W3CDTF">2025-06-23T10:07:00Z</dcterms:modified>
</cp:coreProperties>
</file>