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caps/>
          <w:color w:val="AAAAAA"/>
          <w:sz w:val="18"/>
          <w:szCs w:val="18"/>
        </w:rPr>
        <w:t xml:space="preserve">PREPRINT SUBMISSION  ·  ETHNOPHARMACOLOGY &amp; BIOCHEMISTRY  ·  APRIL 2026</w:t>
      </w:r>
    </w:p>
    <w:p>
      <w:pPr>
        <w:pBdr>
          <w:top w:val="single" w:color="8B3A1E" w:sz="16" w:space="0"/>
        </w:pBdr>
        <w:spacing w:after="0" w:before="0"/>
      </w:pPr>
      <w:r>
        <w:t xml:space="preserve"/>
      </w:r>
    </w:p>
    <w:p>
      <w:pPr>
        <w:spacing w:after="160"/>
      </w:pPr>
      <w:r>
        <w:t xml:space="preserve"/>
      </w:r>
    </w:p>
    <w:p>
      <w:pPr>
        <w:spacing w:after="100"/>
      </w:pPr>
      <w:r>
        <w:rPr>
          <w:rFonts w:ascii="Times New Roman" w:cs="Times New Roman" w:eastAsia="Times New Roman" w:hAnsi="Times New Roman"/>
          <w:b/>
          <w:bCs/>
          <w:color w:val="1A1714"/>
          <w:sz w:val="52"/>
          <w:szCs w:val="52"/>
        </w:rPr>
        <w:t xml:space="preserve">Decoding the Laboratory of the Forest:</w:t>
      </w:r>
    </w:p>
    <w:p>
      <w:pPr>
        <w:spacing w:after="80"/>
      </w:pPr>
      <w:r>
        <w:rPr>
          <w:rFonts w:ascii="Times New Roman" w:cs="Times New Roman" w:eastAsia="Times New Roman" w:hAnsi="Times New Roman"/>
          <w:i/>
          <w:iCs/>
          <w:color w:val="8B3A1E"/>
          <w:sz w:val="36"/>
          <w:szCs w:val="36"/>
        </w:rPr>
        <w:t xml:space="preserve">Chronobiology, Senescence Biochemistry, and the Doctrine of Signatures as Scientific Frameworks for African Traditional Medicine</w:t>
      </w:r>
    </w:p>
    <w:p>
      <w:pPr>
        <w:spacing w:after="200"/>
      </w:pPr>
      <w:r>
        <w:rPr>
          <w:rFonts w:ascii="Times New Roman" w:cs="Times New Roman" w:eastAsia="Times New Roman" w:hAnsi="Times New Roman"/>
          <w:i/>
          <w:iCs/>
          <w:color w:val="6B6360"/>
          <w:sz w:val="24"/>
          <w:szCs w:val="24"/>
        </w:rPr>
        <w:t xml:space="preserve">A biochemical and ethnopharmacological investigation into three foundational knowledge systems of African herbal practice</w:t>
      </w:r>
    </w:p>
    <w:p>
      <w:pPr>
        <w:pBdr>
          <w:bottom w:val="single" w:color="CCCCCC" w:sz="4" w:space="4"/>
        </w:pBdr>
        <w:spacing w:after="200"/>
      </w:pPr>
      <w:r>
        <w:t xml:space="preserve"/>
      </w:r>
    </w:p>
    <w:p>
      <w:pPr>
        <w:spacing w:after="60"/>
      </w:pPr>
      <w:r>
        <w:rPr>
          <w:rFonts w:ascii="Arial" w:cs="Arial" w:eastAsia="Arial" w:hAnsi="Arial"/>
          <w:b/>
          <w:bCs/>
          <w:color w:val="1A1714"/>
          <w:sz w:val="20"/>
          <w:szCs w:val="20"/>
        </w:rPr>
        <w:t xml:space="preserve">Author:  </w:t>
      </w:r>
      <w:r>
        <w:rPr>
          <w:rFonts w:ascii="Arial" w:cs="Arial" w:eastAsia="Arial" w:hAnsi="Arial"/>
          <w:color w:val="4A4540"/>
          <w:sz w:val="20"/>
          <w:szCs w:val="20"/>
        </w:rPr>
        <w:t xml:space="preserve">Toluhi Stephen, B.Sc. Biochemistry</w:t>
      </w:r>
    </w:p>
    <w:p>
      <w:pPr>
        <w:spacing w:after="60"/>
      </w:pPr>
      <w:r>
        <w:rPr>
          <w:rFonts w:ascii="Arial" w:cs="Arial" w:eastAsia="Arial" w:hAnsi="Arial"/>
          <w:b/>
          <w:bCs/>
          <w:color w:val="1A1714"/>
          <w:sz w:val="20"/>
          <w:szCs w:val="20"/>
        </w:rPr>
        <w:t xml:space="preserve">Affiliation:  </w:t>
      </w:r>
      <w:r>
        <w:rPr>
          <w:rFonts w:ascii="Arial" w:cs="Arial" w:eastAsia="Arial" w:hAnsi="Arial"/>
          <w:color w:val="4A4540"/>
          <w:sz w:val="20"/>
          <w:szCs w:val="20"/>
        </w:rPr>
        <w:t xml:space="preserve">Independent Scholar · African Biochemistry &amp; Ethnopharmacology</w:t>
      </w:r>
    </w:p>
    <w:p>
      <w:pPr>
        <w:spacing w:after="60"/>
      </w:pPr>
      <w:r>
        <w:rPr>
          <w:rFonts w:ascii="Arial" w:cs="Arial" w:eastAsia="Arial" w:hAnsi="Arial"/>
          <w:b/>
          <w:bCs/>
          <w:color w:val="1A1714"/>
          <w:sz w:val="20"/>
          <w:szCs w:val="20"/>
        </w:rPr>
        <w:t xml:space="preserve">Discipline:  </w:t>
      </w:r>
      <w:r>
        <w:rPr>
          <w:rFonts w:ascii="Arial" w:cs="Arial" w:eastAsia="Arial" w:hAnsi="Arial"/>
          <w:color w:val="4A4540"/>
          <w:sz w:val="20"/>
          <w:szCs w:val="20"/>
        </w:rPr>
        <w:t xml:space="preserve">Ethnopharmacology · Plant Biochemistry · African Studies</w:t>
      </w:r>
    </w:p>
    <w:p>
      <w:pPr>
        <w:spacing w:after="60"/>
      </w:pPr>
      <w:r>
        <w:rPr>
          <w:rFonts w:ascii="Arial" w:cs="Arial" w:eastAsia="Arial" w:hAnsi="Arial"/>
          <w:b/>
          <w:bCs/>
          <w:color w:val="1A1714"/>
          <w:sz w:val="20"/>
          <w:szCs w:val="20"/>
        </w:rPr>
        <w:t xml:space="preserve">Submitted:  </w:t>
      </w:r>
      <w:r>
        <w:rPr>
          <w:rFonts w:ascii="Arial" w:cs="Arial" w:eastAsia="Arial" w:hAnsi="Arial"/>
          <w:color w:val="4A4540"/>
          <w:sz w:val="20"/>
          <w:szCs w:val="20"/>
        </w:rPr>
        <w:t xml:space="preserve">April 2026  ·  Preprint — Under Review</w:t>
      </w:r>
    </w:p>
    <w:p>
      <w:pPr>
        <w:spacing w:after="60"/>
      </w:pPr>
      <w:r>
        <w:rPr>
          <w:rFonts w:ascii="Arial" w:cs="Arial" w:eastAsia="Arial" w:hAnsi="Arial"/>
          <w:b/>
          <w:bCs/>
          <w:color w:val="1A1714"/>
          <w:sz w:val="20"/>
          <w:szCs w:val="20"/>
        </w:rPr>
        <w:t xml:space="preserve">Target Journals:  </w:t>
      </w:r>
      <w:r>
        <w:rPr>
          <w:rFonts w:ascii="Arial" w:cs="Arial" w:eastAsia="Arial" w:hAnsi="Arial"/>
          <w:color w:val="4A4540"/>
          <w:sz w:val="20"/>
          <w:szCs w:val="20"/>
        </w:rPr>
        <w:t xml:space="preserve">Journal of Ethnopharmacology; South African Journal of Botany; Journal of Ethnobiology and Ethnomedicine</w:t>
      </w:r>
    </w:p>
    <w:p>
      <w:pPr>
        <w:spacing w:after="240"/>
      </w:pPr>
      <w:r>
        <w:t xml:space="preserve"/>
      </w:r>
    </w:p>
    <w:p>
      <w:pPr>
        <w:spacing w:after="80"/>
      </w:pPr>
      <w:r>
        <w:rPr>
          <w:rFonts w:ascii="Arial" w:cs="Arial" w:eastAsia="Arial" w:hAnsi="Arial"/>
          <w:b/>
          <w:bCs/>
          <w:caps/>
          <w:color w:val="8B3A1E"/>
          <w:sz w:val="20"/>
          <w:szCs w:val="20"/>
        </w:rPr>
        <w:t xml:space="preserve">ABSTRACT</w:t>
      </w:r>
    </w:p>
    <w:p>
      <w:pPr>
        <w:pBdr>
          <w:left w:val="single" w:color="8B3A1E" w:sz="12" w:space="12"/>
        </w:pBdr>
        <w:shd w:fill="F9F4F0" w:val="clear"/>
        <w:spacing w:after="200" w:line="300"/>
        <w:ind w:left="360" w:right="360"/>
        <w:jc w:val="both"/>
      </w:pPr>
      <w:r>
        <w:rPr>
          <w:rFonts w:ascii="Times New Roman" w:cs="Times New Roman" w:eastAsia="Times New Roman" w:hAnsi="Times New Roman"/>
          <w:i/>
          <w:iCs/>
          <w:color w:val="3C3530"/>
          <w:sz w:val="24"/>
          <w:szCs w:val="24"/>
        </w:rPr>
        <w:t xml:space="preserve">African traditional medicine systems encode a body of empirical pharmacological knowledge accumulated through centuries of systematic observation. Three specific epistemic practices — the ritual specification of herb harvest time, the pharmacological distinction between attached and naturally fallen leaves, and the therapeutic use of morphologically organ-resembling plants — have been broadly dismissed as pre-scientific. This paper proposes, through convergent analysis of current literature in plant chronobiology, senescence metabolomics, and ethnopharmacology, that each practice reflects biologically defensible phenomena that modern biochemical science is only beginning to articulate. We argue that African traditional medicine constitutes an uncodified but empirically grounded pharmacological archive, and that the failure to decode it systematically represents one of the most significant outstanding gaps in global pharmaceutical science. A research agenda for African-centred chronopharmacognosy is proposed.</w:t>
      </w:r>
    </w:p>
    <w:p>
      <w:pPr>
        <w:spacing w:after="320"/>
      </w:pPr>
      <w:r>
        <w:rPr>
          <w:rFonts w:ascii="Arial" w:cs="Arial" w:eastAsia="Arial" w:hAnsi="Arial"/>
          <w:b/>
          <w:bCs/>
          <w:color w:val="1A1714"/>
          <w:sz w:val="20"/>
          <w:szCs w:val="20"/>
        </w:rPr>
        <w:t xml:space="preserve">Keywords: </w:t>
      </w:r>
      <w:r>
        <w:rPr>
          <w:rFonts w:ascii="Times New Roman" w:cs="Times New Roman" w:eastAsia="Times New Roman" w:hAnsi="Times New Roman"/>
          <w:i/>
          <w:iCs/>
          <w:color w:val="5C4A3A"/>
          <w:sz w:val="20"/>
          <w:szCs w:val="20"/>
        </w:rPr>
        <w:t xml:space="preserve">African traditional medicine, chronopharmacognosy, plant circadian clock, secondary metabolites, leaf senescence, abscission biochemistry, Doctrine of Signatures, ethnopharmacology, diurnal metabolite variation, pharmacognosy</w:t>
      </w:r>
    </w:p>
    <w:p>
      <w:pPr>
        <w:pBdr>
          <w:bottom w:val="single" w:color="8B3A1E" w:sz="4" w:space="4"/>
        </w:pBdr>
        <w:spacing w:after="140" w:before="440"/>
      </w:pPr>
      <w:r>
        <w:rPr>
          <w:rFonts w:ascii="Arial" w:cs="Arial" w:eastAsia="Arial" w:hAnsi="Arial"/>
          <w:b/>
          <w:bCs/>
          <w:color w:val="8B3A1E"/>
          <w:sz w:val="26"/>
          <w:szCs w:val="26"/>
        </w:rPr>
        <w:t xml:space="preserve">1.  </w:t>
      </w:r>
      <w:r>
        <w:rPr>
          <w:rFonts w:ascii="Arial" w:cs="Arial" w:eastAsia="Arial" w:hAnsi="Arial"/>
          <w:b/>
          <w:bCs/>
          <w:color w:val="1A1714"/>
          <w:sz w:val="26"/>
          <w:szCs w:val="26"/>
        </w:rPr>
        <w:t xml:space="preserve">Introduction</w:t>
      </w:r>
    </w:p>
    <w:p>
      <w:pPr>
        <w:spacing w:after="160" w:line="320"/>
        <w:jc w:val="both"/>
      </w:pP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Despite growing global interest in ethnopharmacology and natural product drug discovery, the specific epistemological frameworks that govern ATM practice remain poorly investigated within the peer-reviewed scientific literature.</w:t>
      </w:r>
    </w:p>
    <w:p>
      <w:pPr>
        <w:spacing w:after="160" w:line="320"/>
        <w:jc w:val="both"/>
      </w:pPr>
      <w:r>
        <w:rPr>
          <w:rFonts w:ascii="Times New Roman" w:cs="Times New Roman" w:eastAsia="Times New Roman" w:hAnsi="Times New Roman"/>
          <w:color w:val="1A1714"/>
          <w:sz w:val="24"/>
          <w:szCs w:val="24"/>
        </w:rPr>
        <w:t xml:space="preserve">Three such frameworks are of particular interest to the biochemist. First, the specification by traditional healers of precise times of day for herb harvesting — a practice documented across Yoruba, Zulu, Igbo, and Akan healing traditions — which implies an empirical recognition that plant potency is temporally variable. Second, the pharmacological differentiation between leaves harvested directly from a plant and those that have naturally undergone abscission, suggesting that the process of leaf detachment itself alters medicinal value. Third, the widespread use across African healing systems of fruits, seeds, and plant parts whose external morphology resembles specific human organs to treat pathologies of those organs — a practice convergent with the Doctrine of Signatures described in European and Asian herbal traditions.</w:t>
      </w:r>
    </w:p>
    <w:p>
      <w:pPr>
        <w:spacing w:after="160" w:line="320"/>
        <w:jc w:val="both"/>
      </w:pPr>
      <w:r>
        <w:rPr>
          <w:rFonts w:ascii="Times New Roman" w:cs="Times New Roman" w:eastAsia="Times New Roman" w:hAnsi="Times New Roman"/>
          <w:color w:val="1A1714"/>
          <w:sz w:val="24"/>
          <w:szCs w:val="24"/>
        </w:rPr>
        <w:t xml:space="preserve">This paper examines each of these practices through the lens of contemporary plant biochemistry, chronobiology, and pharmacognosy. We demonstrate that each practice maps onto biologically documented phenomena, validating the empirical basis of the observations even where the mechanisms were not accessible to the healers who encoded them.</w:t>
      </w:r>
    </w:p>
    <w:p>
      <w:pPr>
        <w:pBdr>
          <w:left w:val="single" w:color="B07D3A" w:sz="12" w:space="12"/>
        </w:pBdr>
        <w:spacing w:after="200" w:before="200" w:line="300"/>
        <w:ind w:left="720" w:right="720"/>
        <w:jc w:val="both"/>
      </w:pPr>
      <w:r>
        <w:rPr>
          <w:rFonts w:ascii="Times New Roman" w:cs="Times New Roman" w:eastAsia="Times New Roman" w:hAnsi="Times New Roman"/>
          <w:i/>
          <w:iCs/>
          <w:color w:val="5C4A3A"/>
          <w:sz w:val="24"/>
          <w:szCs w:val="24"/>
        </w:rPr>
        <w:t xml:space="preserve">"The laboratory of the forest has been running longer than any university. The question is not whether its data are valid, but whether we yet have instruments sensitive enough to read them."</w:t>
      </w:r>
    </w:p>
    <w:p>
      <w:pPr>
        <w:spacing w:after="80"/>
      </w:pPr>
      <w:r>
        <w:t xml:space="preserve"/>
      </w:r>
    </w:p>
    <w:p>
      <w:pPr>
        <w:pBdr>
          <w:bottom w:val="single" w:color="8B3A1E" w:sz="4" w:space="4"/>
        </w:pBdr>
        <w:spacing w:after="140" w:before="440"/>
      </w:pPr>
      <w:r>
        <w:rPr>
          <w:rFonts w:ascii="Arial" w:cs="Arial" w:eastAsia="Arial" w:hAnsi="Arial"/>
          <w:b/>
          <w:bCs/>
          <w:color w:val="8B3A1E"/>
          <w:sz w:val="26"/>
          <w:szCs w:val="26"/>
        </w:rPr>
        <w:t xml:space="preserve">2.  </w:t>
      </w:r>
      <w:r>
        <w:rPr>
          <w:rFonts w:ascii="Arial" w:cs="Arial" w:eastAsia="Arial" w:hAnsi="Arial"/>
          <w:b/>
          <w:bCs/>
          <w:color w:val="1A1714"/>
          <w:sz w:val="26"/>
          <w:szCs w:val="26"/>
        </w:rPr>
        <w:t xml:space="preserve">The Circadian Clock, Diurnal Metabolite Variation, and the Science of Harvest Time</w:t>
      </w:r>
    </w:p>
    <w:p>
      <w:pPr>
        <w:spacing w:after="100" w:before="280"/>
      </w:pPr>
      <w:r>
        <w:rPr>
          <w:rFonts w:ascii="Times New Roman" w:cs="Times New Roman" w:eastAsia="Times New Roman" w:hAnsi="Times New Roman"/>
          <w:b/>
          <w:bCs/>
          <w:i/>
          <w:iCs/>
          <w:color w:val="1A1714"/>
          <w:sz w:val="24"/>
          <w:szCs w:val="24"/>
        </w:rPr>
        <w:t xml:space="preserve">2.1  The Plant Circadian Clock</w:t>
      </w:r>
    </w:p>
    <w:p>
      <w:pPr>
        <w:spacing w:after="160" w:line="320"/>
        <w:jc w:val="both"/>
      </w:pPr>
      <w:r>
        <w:rPr>
          <w:rFonts w:ascii="Times New Roman" w:cs="Times New Roman" w:eastAsia="Times New Roman" w:hAnsi="Times New Roman"/>
          <w:color w:val="1A1714"/>
          <w:sz w:val="24"/>
          <w:szCs w:val="24"/>
        </w:rPr>
        <w:t xml:space="preserve">Plants, like all eukaryotic organisms, are governed by an endogenous molecular clock that coordinates biological processes with the 24-hour light-dark cycle. This circadian clock operates through interacting transcription-translation feedback loops involving core oscillator proteins including CCA1 (Circadian Clock Associated 1), LHY (Late Elongated Hypocotyl), and TOC1 (Timing of CAB Expression 1)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These molecular timekeepers regulate an estimated 30–40% of the plant transcriptome across the diurnal cycle, including numerous genes directly responsible for secondary metabolite biosynthesis pathways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60" w:line="320"/>
        <w:jc w:val="both"/>
      </w:pPr>
      <w:r>
        <w:rPr>
          <w:rFonts w:ascii="Times New Roman" w:cs="Times New Roman" w:eastAsia="Times New Roman" w:hAnsi="Times New Roman"/>
          <w:color w:val="1A1714"/>
          <w:sz w:val="24"/>
          <w:szCs w:val="24"/>
        </w:rPr>
        <w:t xml:space="preserve">Transcriptome analyses have revealed that genes encoding phenylalanine ammonia-lyase (PAL), chalcone synthase (CHS), and terpenoid pathway enzymes exhibit marked diurnal expression patterns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This means that the concentration of secondary metabolites with pharmacological relevance is not static across the day, but oscillates in patterns that are both species-specific and condition-dependent.</w:t>
      </w:r>
    </w:p>
    <w:p>
      <w:pPr>
        <w:spacing w:after="100" w:before="280"/>
      </w:pPr>
      <w:r>
        <w:rPr>
          <w:rFonts w:ascii="Times New Roman" w:cs="Times New Roman" w:eastAsia="Times New Roman" w:hAnsi="Times New Roman"/>
          <w:b/>
          <w:bCs/>
          <w:i/>
          <w:iCs/>
          <w:color w:val="1A1714"/>
          <w:sz w:val="24"/>
          <w:szCs w:val="24"/>
        </w:rPr>
        <w:t xml:space="preserve">2.2  Documented Diurnal Variation in Medicinal Secondary Metabolites</w:t>
      </w:r>
    </w:p>
    <w:p>
      <w:pPr>
        <w:spacing w:after="160" w:line="320"/>
        <w:jc w:val="both"/>
      </w:pPr>
      <w:r>
        <w:rPr>
          <w:rFonts w:ascii="Times New Roman" w:cs="Times New Roman" w:eastAsia="Times New Roman" w:hAnsi="Times New Roman"/>
          <w:color w:val="1A1714"/>
          <w:sz w:val="24"/>
          <w:szCs w:val="24"/>
        </w:rPr>
        <w:t xml:space="preserve">Among the most pharmacologically significant demonstrations of harvest-time effects is the case of </w:t>
      </w:r>
      <w:r>
        <w:rPr>
          <w:rFonts w:ascii="Times New Roman" w:cs="Times New Roman" w:eastAsia="Times New Roman" w:hAnsi="Times New Roman"/>
          <w:i/>
          <w:iCs/>
          <w:color w:val="1A1714"/>
          <w:sz w:val="24"/>
          <w:szCs w:val="24"/>
        </w:rPr>
        <w:t xml:space="preserve">Artemisia annua</w:t>
      </w:r>
      <w:r>
        <w:rPr>
          <w:rFonts w:ascii="Times New Roman" w:cs="Times New Roman" w:eastAsia="Times New Roman" w:hAnsi="Times New Roman"/>
          <w:color w:val="1A1714"/>
          <w:sz w:val="24"/>
          <w:szCs w:val="24"/>
        </w:rPr>
        <w:t xml:space="preserve"> L., the source of artemisinin, the most potent known antimalarial compound. Multiple field studies have documented that artemisinin concentration varies significantly with developmental stage and light conditions, and that post-harvest processing triggers conversion of precursor compounds dihydroartemisinic acid (DHAA) into artemisinin itself — demonstrating that the biochemical state at harvest directly determines final pharmacological yield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60" w:line="320"/>
        <w:jc w:val="both"/>
      </w:pPr>
      <w:r>
        <w:rPr>
          <w:rFonts w:ascii="Times New Roman" w:cs="Times New Roman" w:eastAsia="Times New Roman" w:hAnsi="Times New Roman"/>
          <w:color w:val="1A1714"/>
          <w:sz w:val="24"/>
          <w:szCs w:val="24"/>
        </w:rPr>
        <w:t xml:space="preserve">In </w:t>
      </w:r>
      <w:r>
        <w:rPr>
          <w:rFonts w:ascii="Times New Roman" w:cs="Times New Roman" w:eastAsia="Times New Roman" w:hAnsi="Times New Roman"/>
          <w:i/>
          <w:iCs/>
          <w:color w:val="1A1714"/>
          <w:sz w:val="24"/>
          <w:szCs w:val="24"/>
        </w:rPr>
        <w:t xml:space="preserve">Lippia alba</w:t>
      </w:r>
      <w:r>
        <w:rPr>
          <w:rFonts w:ascii="Times New Roman" w:cs="Times New Roman" w:eastAsia="Times New Roman" w:hAnsi="Times New Roman"/>
          <w:color w:val="1A1714"/>
          <w:sz w:val="24"/>
          <w:szCs w:val="24"/>
        </w:rPr>
        <w:t xml:space="preserve">, continuous light regimes significantly increased linalool content compared to standard photoperiods, while in </w:t>
      </w:r>
      <w:r>
        <w:rPr>
          <w:rFonts w:ascii="Times New Roman" w:cs="Times New Roman" w:eastAsia="Times New Roman" w:hAnsi="Times New Roman"/>
          <w:i/>
          <w:iCs/>
          <w:color w:val="1A1714"/>
          <w:sz w:val="24"/>
          <w:szCs w:val="24"/>
        </w:rPr>
        <w:t xml:space="preserve">Kaempferia galanga</w:t>
      </w:r>
      <w:r>
        <w:rPr>
          <w:rFonts w:ascii="Times New Roman" w:cs="Times New Roman" w:eastAsia="Times New Roman" w:hAnsi="Times New Roman"/>
          <w:color w:val="1A1714"/>
          <w:sz w:val="24"/>
          <w:szCs w:val="24"/>
        </w:rPr>
        <w:t xml:space="preserve"> callus cultures, a 12/12 hour light/dark regime enhanced flavonoid and terpenoid accumulation with production declining sharply under continuous darkness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Volatile phenylpropanoids in </w:t>
      </w:r>
      <w:r>
        <w:rPr>
          <w:rFonts w:ascii="Times New Roman" w:cs="Times New Roman" w:eastAsia="Times New Roman" w:hAnsi="Times New Roman"/>
          <w:i/>
          <w:iCs/>
          <w:color w:val="1A1714"/>
          <w:sz w:val="24"/>
          <w:szCs w:val="24"/>
        </w:rPr>
        <w:t xml:space="preserve">Petunia hybrida</w:t>
      </w:r>
      <w:r>
        <w:rPr>
          <w:rFonts w:ascii="Times New Roman" w:cs="Times New Roman" w:eastAsia="Times New Roman" w:hAnsi="Times New Roman"/>
          <w:color w:val="1A1714"/>
          <w:sz w:val="24"/>
          <w:szCs w:val="24"/>
        </w:rPr>
        <w:t xml:space="preserve"> show time-restricted nocturnal emission regulated by the clock gene PhLHY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60" w:line="320"/>
        <w:jc w:val="both"/>
      </w:pPr>
      <w:r>
        <w:rPr>
          <w:rFonts w:ascii="Times New Roman" w:cs="Times New Roman" w:eastAsia="Times New Roman" w:hAnsi="Times New Roman"/>
          <w:color w:val="1A1714"/>
          <w:sz w:val="24"/>
          <w:szCs w:val="24"/>
        </w:rPr>
        <w:t xml:space="preserve">These findings provide biochemical substrate for the traditional observation that harvest time determines potency. The specification by a Yoruba </w:t>
      </w:r>
      <w:r>
        <w:rPr>
          <w:rFonts w:ascii="Times New Roman" w:cs="Times New Roman" w:eastAsia="Times New Roman" w:hAnsi="Times New Roman"/>
          <w:i/>
          <w:iCs/>
          <w:color w:val="1A1714"/>
          <w:sz w:val="24"/>
          <w:szCs w:val="24"/>
        </w:rPr>
        <w:t xml:space="preserve">babalawo</w:t>
      </w:r>
      <w:r>
        <w:rPr>
          <w:rFonts w:ascii="Times New Roman" w:cs="Times New Roman" w:eastAsia="Times New Roman" w:hAnsi="Times New Roman"/>
          <w:color w:val="1A1714"/>
          <w:sz w:val="24"/>
          <w:szCs w:val="24"/>
        </w:rPr>
        <w:t xml:space="preserve"> or Zulu </w:t>
      </w:r>
      <w:r>
        <w:rPr>
          <w:rFonts w:ascii="Times New Roman" w:cs="Times New Roman" w:eastAsia="Times New Roman" w:hAnsi="Times New Roman"/>
          <w:i/>
          <w:iCs/>
          <w:color w:val="1A1714"/>
          <w:sz w:val="24"/>
          <w:szCs w:val="24"/>
        </w:rPr>
        <w:t xml:space="preserve">izinyanga</w:t>
      </w:r>
      <w:r>
        <w:rPr>
          <w:rFonts w:ascii="Times New Roman" w:cs="Times New Roman" w:eastAsia="Times New Roman" w:hAnsi="Times New Roman"/>
          <w:color w:val="1A1714"/>
          <w:sz w:val="24"/>
          <w:szCs w:val="24"/>
        </w:rPr>
        <w:t xml:space="preserve"> that a herb must be gathered before sunrise, at midday, or at dusk encodes empirically valid information about peak concentration windows of bioactive compounds — arrived at through comparative clinical observation rather than transcriptomic analysis.</w:t>
      </w:r>
    </w:p>
    <w:p>
      <w:pPr>
        <w:spacing w:after="100" w:before="280"/>
      </w:pPr>
      <w:r>
        <w:rPr>
          <w:rFonts w:ascii="Times New Roman" w:cs="Times New Roman" w:eastAsia="Times New Roman" w:hAnsi="Times New Roman"/>
          <w:b/>
          <w:bCs/>
          <w:i/>
          <w:iCs/>
          <w:color w:val="1A1714"/>
          <w:sz w:val="24"/>
          <w:szCs w:val="24"/>
        </w:rPr>
        <w:t xml:space="preserve">2.3  Implications for Standardisation</w:t>
      </w:r>
    </w:p>
    <w:p>
      <w:pPr>
        <w:spacing w:after="160" w:line="320"/>
        <w:jc w:val="both"/>
      </w:pPr>
      <w:r>
        <w:rPr>
          <w:rFonts w:ascii="Times New Roman" w:cs="Times New Roman" w:eastAsia="Times New Roman" w:hAnsi="Times New Roman"/>
          <w:color w:val="1A1714"/>
          <w:sz w:val="24"/>
          <w:szCs w:val="24"/>
        </w:rPr>
        <w:t xml:space="preserve">The absence of harvest-time protocols from current standards of African medicinal plant preparation has significant pharmacological consequences. Mahomoodally (2013) observed that the lack of quality assurance frameworks for African medicinal plants — including harvest timing and preparation — represents one of the most critical barriers to scientific validation and safe integration into formal healthcare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 programme in African-centred chronopharmacognosy — systematic metabolite profiling of priority African medicinal species at 3–4 hour harvest intervals — would generate foundational data capable of validating specific traditional protocols.</w:t>
      </w:r>
    </w:p>
    <w:p>
      <w:pPr>
        <w:spacing w:after="80"/>
      </w:pPr>
      <w:r>
        <w:t xml:space="preserve"/>
      </w:r>
    </w:p>
    <w:p>
      <w:pPr>
        <w:pBdr>
          <w:bottom w:val="single" w:color="8B3A1E" w:sz="4" w:space="4"/>
        </w:pBdr>
        <w:spacing w:after="140" w:before="440"/>
      </w:pPr>
      <w:r>
        <w:rPr>
          <w:rFonts w:ascii="Arial" w:cs="Arial" w:eastAsia="Arial" w:hAnsi="Arial"/>
          <w:b/>
          <w:bCs/>
          <w:color w:val="8B3A1E"/>
          <w:sz w:val="26"/>
          <w:szCs w:val="26"/>
        </w:rPr>
        <w:t xml:space="preserve">3.  </w:t>
      </w:r>
      <w:r>
        <w:rPr>
          <w:rFonts w:ascii="Arial" w:cs="Arial" w:eastAsia="Arial" w:hAnsi="Arial"/>
          <w:b/>
          <w:bCs/>
          <w:color w:val="1A1714"/>
          <w:sz w:val="26"/>
          <w:szCs w:val="26"/>
        </w:rPr>
        <w:t xml:space="preserve">Leaf Abscission, Senescence Biochemistry, and the Pharmacology of the Fallen Leaf</w:t>
      </w:r>
    </w:p>
    <w:p>
      <w:pPr>
        <w:spacing w:after="100" w:before="280"/>
      </w:pPr>
      <w:r>
        <w:rPr>
          <w:rFonts w:ascii="Times New Roman" w:cs="Times New Roman" w:eastAsia="Times New Roman" w:hAnsi="Times New Roman"/>
          <w:b/>
          <w:bCs/>
          <w:i/>
          <w:iCs/>
          <w:color w:val="1A1714"/>
          <w:sz w:val="24"/>
          <w:szCs w:val="24"/>
        </w:rPr>
        <w:t xml:space="preserve">3.1  Senescence as a Metabolic Programme</w:t>
      </w:r>
    </w:p>
    <w:p>
      <w:pPr>
        <w:spacing w:after="160" w:line="320"/>
        <w:jc w:val="both"/>
      </w:pPr>
      <w:r>
        <w:rPr>
          <w:rFonts w:ascii="Times New Roman" w:cs="Times New Roman" w:eastAsia="Times New Roman" w:hAnsi="Times New Roman"/>
          <w:color w:val="1A1714"/>
          <w:sz w:val="24"/>
          <w:szCs w:val="24"/>
        </w:rPr>
        <w:t xml:space="preserve">Leaf senescence is not passive degradation. It is a highly regulated developmental programme involving systematic nutrient remobilisation, extensive metabolic reprogramming, and significant alterations in secondary metabolite composition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 comprehensive metabolomics study of tobacco (</w:t>
      </w:r>
      <w:r>
        <w:rPr>
          <w:rFonts w:ascii="Times New Roman" w:cs="Times New Roman" w:eastAsia="Times New Roman" w:hAnsi="Times New Roman"/>
          <w:i/>
          <w:iCs/>
          <w:color w:val="1A1714"/>
          <w:sz w:val="24"/>
          <w:szCs w:val="24"/>
        </w:rPr>
        <w:t xml:space="preserve">Nicotiana tabacum</w:t>
      </w:r>
      <w:r>
        <w:rPr>
          <w:rFonts w:ascii="Times New Roman" w:cs="Times New Roman" w:eastAsia="Times New Roman" w:hAnsi="Times New Roman"/>
          <w:color w:val="1A1714"/>
          <w:sz w:val="24"/>
          <w:szCs w:val="24"/>
        </w:rPr>
        <w:t xml:space="preserve">) leaves across five developmental stages identified 412 distinct metabolites, with dramatic stage-specific changes in alkaloid profiles, polyphenol composition, and terpenoid content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 leaf at the pre-abscission stage has a biochemically distinct composition from either an actively photosynthesising leaf or a post-fall leaf.</w:t>
      </w:r>
    </w:p>
    <w:p>
      <w:pPr>
        <w:spacing w:after="100" w:before="280"/>
      </w:pPr>
      <w:r>
        <w:rPr>
          <w:rFonts w:ascii="Times New Roman" w:cs="Times New Roman" w:eastAsia="Times New Roman" w:hAnsi="Times New Roman"/>
          <w:b/>
          <w:bCs/>
          <w:i/>
          <w:iCs/>
          <w:color w:val="1A1714"/>
          <w:sz w:val="24"/>
          <w:szCs w:val="24"/>
        </w:rPr>
        <w:t xml:space="preserve">3.2  Hormonal Cascades Governing Abscission</w:t>
      </w:r>
    </w:p>
    <w:p>
      <w:pPr>
        <w:spacing w:after="160" w:line="320"/>
        <w:jc w:val="both"/>
      </w:pPr>
      <w:r>
        <w:rPr>
          <w:rFonts w:ascii="Times New Roman" w:cs="Times New Roman" w:eastAsia="Times New Roman" w:hAnsi="Times New Roman"/>
          <w:color w:val="1A1714"/>
          <w:sz w:val="24"/>
          <w:szCs w:val="24"/>
        </w:rPr>
        <w:t xml:space="preserve">During active leaf development, auxin produced in leaf tissue suppresses both senescence and abscission zone activation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As the leaf matures, auxin declines and ethylene accumulates at the abscission zone, activating cell wall-degrading enzymes including polygalacturonase and cellulase. Of particular pharmacological significance is the role of jasmonic acid (JA) in late senescence: JA is a stress-response hormone that upregulates biosynthesis of defensive secondary metabolites — alkaloids, terpenoids, phenolics — through transcriptional activation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In the final stages before abscission, JA levels rise as part of the stress response, meaning a naturally falling leaf may carry elevated concentrations of JA-induced secondary metabolites absent in a mechanically harvested leaf.</w:t>
      </w:r>
    </w:p>
    <w:p>
      <w:pPr>
        <w:spacing w:after="100" w:before="280"/>
      </w:pPr>
      <w:r>
        <w:rPr>
          <w:rFonts w:ascii="Times New Roman" w:cs="Times New Roman" w:eastAsia="Times New Roman" w:hAnsi="Times New Roman"/>
          <w:b/>
          <w:bCs/>
          <w:i/>
          <w:iCs/>
          <w:color w:val="1A1714"/>
          <w:sz w:val="24"/>
          <w:szCs w:val="24"/>
        </w:rPr>
        <w:t xml:space="preserve">3.3  Cell Compartment Rupture and Metabolite Activation</w:t>
      </w:r>
    </w:p>
    <w:p>
      <w:pPr>
        <w:spacing w:after="160" w:line="320"/>
        <w:jc w:val="both"/>
      </w:pPr>
      <w:r>
        <w:rPr>
          <w:rFonts w:ascii="Times New Roman" w:cs="Times New Roman" w:eastAsia="Times New Roman" w:hAnsi="Times New Roman"/>
          <w:color w:val="1A1714"/>
          <w:sz w:val="24"/>
          <w:szCs w:val="24"/>
        </w:rPr>
        <w:t xml:space="preserve">Many plant secondary metabolites of pharmacological relevance are sequestered in vacuoles as inactive glycoside conjugates, isolated from cytoplasmic enzymes needed to convert them to active forms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Cell wall degradation during late senescence disrupts this compartmentalisation, allowing enzymatic activation reactions analogous to the alliinase-mediated production of allicin from crushed garlic, or the transformation of polyphenols during tea fermentation.</w:t>
      </w:r>
    </w:p>
    <w:p>
      <w:pPr>
        <w:spacing w:after="160" w:line="320"/>
        <w:jc w:val="both"/>
      </w:pPr>
      <w:r>
        <w:rPr>
          <w:rFonts w:ascii="Times New Roman" w:cs="Times New Roman" w:eastAsia="Times New Roman" w:hAnsi="Times New Roman"/>
          <w:color w:val="1A1714"/>
          <w:sz w:val="24"/>
          <w:szCs w:val="24"/>
        </w:rPr>
        <w:t xml:space="preserve">Spatiotemporal metabolomics data from senescent </w:t>
      </w:r>
      <w:r>
        <w:rPr>
          <w:rFonts w:ascii="Times New Roman" w:cs="Times New Roman" w:eastAsia="Times New Roman" w:hAnsi="Times New Roman"/>
          <w:i/>
          <w:iCs/>
          <w:color w:val="1A1714"/>
          <w:sz w:val="24"/>
          <w:szCs w:val="24"/>
        </w:rPr>
        <w:t xml:space="preserve">Arabidopsis</w:t>
      </w:r>
      <w:r>
        <w:rPr>
          <w:rFonts w:ascii="Times New Roman" w:cs="Times New Roman" w:eastAsia="Times New Roman" w:hAnsi="Times New Roman"/>
          <w:color w:val="1A1714"/>
          <w:sz w:val="24"/>
          <w:szCs w:val="24"/>
        </w:rPr>
        <w:t xml:space="preserve"> leaves confirm this model: glucosinolates, ceramides, aromatic amino acids, and stress-induced metabolites show distinct spatial redistribution patterns before and during abscission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The traditional observation that a naturally fallen leaf carries pharmacologically distinct medicine from a plucked leaf is therefore biochemically defensible.</w:t>
      </w:r>
    </w:p>
    <w:p>
      <w:pPr>
        <w:spacing w:after="80"/>
      </w:pPr>
      <w:r>
        <w:t xml:space="preserve"/>
      </w:r>
    </w:p>
    <w:p>
      <w:pPr>
        <w:pBdr>
          <w:bottom w:val="single" w:color="8B3A1E" w:sz="4" w:space="4"/>
        </w:pBdr>
        <w:spacing w:after="140" w:before="440"/>
      </w:pPr>
      <w:r>
        <w:rPr>
          <w:rFonts w:ascii="Arial" w:cs="Arial" w:eastAsia="Arial" w:hAnsi="Arial"/>
          <w:b/>
          <w:bCs/>
          <w:color w:val="8B3A1E"/>
          <w:sz w:val="26"/>
          <w:szCs w:val="26"/>
        </w:rPr>
        <w:t xml:space="preserve">4.  </w:t>
      </w:r>
      <w:r>
        <w:rPr>
          <w:rFonts w:ascii="Arial" w:cs="Arial" w:eastAsia="Arial" w:hAnsi="Arial"/>
          <w:b/>
          <w:bCs/>
          <w:color w:val="1A1714"/>
          <w:sz w:val="26"/>
          <w:szCs w:val="26"/>
        </w:rPr>
        <w:t xml:space="preserve">The Doctrine of Signatures: Morphological Resemblance and Organ-Specific Bioactivity</w:t>
      </w:r>
    </w:p>
    <w:p>
      <w:pPr>
        <w:spacing w:after="100" w:before="280"/>
      </w:pPr>
      <w:r>
        <w:rPr>
          <w:rFonts w:ascii="Times New Roman" w:cs="Times New Roman" w:eastAsia="Times New Roman" w:hAnsi="Times New Roman"/>
          <w:b/>
          <w:bCs/>
          <w:i/>
          <w:iCs/>
          <w:color w:val="1A1714"/>
          <w:sz w:val="24"/>
          <w:szCs w:val="24"/>
        </w:rPr>
        <w:t xml:space="preserve">4.1  Cross-Cultural Distribution and African Context</w:t>
      </w:r>
    </w:p>
    <w:p>
      <w:pPr>
        <w:spacing w:after="160" w:line="320"/>
        <w:jc w:val="both"/>
      </w:pPr>
      <w:r>
        <w:rPr>
          <w:rFonts w:ascii="Times New Roman" w:cs="Times New Roman" w:eastAsia="Times New Roman" w:hAnsi="Times New Roman"/>
          <w:color w:val="1A1714"/>
          <w:sz w:val="24"/>
          <w:szCs w:val="24"/>
        </w:rPr>
        <w:t xml:space="preserve">The Doctrine of Signatures (DoS) — the principle that a plant's morphological resemblance to a human organ indicates its therapeutic application — represents one of the most globally distributed principles in the history of medicine. Its presence has been documented in European herbalism, traditional Chinese medicine, Ayurveda, pre-Columbian Mesoamerican systems, and across multiple African healing traditions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60" w:line="320"/>
        <w:jc w:val="both"/>
      </w:pPr>
      <w:r>
        <w:rPr>
          <w:rFonts w:ascii="Times New Roman" w:cs="Times New Roman" w:eastAsia="Times New Roman" w:hAnsi="Times New Roman"/>
          <w:color w:val="1A1714"/>
          <w:sz w:val="24"/>
          <w:szCs w:val="24"/>
        </w:rPr>
        <w:t xml:space="preserve">Bennett (2007), in the most comprehensive scholarly evaluation of the doctrine, proposed a critical distinction: whether morphological signatures were used to </w:t>
      </w:r>
      <w:r>
        <w:rPr>
          <w:rFonts w:ascii="Times New Roman" w:cs="Times New Roman" w:eastAsia="Times New Roman" w:hAnsi="Times New Roman"/>
          <w:i/>
          <w:iCs/>
          <w:color w:val="1A1714"/>
          <w:sz w:val="24"/>
          <w:szCs w:val="24"/>
        </w:rPr>
        <w:t xml:space="preserve">discover</w:t>
      </w:r>
      <w:r>
        <w:rPr>
          <w:rFonts w:ascii="Times New Roman" w:cs="Times New Roman" w:eastAsia="Times New Roman" w:hAnsi="Times New Roman"/>
          <w:color w:val="1A1714"/>
          <w:sz w:val="24"/>
          <w:szCs w:val="24"/>
        </w:rPr>
        <w:t xml:space="preserve"> medicinal properties (the a priori hypothesis, for which evidence is limited) versus whether they function as a </w:t>
      </w:r>
      <w:r>
        <w:rPr>
          <w:rFonts w:ascii="Times New Roman" w:cs="Times New Roman" w:eastAsia="Times New Roman" w:hAnsi="Times New Roman"/>
          <w:i/>
          <w:iCs/>
          <w:color w:val="1A1714"/>
          <w:sz w:val="24"/>
          <w:szCs w:val="24"/>
        </w:rPr>
        <w:t xml:space="preserve">mnemonic system</w:t>
      </w:r>
      <w:r>
        <w:rPr>
          <w:rFonts w:ascii="Times New Roman" w:cs="Times New Roman" w:eastAsia="Times New Roman" w:hAnsi="Times New Roman"/>
          <w:color w:val="1A1714"/>
          <w:sz w:val="24"/>
          <w:szCs w:val="24"/>
        </w:rPr>
        <w:t xml:space="preserve"> for encoding and transmitting existing pharmacological knowledge (the dissemination hypothesis, for which evidence is substantial)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The DoS in African traditional medicine need not have been the instrument of drug discovery to be pharmacologically validated; it may represent a visual encoding system for an empirically derived pharmacopoeia.</w:t>
      </w:r>
    </w:p>
    <w:p>
      <w:pPr>
        <w:spacing w:after="100" w:before="280"/>
      </w:pPr>
      <w:r>
        <w:rPr>
          <w:rFonts w:ascii="Times New Roman" w:cs="Times New Roman" w:eastAsia="Times New Roman" w:hAnsi="Times New Roman"/>
          <w:b/>
          <w:bCs/>
          <w:i/>
          <w:iCs/>
          <w:color w:val="1A1714"/>
          <w:sz w:val="24"/>
          <w:szCs w:val="24"/>
        </w:rPr>
        <w:t xml:space="preserve">4.2  Cases of Morphological-Chemical Convergence</w:t>
      </w:r>
    </w:p>
    <w:p>
      <w:pPr>
        <w:spacing w:after="160" w:line="320"/>
        <w:jc w:val="both"/>
      </w:pPr>
      <w:r>
        <w:rPr>
          <w:rFonts w:ascii="Times New Roman" w:cs="Times New Roman" w:eastAsia="Times New Roman" w:hAnsi="Times New Roman"/>
          <w:color w:val="1A1714"/>
          <w:sz w:val="24"/>
          <w:szCs w:val="24"/>
        </w:rPr>
        <w:t xml:space="preserve">The walnut (</w:t>
      </w:r>
      <w:r>
        <w:rPr>
          <w:rFonts w:ascii="Times New Roman" w:cs="Times New Roman" w:eastAsia="Times New Roman" w:hAnsi="Times New Roman"/>
          <w:i/>
          <w:iCs/>
          <w:color w:val="1A1714"/>
          <w:sz w:val="24"/>
          <w:szCs w:val="24"/>
        </w:rPr>
        <w:t xml:space="preserve">Juglans regia</w:t>
      </w:r>
      <w:r>
        <w:rPr>
          <w:rFonts w:ascii="Times New Roman" w:cs="Times New Roman" w:eastAsia="Times New Roman" w:hAnsi="Times New Roman"/>
          <w:color w:val="1A1714"/>
          <w:sz w:val="24"/>
          <w:szCs w:val="24"/>
        </w:rPr>
        <w:t xml:space="preserve"> L.), whose bifurcated kernel bears visual resemblance to the cerebral hemispheres, is among the richest plant sources of alpha-linolenic acid (ALA), the precursor to DHA and EPA that are critical for neurological function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 randomised controlled trial published in </w:t>
      </w:r>
      <w:r>
        <w:rPr>
          <w:rFonts w:ascii="Times New Roman" w:cs="Times New Roman" w:eastAsia="Times New Roman" w:hAnsi="Times New Roman"/>
          <w:i/>
          <w:iCs/>
          <w:color w:val="1A1714"/>
          <w:sz w:val="24"/>
          <w:szCs w:val="24"/>
        </w:rPr>
        <w:t xml:space="preserve">eClinicalMedicine</w:t>
      </w:r>
      <w:r>
        <w:rPr>
          <w:rFonts w:ascii="Times New Roman" w:cs="Times New Roman" w:eastAsia="Times New Roman" w:hAnsi="Times New Roman"/>
          <w:color w:val="1A1714"/>
          <w:sz w:val="24"/>
          <w:szCs w:val="24"/>
        </w:rPr>
        <w:t xml:space="preserve"> (The Lancet, 2023) demonstrated significant improvements in neuropsychological development in adolescents consuming walnuts, attributing benefits to the synergistic action of ALA, polyphenols, and other neuroactive compounds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A comprehensive review (Poulose et al., 2020) confirmed walnut capacity to inhibit amyloid-beta fibrillisation and suppress neuroinflammatory markers including IL-1β, IL-6, and TNF-α through ALA-mediated downregulation of COX-2 and iNOS pathways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60" w:line="320"/>
        <w:jc w:val="both"/>
      </w:pPr>
      <w:r>
        <w:rPr>
          <w:rFonts w:ascii="Times New Roman" w:cs="Times New Roman" w:eastAsia="Times New Roman" w:hAnsi="Times New Roman"/>
          <w:color w:val="1A1714"/>
          <w:sz w:val="24"/>
          <w:szCs w:val="24"/>
        </w:rPr>
        <w:t xml:space="preserve">A systematic literature survey by Lev and Amar (2002) found pharmacological support in 22.2% of DoS-specific uses reviewed — a rate far exceeding chance in a conservative assessment, reflecting limitations of current literature rather than the upper bound of actual correspondences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w:t>
      </w:r>
    </w:p>
    <w:p>
      <w:pPr>
        <w:spacing w:after="100" w:before="280"/>
      </w:pPr>
      <w:r>
        <w:rPr>
          <w:rFonts w:ascii="Times New Roman" w:cs="Times New Roman" w:eastAsia="Times New Roman" w:hAnsi="Times New Roman"/>
          <w:b/>
          <w:bCs/>
          <w:i/>
          <w:iCs/>
          <w:color w:val="1A1714"/>
          <w:sz w:val="24"/>
          <w:szCs w:val="24"/>
        </w:rPr>
        <w:t xml:space="preserve">4.3  African Cases: Bitter Kola and Morpho-Functional Convergence</w:t>
      </w:r>
    </w:p>
    <w:p>
      <w:pPr>
        <w:spacing w:after="160" w:line="320"/>
        <w:jc w:val="both"/>
      </w:pPr>
      <w:r>
        <w:rPr>
          <w:rFonts w:ascii="Times New Roman" w:cs="Times New Roman" w:eastAsia="Times New Roman" w:hAnsi="Times New Roman"/>
          <w:color w:val="1A1714"/>
          <w:sz w:val="24"/>
          <w:szCs w:val="24"/>
        </w:rPr>
        <w:t xml:space="preserve">Among African examples, </w:t>
      </w:r>
      <w:r>
        <w:rPr>
          <w:rFonts w:ascii="Times New Roman" w:cs="Times New Roman" w:eastAsia="Times New Roman" w:hAnsi="Times New Roman"/>
          <w:i/>
          <w:iCs/>
          <w:color w:val="1A1714"/>
          <w:sz w:val="24"/>
          <w:szCs w:val="24"/>
        </w:rPr>
        <w:t xml:space="preserve">Garcinia kola</w:t>
      </w:r>
      <w:r>
        <w:rPr>
          <w:rFonts w:ascii="Times New Roman" w:cs="Times New Roman" w:eastAsia="Times New Roman" w:hAnsi="Times New Roman"/>
          <w:color w:val="1A1714"/>
          <w:sz w:val="24"/>
          <w:szCs w:val="24"/>
        </w:rPr>
        <w:t xml:space="preserve"> (Bitter kola), whose cotyledon structure bears visual resemblance to bronchiole architecture and is used extensively in West African medicine for respiratory conditions, has been shown to possess bronchodilatory, anti-inflammatory, and antioxidant properties with established relevance to respiratory pathology </w:t>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r>
      <w:r>
        <w:rPr>
          <w:rFonts w:ascii="Times New Roman" w:cs="Times New Roman" w:eastAsia="Times New Roman" w:hAnsi="Times New Roman"/>
          <w:color w:val="1A1714"/>
          <w:sz w:val="24"/>
          <w:szCs w:val="24"/>
        </w:rPr>
        <w:t xml:space="preserve">. This represents a case in which morphological signature, traditional therapeutic application, and pharmacological evidence converge in a manner consistent with the dissemination hypothesis.</w:t>
      </w:r>
    </w:p>
    <w:p>
      <w:pPr>
        <w:spacing w:after="100" w:before="280"/>
      </w:pPr>
      <w:r>
        <w:rPr>
          <w:rFonts w:ascii="Times New Roman" w:cs="Times New Roman" w:eastAsia="Times New Roman" w:hAnsi="Times New Roman"/>
          <w:b/>
          <w:bCs/>
          <w:i/>
          <w:iCs/>
          <w:color w:val="1A1714"/>
          <w:sz w:val="24"/>
          <w:szCs w:val="24"/>
        </w:rPr>
        <w:t xml:space="preserve">4.4  A Morpho-Chemical Convergence Hypothesis</w:t>
      </w:r>
    </w:p>
    <w:p>
      <w:pPr>
        <w:spacing w:after="160" w:line="320"/>
        <w:jc w:val="both"/>
      </w:pPr>
      <w:r>
        <w:rPr>
          <w:rFonts w:ascii="Times New Roman" w:cs="Times New Roman" w:eastAsia="Times New Roman" w:hAnsi="Times New Roman"/>
          <w:color w:val="1A1714"/>
          <w:sz w:val="24"/>
          <w:szCs w:val="24"/>
        </w:rPr>
        <w:t xml:space="preserve">We propose, as a testable hypothesis, that evolutionary and biosynthetic pressures on specific plant lineages may produce correlated morphological and chemical signatures through shared developmental pathways. Under this model, the same secondary metabolites that confer organ-specific bioactivity may also influence tissue architecture and structural protein composition in ways that produce morphological resemblance to the organ they affect. Its systematic investigation — through comparative metabolomics of organ-resembling plant species versus closely related non-resembling species — represents a frontier in chemical ecology and ethnopharmacology.</w:t>
      </w:r>
    </w:p>
    <w:p>
      <w:pPr>
        <w:spacing w:after="80"/>
      </w:pPr>
      <w:r>
        <w:t xml:space="preserve"/>
      </w:r>
    </w:p>
    <w:p>
      <w:pPr>
        <w:pBdr>
          <w:bottom w:val="single" w:color="8B3A1E" w:sz="4" w:space="4"/>
        </w:pBdr>
        <w:spacing w:after="140" w:before="440"/>
      </w:pPr>
      <w:r>
        <w:rPr>
          <w:rFonts w:ascii="Arial" w:cs="Arial" w:eastAsia="Arial" w:hAnsi="Arial"/>
          <w:b/>
          <w:bCs/>
          <w:color w:val="8B3A1E"/>
          <w:sz w:val="26"/>
          <w:szCs w:val="26"/>
        </w:rPr>
        <w:t xml:space="preserve">5.  </w:t>
      </w:r>
      <w:r>
        <w:rPr>
          <w:rFonts w:ascii="Arial" w:cs="Arial" w:eastAsia="Arial" w:hAnsi="Arial"/>
          <w:b/>
          <w:bCs/>
          <w:color w:val="1A1714"/>
          <w:sz w:val="26"/>
          <w:szCs w:val="26"/>
        </w:rPr>
        <w:t xml:space="preserve">A Unified Interpretation: African Traditional Medicine as Empirical Pharmacology</w:t>
      </w:r>
    </w:p>
    <w:p>
      <w:pPr>
        <w:spacing w:after="160" w:line="320"/>
        <w:jc w:val="both"/>
      </w:pPr>
      <w:r>
        <w:rPr>
          <w:rFonts w:ascii="Times New Roman" w:cs="Times New Roman" w:eastAsia="Times New Roman" w:hAnsi="Times New Roman"/>
          <w:color w:val="1A1714"/>
          <w:sz w:val="24"/>
          <w:szCs w:val="24"/>
        </w:rPr>
        <w:t xml:space="preserve">The three practices examined in this paper share a common epistemological structure. Each represents an observation — about temporal pharmacological variation, about the biochemical consequences of natural plant processes, about morphological correlates of bioactivity — that has been encoded in a non-Western framework of cosmology, ritual, or visual analogy. In each case, the observation is demonstrably grounded in biological reality, even where the mechanistic vocabulary was not available to those who first made it.</w:t>
      </w:r>
    </w:p>
    <w:p>
      <w:pPr>
        <w:spacing w:after="160" w:line="320"/>
        <w:jc w:val="both"/>
      </w:pPr>
      <w:r>
        <w:rPr>
          <w:rFonts w:ascii="Times New Roman" w:cs="Times New Roman" w:eastAsia="Times New Roman" w:hAnsi="Times New Roman"/>
          <w:color w:val="1A1714"/>
          <w:sz w:val="24"/>
          <w:szCs w:val="24"/>
        </w:rPr>
        <w:t xml:space="preserve">The global pharmaceutical industry continues to derive significant drug candidates from ethnopharmacological leads. Artemisinin, the most effective antimalarial compound known, was identified through systematic investigation of traditional Chinese herbal records. The African traditional pharmacopoeia, vastly larger given the continent's unparalleled botanical biodiversity, remains comparatively uninvestigated at the same depth. The failure to engage with the biochemical precision encoded in ATM practices — including harvest protocols, processing distinctions, and morphological correlations — represents a significant and correctable gap in global natural product science.</w:t>
      </w:r>
    </w:p>
    <w:p>
      <w:pPr>
        <w:spacing w:after="80"/>
      </w:pPr>
      <w:r>
        <w:t xml:space="preserve"/>
      </w:r>
    </w:p>
    <w:p>
      <w:pPr>
        <w:pBdr>
          <w:bottom w:val="single" w:color="8B3A1E" w:sz="4" w:space="4"/>
        </w:pBdr>
        <w:spacing w:after="140" w:before="440"/>
      </w:pPr>
      <w:r>
        <w:rPr>
          <w:rFonts w:ascii="Arial" w:cs="Arial" w:eastAsia="Arial" w:hAnsi="Arial"/>
          <w:b/>
          <w:bCs/>
          <w:color w:val="8B3A1E"/>
          <w:sz w:val="26"/>
          <w:szCs w:val="26"/>
        </w:rPr>
        <w:t xml:space="preserve">6.  </w:t>
      </w:r>
      <w:r>
        <w:rPr>
          <w:rFonts w:ascii="Arial" w:cs="Arial" w:eastAsia="Arial" w:hAnsi="Arial"/>
          <w:b/>
          <w:bCs/>
          <w:color w:val="1A1714"/>
          <w:sz w:val="26"/>
          <w:szCs w:val="26"/>
        </w:rPr>
        <w:t xml:space="preserve">Proposed Research Agenda</w:t>
      </w:r>
    </w:p>
    <w:p>
      <w:pPr>
        <w:spacing w:after="60"/>
      </w:pPr>
      <w:r>
        <w:t xml:space="preserve"/>
      </w:r>
    </w:p>
    <w:p>
      <w:pPr>
        <w:spacing w:after="120"/>
      </w:pPr>
      <w:r>
        <w:rPr>
          <w:rFonts w:ascii="Arial" w:cs="Arial" w:eastAsia="Arial" w:hAnsi="Arial"/>
          <w:b/>
          <w:bCs/>
          <w:i/>
          <w:iCs/>
          <w:color w:val="5C4A3A"/>
          <w:sz w:val="20"/>
          <w:szCs w:val="20"/>
        </w:rPr>
        <w:t xml:space="preserve">Table 1. Proposed Research Priorities in African Chronopharmacognosy and Ethnobotanical Biochemistry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2960"/>
        <w:gridCol w:w="1000"/>
      </w:tblGrid>
      <w:tr>
        <w:trPr>
          <w:tblHeader/>
        </w:trPr>
        <w:tc>
          <w:tcPr>
            <w:tcW w:type="dxa" w:w="1800"/>
            <w:tcBorders>
              <w:top w:val="single" w:color="CCCCCC" w:sz="1"/>
              <w:left w:val="single" w:color="CCCCCC" w:sz="1"/>
              <w:bottom w:val="single" w:color="CCCCCC" w:sz="1"/>
              <w:right w:val="single" w:color="CCCCCC" w:sz="1"/>
            </w:tcBorders>
            <w:shd w:fill="2C2825" w:val="clear"/>
            <w:tcMar>
              <w:top w:type="dxa" w:w="80"/>
              <w:left w:type="dxa" w:w="100"/>
              <w:bottom w:type="dxa" w:w="80"/>
              <w:right w:type="dxa" w:w="100"/>
            </w:tcMar>
          </w:tcPr>
          <w:p>
            <w:r>
              <w:rPr>
                <w:rFonts w:ascii="Arial" w:cs="Arial" w:eastAsia="Arial" w:hAnsi="Arial"/>
                <w:b/>
                <w:bCs/>
                <w:color w:val="FAF8F5"/>
                <w:sz w:val="18"/>
                <w:szCs w:val="18"/>
              </w:rPr>
              <w:t xml:space="preserve">Research Area</w:t>
            </w:r>
          </w:p>
        </w:tc>
        <w:tc>
          <w:tcPr>
            <w:tcW w:type="dxa" w:w="2600"/>
            <w:tcBorders>
              <w:top w:val="single" w:color="CCCCCC" w:sz="1"/>
              <w:left w:val="single" w:color="CCCCCC" w:sz="1"/>
              <w:bottom w:val="single" w:color="CCCCCC" w:sz="1"/>
              <w:right w:val="single" w:color="CCCCCC" w:sz="1"/>
            </w:tcBorders>
            <w:shd w:fill="2C2825" w:val="clear"/>
            <w:tcMar>
              <w:top w:type="dxa" w:w="80"/>
              <w:left w:type="dxa" w:w="100"/>
              <w:bottom w:type="dxa" w:w="80"/>
              <w:right w:type="dxa" w:w="100"/>
            </w:tcMar>
          </w:tcPr>
          <w:p>
            <w:r>
              <w:rPr>
                <w:rFonts w:ascii="Arial" w:cs="Arial" w:eastAsia="Arial" w:hAnsi="Arial"/>
                <w:b/>
                <w:bCs/>
                <w:color w:val="FAF8F5"/>
                <w:sz w:val="18"/>
                <w:szCs w:val="18"/>
              </w:rPr>
              <w:t xml:space="preserve">Specific Question</w:t>
            </w:r>
          </w:p>
        </w:tc>
        <w:tc>
          <w:tcPr>
            <w:tcW w:type="dxa" w:w="2960"/>
            <w:tcBorders>
              <w:top w:val="single" w:color="CCCCCC" w:sz="1"/>
              <w:left w:val="single" w:color="CCCCCC" w:sz="1"/>
              <w:bottom w:val="single" w:color="CCCCCC" w:sz="1"/>
              <w:right w:val="single" w:color="CCCCCC" w:sz="1"/>
            </w:tcBorders>
            <w:shd w:fill="2C2825" w:val="clear"/>
            <w:tcMar>
              <w:top w:type="dxa" w:w="80"/>
              <w:left w:type="dxa" w:w="100"/>
              <w:bottom w:type="dxa" w:w="80"/>
              <w:right w:type="dxa" w:w="100"/>
            </w:tcMar>
          </w:tcPr>
          <w:p>
            <w:r>
              <w:rPr>
                <w:rFonts w:ascii="Arial" w:cs="Arial" w:eastAsia="Arial" w:hAnsi="Arial"/>
                <w:b/>
                <w:bCs/>
                <w:color w:val="FAF8F5"/>
                <w:sz w:val="18"/>
                <w:szCs w:val="18"/>
              </w:rPr>
              <w:t xml:space="preserve">Methodology</w:t>
            </w:r>
          </w:p>
        </w:tc>
        <w:tc>
          <w:tcPr>
            <w:tcW w:type="dxa" w:w="1000"/>
            <w:tcBorders>
              <w:top w:val="single" w:color="CCCCCC" w:sz="1"/>
              <w:left w:val="single" w:color="CCCCCC" w:sz="1"/>
              <w:bottom w:val="single" w:color="CCCCCC" w:sz="1"/>
              <w:right w:val="single" w:color="CCCCCC" w:sz="1"/>
            </w:tcBorders>
            <w:shd w:fill="2C2825" w:val="clear"/>
            <w:tcMar>
              <w:top w:type="dxa" w:w="80"/>
              <w:left w:type="dxa" w:w="100"/>
              <w:bottom w:type="dxa" w:w="80"/>
              <w:right w:type="dxa" w:w="100"/>
            </w:tcMar>
          </w:tcPr>
          <w:p>
            <w:r>
              <w:rPr>
                <w:rFonts w:ascii="Arial" w:cs="Arial" w:eastAsia="Arial" w:hAnsi="Arial"/>
                <w:b/>
                <w:bCs/>
                <w:color w:val="FAF8F5"/>
                <w:sz w:val="18"/>
                <w:szCs w:val="18"/>
              </w:rPr>
              <w:t xml:space="preserve">Priority</w:t>
            </w:r>
          </w:p>
        </w:tc>
      </w:tr>
      <w:tr>
        <w:tc>
          <w:tcPr>
            <w:tcW w:type="dxa" w:w="18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Chronopharmacognosy</w:t>
            </w:r>
          </w:p>
        </w:tc>
        <w:tc>
          <w:tcPr>
            <w:tcW w:type="dxa" w:w="26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Do African medicinal plants show significant diurnal variation in bioactive secondary metabolites?</w:t>
            </w:r>
          </w:p>
        </w:tc>
        <w:tc>
          <w:tcPr>
            <w:tcW w:type="dxa" w:w="296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LC-MS metabolomics at 3-hour harvest intervals across 20 priority species; cross-referenced against healer harvest-time protocols</w:t>
            </w:r>
          </w:p>
        </w:tc>
        <w:tc>
          <w:tcPr>
            <w:tcW w:type="dxa" w:w="10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HIGH</w:t>
            </w:r>
          </w:p>
        </w:tc>
      </w:tr>
      <w:tr>
        <w:tc>
          <w:tcPr>
            <w:tcW w:type="dxa" w:w="18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b/>
                <w:bCs/>
                <w:color w:val="1A1714"/>
                <w:sz w:val="18"/>
                <w:szCs w:val="18"/>
              </w:rPr>
              <w:t xml:space="preserve">Senescence Metabolomics</w:t>
            </w:r>
          </w:p>
        </w:tc>
        <w:tc>
          <w:tcPr>
            <w:tcW w:type="dxa" w:w="26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Does natural abscission alter alkaloid and phenolic profiles in ethnomedicinally significant African species?</w:t>
            </w:r>
          </w:p>
        </w:tc>
        <w:tc>
          <w:tcPr>
            <w:tcW w:type="dxa" w:w="296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Comparative metabolite profiling: attached leaf vs. pre-abscission vs. post-fall leaf; jasmonic acid quantification across stages</w:t>
            </w:r>
          </w:p>
        </w:tc>
        <w:tc>
          <w:tcPr>
            <w:tcW w:type="dxa" w:w="10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b/>
                <w:bCs/>
                <w:color w:val="1A1714"/>
                <w:sz w:val="18"/>
                <w:szCs w:val="18"/>
              </w:rPr>
              <w:t xml:space="preserve">HIGH</w:t>
            </w:r>
          </w:p>
        </w:tc>
      </w:tr>
      <w:tr>
        <w:tc>
          <w:tcPr>
            <w:tcW w:type="dxa" w:w="18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Morpho-Chemical Convergence</w:t>
            </w:r>
          </w:p>
        </w:tc>
        <w:tc>
          <w:tcPr>
            <w:tcW w:type="dxa" w:w="26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Is there a statistically significant correlation between plant organ resemblance and organ-specific bioactivity in African flora?</w:t>
            </w:r>
          </w:p>
        </w:tc>
        <w:tc>
          <w:tcPr>
            <w:tcW w:type="dxa" w:w="296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Systematic database construction from documented ATM use; comparative metabolomics of organ-resembling vs. non-resembling congeners</w:t>
            </w:r>
          </w:p>
        </w:tc>
        <w:tc>
          <w:tcPr>
            <w:tcW w:type="dxa" w:w="10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MEDIUM</w:t>
            </w:r>
          </w:p>
        </w:tc>
      </w:tr>
      <w:tr>
        <w:tc>
          <w:tcPr>
            <w:tcW w:type="dxa" w:w="18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b/>
                <w:bCs/>
                <w:color w:val="1A1714"/>
                <w:sz w:val="18"/>
                <w:szCs w:val="18"/>
              </w:rPr>
              <w:t xml:space="preserve">Traditional Knowledge Integration</w:t>
            </w:r>
          </w:p>
        </w:tc>
        <w:tc>
          <w:tcPr>
            <w:tcW w:type="dxa" w:w="26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Can harvest-time and leaf-state protocols from traditional healers be translated into standardised pharmacognosy guidelines?</w:t>
            </w:r>
          </w:p>
        </w:tc>
        <w:tc>
          <w:tcPr>
            <w:tcW w:type="dxa" w:w="296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Structured ethnographic interviews across five African regions; protocol mapping against biochemical data</w:t>
            </w:r>
          </w:p>
        </w:tc>
        <w:tc>
          <w:tcPr>
            <w:tcW w:type="dxa" w:w="10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b/>
                <w:bCs/>
                <w:color w:val="1A1714"/>
                <w:sz w:val="18"/>
                <w:szCs w:val="18"/>
              </w:rPr>
              <w:t xml:space="preserve">HIGH</w:t>
            </w:r>
          </w:p>
        </w:tc>
      </w:tr>
      <w:tr>
        <w:tc>
          <w:tcPr>
            <w:tcW w:type="dxa" w:w="18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Regulatory Translation</w:t>
            </w:r>
          </w:p>
        </w:tc>
        <w:tc>
          <w:tcPr>
            <w:tcW w:type="dxa" w:w="26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How can findings be incorporated into African national pharmacopoeia standards?</w:t>
            </w:r>
          </w:p>
        </w:tc>
        <w:tc>
          <w:tcPr>
            <w:tcW w:type="dxa" w:w="296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Times New Roman" w:cs="Times New Roman" w:eastAsia="Times New Roman" w:hAnsi="Times New Roman"/>
                <w:b w:val="false"/>
                <w:bCs w:val="false"/>
                <w:color w:val="1A1714"/>
                <w:sz w:val="18"/>
                <w:szCs w:val="18"/>
              </w:rPr>
              <w:t xml:space="preserve">Stakeholder engagement with WHO Africa, national medicines regulatory authorities, and traditional healers' councils</w:t>
            </w:r>
          </w:p>
        </w:tc>
        <w:tc>
          <w:tcPr>
            <w:tcW w:type="dxa" w:w="1000"/>
            <w:tcBorders>
              <w:top w:val="single" w:color="CCCCCC" w:sz="1"/>
              <w:left w:val="single" w:color="CCCCCC" w:sz="1"/>
              <w:bottom w:val="single" w:color="CCCCCC" w:sz="1"/>
              <w:right w:val="single" w:color="CCCCCC" w:sz="1"/>
            </w:tcBorders>
            <w:shd w:fill="FDF9F6" w:val="clear"/>
            <w:tcMar>
              <w:top w:type="dxa" w:w="60"/>
              <w:left w:type="dxa" w:w="100"/>
              <w:bottom w:type="dxa" w:w="60"/>
              <w:right w:type="dxa" w:w="100"/>
            </w:tcMar>
          </w:tcPr>
          <w:p>
            <w:r>
              <w:rPr>
                <w:rFonts w:ascii="Arial" w:cs="Arial" w:eastAsia="Arial" w:hAnsi="Arial"/>
                <w:b/>
                <w:bCs/>
                <w:color w:val="1A1714"/>
                <w:sz w:val="18"/>
                <w:szCs w:val="18"/>
              </w:rPr>
              <w:t xml:space="preserve">MEDIUM</w:t>
            </w:r>
          </w:p>
        </w:tc>
      </w:tr>
    </w:tbl>
    <w:p>
      <w:pPr>
        <w:spacing w:after="200"/>
      </w:pPr>
      <w:r>
        <w:t xml:space="preserve"/>
      </w:r>
    </w:p>
    <w:p>
      <w:pPr>
        <w:pBdr>
          <w:bottom w:val="single" w:color="8B3A1E" w:sz="4" w:space="4"/>
        </w:pBdr>
        <w:spacing w:after="140" w:before="440"/>
      </w:pPr>
      <w:r>
        <w:rPr>
          <w:rFonts w:ascii="Arial" w:cs="Arial" w:eastAsia="Arial" w:hAnsi="Arial"/>
          <w:b/>
          <w:bCs/>
          <w:color w:val="8B3A1E"/>
          <w:sz w:val="26"/>
          <w:szCs w:val="26"/>
        </w:rPr>
        <w:t xml:space="preserve">7.  </w:t>
      </w:r>
      <w:r>
        <w:rPr>
          <w:rFonts w:ascii="Arial" w:cs="Arial" w:eastAsia="Arial" w:hAnsi="Arial"/>
          <w:b/>
          <w:bCs/>
          <w:color w:val="1A1714"/>
          <w:sz w:val="26"/>
          <w:szCs w:val="26"/>
        </w:rPr>
        <w:t xml:space="preserve">Conclusion</w:t>
      </w:r>
    </w:p>
    <w:p>
      <w:pPr>
        <w:spacing w:after="160" w:line="320"/>
        <w:jc w:val="both"/>
      </w:pPr>
      <w:r>
        <w:rPr>
          <w:rFonts w:ascii="Times New Roman" w:cs="Times New Roman" w:eastAsia="Times New Roman" w:hAnsi="Times New Roman"/>
          <w:color w:val="1A1714"/>
          <w:sz w:val="24"/>
          <w:szCs w:val="24"/>
        </w:rPr>
        <w:t xml:space="preserve">This paper has argued, across three convergent domains of evidence, that specific foundational practices of African traditional medicine encode empirically valid pharmacological observations. The specification of herb harvest time reflects the reality of circadian clock-regulated secondary metabolite oscillation, now documented across multiple species including the global antimalarial standard </w:t>
      </w:r>
      <w:r>
        <w:rPr>
          <w:rFonts w:ascii="Times New Roman" w:cs="Times New Roman" w:eastAsia="Times New Roman" w:hAnsi="Times New Roman"/>
          <w:i/>
          <w:iCs/>
          <w:color w:val="1A1714"/>
          <w:sz w:val="24"/>
          <w:szCs w:val="24"/>
        </w:rPr>
        <w:t xml:space="preserve">Artemisia annua</w:t>
      </w:r>
      <w:r>
        <w:rPr>
          <w:rFonts w:ascii="Times New Roman" w:cs="Times New Roman" w:eastAsia="Times New Roman" w:hAnsi="Times New Roman"/>
          <w:color w:val="1A1714"/>
          <w:sz w:val="24"/>
          <w:szCs w:val="24"/>
        </w:rPr>
        <w:t xml:space="preserve">. The pharmacological distinction between harvested and naturally fallen leaves reflects the biochemistry of jasmonic acid-driven senescence, vacuolar metabolite activation, and developmental secondary metabolite reprogramming. The morphological-therapeutic correlations of the Doctrine of Signatures reflect a pharmacological pattern with growing empirical support and a testable biochemical hypothesis as its mechanistic foundation.</w:t>
      </w:r>
    </w:p>
    <w:p>
      <w:pPr>
        <w:spacing w:after="160" w:line="320"/>
        <w:jc w:val="both"/>
      </w:pPr>
      <w:r>
        <w:rPr>
          <w:rFonts w:ascii="Times New Roman" w:cs="Times New Roman" w:eastAsia="Times New Roman" w:hAnsi="Times New Roman"/>
          <w:color w:val="1A1714"/>
          <w:sz w:val="24"/>
          <w:szCs w:val="24"/>
        </w:rPr>
        <w:t xml:space="preserve">The broader implication is that African traditional medicine constitutes not merely a cultural heritage to be preserved, but an active pharmacological dataset awaiting biochemical decoding. The tools now exist — metabolomics, chronobiology, phylogenetic comparative methods. What has been absent is the research agenda, and the intellectual will, to direct them toward the accumulated empirical wisdom of Africa's traditional healers.</w:t>
      </w:r>
    </w:p>
    <w:p>
      <w:pPr>
        <w:pBdr>
          <w:left w:val="single" w:color="B07D3A" w:sz="12" w:space="12"/>
        </w:pBdr>
        <w:spacing w:after="200" w:before="200" w:line="300"/>
        <w:ind w:left="720" w:right="720"/>
        <w:jc w:val="both"/>
      </w:pPr>
      <w:r>
        <w:rPr>
          <w:rFonts w:ascii="Times New Roman" w:cs="Times New Roman" w:eastAsia="Times New Roman" w:hAnsi="Times New Roman"/>
          <w:i/>
          <w:iCs/>
          <w:color w:val="5C4A3A"/>
          <w:sz w:val="24"/>
          <w:szCs w:val="24"/>
        </w:rPr>
        <w:t xml:space="preserve">"The laboratory of the forest has been running its experiments for millennia. It is time to read the results."</w:t>
      </w:r>
    </w:p>
    <w:p>
      <w:pPr>
        <w:spacing w:after="200"/>
      </w:pPr>
      <w:r>
        <w:t xml:space="preserve"/>
      </w:r>
    </w:p>
    <w:p>
      <w:pPr>
        <w:pBdr>
          <w:top w:val="single" w:color="CCCCCC" w:sz="6" w:space="8"/>
        </w:pBdr>
        <w:spacing w:after="100" w:before="200"/>
      </w:pPr>
      <w:r>
        <w:rPr>
          <w:rFonts w:ascii="Arial" w:cs="Arial" w:eastAsia="Arial" w:hAnsi="Arial"/>
          <w:b/>
          <w:bCs/>
          <w:caps/>
          <w:color w:val="8B3A1E"/>
          <w:sz w:val="20"/>
          <w:szCs w:val="20"/>
        </w:rPr>
        <w:t xml:space="preserve">REFERENCES</w:t>
      </w:r>
    </w:p>
    <w:p>
      <w:pPr>
        <w:spacing w:after="100"/>
        <w:ind w:left="400" w:hanging="400"/>
      </w:pPr>
      <w:r>
        <w:rPr>
          <w:rFonts w:ascii="Arial" w:cs="Arial" w:eastAsia="Arial" w:hAnsi="Arial"/>
          <w:b/>
          <w:bCs/>
          <w:color w:val="8B3A1E"/>
          <w:sz w:val="18"/>
          <w:szCs w:val="18"/>
        </w:rPr>
        <w:t xml:space="preserve">[1]  </w:t>
      </w:r>
      <w:r>
        <w:rPr>
          <w:rFonts w:ascii="Times New Roman" w:cs="Times New Roman" w:eastAsia="Times New Roman" w:hAnsi="Times New Roman"/>
          <w:color w:val="1A1714"/>
          <w:sz w:val="18"/>
          <w:szCs w:val="18"/>
        </w:rPr>
        <w:t xml:space="preserve">Mahomoodally, M.F. (2013). Traditional Medicines in Africa: An Appraisal of Ten Potent African Medicinal Plants. Evidence-Based Complementary and Alternative Medicine, 2013, 617459. doi:10.1155/2013/617459</w:t>
      </w:r>
    </w:p>
    <w:p>
      <w:pPr>
        <w:spacing w:after="100"/>
        <w:ind w:left="400" w:hanging="400"/>
      </w:pPr>
      <w:r>
        <w:rPr>
          <w:rFonts w:ascii="Arial" w:cs="Arial" w:eastAsia="Arial" w:hAnsi="Arial"/>
          <w:b/>
          <w:bCs/>
          <w:color w:val="8B3A1E"/>
          <w:sz w:val="18"/>
          <w:szCs w:val="18"/>
        </w:rPr>
        <w:t xml:space="preserve">[2]  </w:t>
      </w:r>
      <w:r>
        <w:rPr>
          <w:rFonts w:ascii="Times New Roman" w:cs="Times New Roman" w:eastAsia="Times New Roman" w:hAnsi="Times New Roman"/>
          <w:color w:val="1A1714"/>
          <w:sz w:val="18"/>
          <w:szCs w:val="18"/>
        </w:rPr>
        <w:t xml:space="preserve">Kim, J.A., Jung, H., Kim, D., &amp; Kim, W.Y. (2017). The Importance of the Circadian Clock in Regulating Plant Metabolism. International Journal of Molecular Sciences, 18(12), 2680. doi:10.3390/ijms18122680</w:t>
      </w:r>
    </w:p>
    <w:p>
      <w:pPr>
        <w:spacing w:after="100"/>
        <w:ind w:left="400" w:hanging="400"/>
      </w:pPr>
      <w:r>
        <w:rPr>
          <w:rFonts w:ascii="Arial" w:cs="Arial" w:eastAsia="Arial" w:hAnsi="Arial"/>
          <w:b/>
          <w:bCs/>
          <w:color w:val="8B3A1E"/>
          <w:sz w:val="18"/>
          <w:szCs w:val="18"/>
        </w:rPr>
        <w:t xml:space="preserve">[3]  </w:t>
      </w:r>
      <w:r>
        <w:rPr>
          <w:rFonts w:ascii="Times New Roman" w:cs="Times New Roman" w:eastAsia="Times New Roman" w:hAnsi="Times New Roman"/>
          <w:color w:val="1A1714"/>
          <w:sz w:val="18"/>
          <w:szCs w:val="18"/>
        </w:rPr>
        <w:t xml:space="preserve">Sánchez-Bermejo, E., Méndez-Vigo, B., &amp; Picó, F.X. (2024). Unlocking Nature's Rhythms: Insights into Secondary Metabolite Modulation by the Circadian Clock. International Journal of Molecular Sciences, 25(13), 7308. doi:10.3390/ijms25137308 [PMC11241833]</w:t>
      </w:r>
    </w:p>
    <w:p>
      <w:pPr>
        <w:spacing w:after="100"/>
        <w:ind w:left="400" w:hanging="400"/>
      </w:pPr>
      <w:r>
        <w:rPr>
          <w:rFonts w:ascii="Arial" w:cs="Arial" w:eastAsia="Arial" w:hAnsi="Arial"/>
          <w:b/>
          <w:bCs/>
          <w:color w:val="8B3A1E"/>
          <w:sz w:val="18"/>
          <w:szCs w:val="18"/>
        </w:rPr>
        <w:t xml:space="preserve">[4]  </w:t>
      </w:r>
      <w:r>
        <w:rPr>
          <w:rFonts w:ascii="Times New Roman" w:cs="Times New Roman" w:eastAsia="Times New Roman" w:hAnsi="Times New Roman"/>
          <w:color w:val="1A1714"/>
          <w:sz w:val="18"/>
          <w:szCs w:val="18"/>
        </w:rPr>
        <w:t xml:space="preserve">Laughlin, J.C. (1994). Influence of planting date and harvest time on artemisinin yield in Artemisia annua L. In Craker et al. (Eds.), Proceedings of the International Conference on Medicinal and Aromatic Plants. ISHS.</w:t>
      </w:r>
    </w:p>
    <w:p>
      <w:pPr>
        <w:spacing w:after="100"/>
        <w:ind w:left="400" w:hanging="400"/>
      </w:pPr>
      <w:r>
        <w:rPr>
          <w:rFonts w:ascii="Arial" w:cs="Arial" w:eastAsia="Arial" w:hAnsi="Arial"/>
          <w:b/>
          <w:bCs/>
          <w:color w:val="8B3A1E"/>
          <w:sz w:val="18"/>
          <w:szCs w:val="18"/>
        </w:rPr>
        <w:t xml:space="preserve">[5]  </w:t>
      </w:r>
      <w:r>
        <w:rPr>
          <w:rFonts w:ascii="Times New Roman" w:cs="Times New Roman" w:eastAsia="Times New Roman" w:hAnsi="Times New Roman"/>
          <w:color w:val="1A1714"/>
          <w:sz w:val="18"/>
          <w:szCs w:val="18"/>
        </w:rPr>
        <w:t xml:space="preserve">Towler, M.J., &amp; Weathers, P.J. (2015). Variations in key artemisinic and other metabolites throughout plant development in Artemisia annua L. for potential therapeutic use. Industrial Crops and Products, 67, 470–477. doi:10.1016/j.indcrop.2015.01.007 [PMC4341905]</w:t>
      </w:r>
    </w:p>
    <w:p>
      <w:pPr>
        <w:spacing w:after="100"/>
        <w:ind w:left="400" w:hanging="400"/>
      </w:pPr>
      <w:r>
        <w:rPr>
          <w:rFonts w:ascii="Arial" w:cs="Arial" w:eastAsia="Arial" w:hAnsi="Arial"/>
          <w:b/>
          <w:bCs/>
          <w:color w:val="8B3A1E"/>
          <w:sz w:val="18"/>
          <w:szCs w:val="18"/>
        </w:rPr>
        <w:t xml:space="preserve">[6]  </w:t>
      </w:r>
      <w:r>
        <w:rPr>
          <w:rFonts w:ascii="Times New Roman" w:cs="Times New Roman" w:eastAsia="Times New Roman" w:hAnsi="Times New Roman"/>
          <w:color w:val="1A1714"/>
          <w:sz w:val="18"/>
          <w:szCs w:val="18"/>
        </w:rPr>
        <w:t xml:space="preserve">Gonçalves, S., &amp; Romano, A. (2025). Photoperiod and Circadian Regulation in Plants: A Review of Insights from In Vitro Studies. Plants, 14(12). doi:10.3390/plants14121850 [PMC12650427]</w:t>
      </w:r>
    </w:p>
    <w:p>
      <w:pPr>
        <w:spacing w:after="100"/>
        <w:ind w:left="400" w:hanging="400"/>
      </w:pPr>
      <w:r>
        <w:rPr>
          <w:rFonts w:ascii="Arial" w:cs="Arial" w:eastAsia="Arial" w:hAnsi="Arial"/>
          <w:b/>
          <w:bCs/>
          <w:color w:val="8B3A1E"/>
          <w:sz w:val="18"/>
          <w:szCs w:val="18"/>
        </w:rPr>
        <w:t xml:space="preserve">[7]  </w:t>
      </w:r>
      <w:r>
        <w:rPr>
          <w:rFonts w:ascii="Times New Roman" w:cs="Times New Roman" w:eastAsia="Times New Roman" w:hAnsi="Times New Roman"/>
          <w:color w:val="1A1714"/>
          <w:sz w:val="18"/>
          <w:szCs w:val="18"/>
        </w:rPr>
        <w:t xml:space="preserve">Watanabe, M., et al. (2013). Comprehensive Dissection of Spatiotemporal Metabolic Shifts in Primary, Secondary, and Lipid Metabolism during Developmental Senescence in Arabidopsis. Plant Physiology, 162(3), 1290–1310. doi:10.1104/pp.113.217380 [PMC3707545]</w:t>
      </w:r>
    </w:p>
    <w:p>
      <w:pPr>
        <w:spacing w:after="100"/>
        <w:ind w:left="400" w:hanging="400"/>
      </w:pPr>
      <w:r>
        <w:rPr>
          <w:rFonts w:ascii="Arial" w:cs="Arial" w:eastAsia="Arial" w:hAnsi="Arial"/>
          <w:b/>
          <w:bCs/>
          <w:color w:val="8B3A1E"/>
          <w:sz w:val="18"/>
          <w:szCs w:val="18"/>
        </w:rPr>
        <w:t xml:space="preserve">[8]  </w:t>
      </w:r>
      <w:r>
        <w:rPr>
          <w:rFonts w:ascii="Times New Roman" w:cs="Times New Roman" w:eastAsia="Times New Roman" w:hAnsi="Times New Roman"/>
          <w:color w:val="1A1714"/>
          <w:sz w:val="18"/>
          <w:szCs w:val="18"/>
        </w:rPr>
        <w:t xml:space="preserve">Ma, B., et al. (2016). Comprehensive investigation of tobacco leaves during natural early senescence via multi-platform metabolomics analyses. Scientific Reports, 6, 37976. doi:10.1038/srep37976</w:t>
      </w:r>
    </w:p>
    <w:p>
      <w:pPr>
        <w:spacing w:after="100"/>
        <w:ind w:left="400" w:hanging="400"/>
      </w:pPr>
      <w:r>
        <w:rPr>
          <w:rFonts w:ascii="Arial" w:cs="Arial" w:eastAsia="Arial" w:hAnsi="Arial"/>
          <w:b/>
          <w:bCs/>
          <w:color w:val="8B3A1E"/>
          <w:sz w:val="18"/>
          <w:szCs w:val="18"/>
        </w:rPr>
        <w:t xml:space="preserve">[9]  </w:t>
      </w:r>
      <w:r>
        <w:rPr>
          <w:rFonts w:ascii="Times New Roman" w:cs="Times New Roman" w:eastAsia="Times New Roman" w:hAnsi="Times New Roman"/>
          <w:color w:val="1A1714"/>
          <w:sz w:val="18"/>
          <w:szCs w:val="18"/>
        </w:rPr>
        <w:t xml:space="preserve">Bleecker, A.B., &amp; Patterson, S.E. (1997). Last Exit: Senescence, Abscission, and Meristem Arrest in Arabidopsis. The Plant Cell, 9(7), 1169–1179. See also: EBSCO Research Starters: Leaf Abscission (Campbell &amp; Reece, Biology, 6th ed., 2002).</w:t>
      </w:r>
    </w:p>
    <w:p>
      <w:pPr>
        <w:spacing w:after="100"/>
        <w:ind w:left="400" w:hanging="400"/>
      </w:pPr>
      <w:r>
        <w:rPr>
          <w:rFonts w:ascii="Arial" w:cs="Arial" w:eastAsia="Arial" w:hAnsi="Arial"/>
          <w:b/>
          <w:bCs/>
          <w:color w:val="8B3A1E"/>
          <w:sz w:val="18"/>
          <w:szCs w:val="18"/>
        </w:rPr>
        <w:t xml:space="preserve">[10]  </w:t>
      </w:r>
      <w:r>
        <w:rPr>
          <w:rFonts w:ascii="Times New Roman" w:cs="Times New Roman" w:eastAsia="Times New Roman" w:hAnsi="Times New Roman"/>
          <w:color w:val="1A1714"/>
          <w:sz w:val="18"/>
          <w:szCs w:val="18"/>
        </w:rPr>
        <w:t xml:space="preserve">Hashim, A.F. (2018). Plant Senescence and Organ Abscission. In Plant Hormones. ScienceDirect. doi:10.1016/B978-0-12-813187-9.00016-0</w:t>
      </w:r>
    </w:p>
    <w:p>
      <w:pPr>
        <w:spacing w:after="100"/>
        <w:ind w:left="400" w:hanging="400"/>
      </w:pPr>
      <w:r>
        <w:rPr>
          <w:rFonts w:ascii="Arial" w:cs="Arial" w:eastAsia="Arial" w:hAnsi="Arial"/>
          <w:b/>
          <w:bCs/>
          <w:color w:val="8B3A1E"/>
          <w:sz w:val="18"/>
          <w:szCs w:val="18"/>
        </w:rPr>
        <w:t xml:space="preserve">[11]  </w:t>
      </w:r>
      <w:r>
        <w:rPr>
          <w:rFonts w:ascii="Times New Roman" w:cs="Times New Roman" w:eastAsia="Times New Roman" w:hAnsi="Times New Roman"/>
          <w:color w:val="1A1714"/>
          <w:sz w:val="18"/>
          <w:szCs w:val="18"/>
        </w:rPr>
        <w:t xml:space="preserve">Watanabe, M., Balazadeh, S., Tohge, T., Erban, A., Kopka, J., Mueller-Roeber, B., Fernie, A.R., &amp; Hoefgen, R. (2013). Comprehensive Dissection of Spatiotemporal Metabolic Shifts. Plant Physiology, 162(3), 1290–1310. [PMC3707545]</w:t>
      </w:r>
    </w:p>
    <w:p>
      <w:pPr>
        <w:spacing w:after="100"/>
        <w:ind w:left="400" w:hanging="400"/>
      </w:pPr>
      <w:r>
        <w:rPr>
          <w:rFonts w:ascii="Arial" w:cs="Arial" w:eastAsia="Arial" w:hAnsi="Arial"/>
          <w:b/>
          <w:bCs/>
          <w:color w:val="8B3A1E"/>
          <w:sz w:val="18"/>
          <w:szCs w:val="18"/>
        </w:rPr>
        <w:t xml:space="preserve">[12]  </w:t>
      </w:r>
      <w:r>
        <w:rPr>
          <w:rFonts w:ascii="Times New Roman" w:cs="Times New Roman" w:eastAsia="Times New Roman" w:hAnsi="Times New Roman"/>
          <w:color w:val="1A1714"/>
          <w:sz w:val="18"/>
          <w:szCs w:val="18"/>
        </w:rPr>
        <w:t xml:space="preserve">Henry, A. (2014). A World of Similarity: The Doctrine of Signatures and its Application in Medicinal Plant Identification. ResearchGate preprint. Citing Culpeper, N. (1652). The English Physitian.</w:t>
      </w:r>
    </w:p>
    <w:p>
      <w:pPr>
        <w:spacing w:after="100"/>
        <w:ind w:left="400" w:hanging="400"/>
      </w:pPr>
      <w:r>
        <w:rPr>
          <w:rFonts w:ascii="Arial" w:cs="Arial" w:eastAsia="Arial" w:hAnsi="Arial"/>
          <w:b/>
          <w:bCs/>
          <w:color w:val="8B3A1E"/>
          <w:sz w:val="18"/>
          <w:szCs w:val="18"/>
        </w:rPr>
        <w:t xml:space="preserve">[13]  </w:t>
      </w:r>
      <w:r>
        <w:rPr>
          <w:rFonts w:ascii="Times New Roman" w:cs="Times New Roman" w:eastAsia="Times New Roman" w:hAnsi="Times New Roman"/>
          <w:color w:val="1A1714"/>
          <w:sz w:val="18"/>
          <w:szCs w:val="18"/>
        </w:rPr>
        <w:t xml:space="preserve">Bennett, B.C. (2007). Doctrine of Signatures: An Explanation of Medicinal Plant Discovery or Dissemination of Knowledge? Economic Botany, 61(3), 246–255. doi:10.1663/0013-0001(2007)61[246:DOSAEO]2.0.CO;2</w:t>
      </w:r>
    </w:p>
    <w:p>
      <w:pPr>
        <w:spacing w:after="100"/>
        <w:ind w:left="400" w:hanging="400"/>
      </w:pPr>
      <w:r>
        <w:rPr>
          <w:rFonts w:ascii="Arial" w:cs="Arial" w:eastAsia="Arial" w:hAnsi="Arial"/>
          <w:b/>
          <w:bCs/>
          <w:color w:val="8B3A1E"/>
          <w:sz w:val="18"/>
          <w:szCs w:val="18"/>
        </w:rPr>
        <w:t xml:space="preserve">[14]  </w:t>
      </w:r>
      <w:r>
        <w:rPr>
          <w:rFonts w:ascii="Times New Roman" w:cs="Times New Roman" w:eastAsia="Times New Roman" w:hAnsi="Times New Roman"/>
          <w:color w:val="1A1714"/>
          <w:sz w:val="18"/>
          <w:szCs w:val="18"/>
        </w:rPr>
        <w:t xml:space="preserve">Roig-Casanova, I., et al. (2023). Effect of walnut consumption on neuropsychological development in healthy adolescents: a multi-school randomised controlled trial. eClinicalMedicine (The Lancet), 59, 101954. doi:10.1016/j.eclinm.2023.101954 [PMC10121389]</w:t>
      </w:r>
    </w:p>
    <w:p>
      <w:pPr>
        <w:spacing w:after="100"/>
        <w:ind w:left="400" w:hanging="400"/>
      </w:pPr>
      <w:r>
        <w:rPr>
          <w:rFonts w:ascii="Arial" w:cs="Arial" w:eastAsia="Arial" w:hAnsi="Arial"/>
          <w:b/>
          <w:bCs/>
          <w:color w:val="8B3A1E"/>
          <w:sz w:val="18"/>
          <w:szCs w:val="18"/>
        </w:rPr>
        <w:t xml:space="preserve">[15]  </w:t>
      </w:r>
      <w:r>
        <w:rPr>
          <w:rFonts w:ascii="Times New Roman" w:cs="Times New Roman" w:eastAsia="Times New Roman" w:hAnsi="Times New Roman"/>
          <w:color w:val="1A1714"/>
          <w:sz w:val="18"/>
          <w:szCs w:val="18"/>
        </w:rPr>
        <w:t xml:space="preserve">Poulose, S.M., Miller, M.G., Patterson, T., &amp; Shukitt-Hale, B. (2020). Beneficial Effects of Walnuts on Cognition and Brain Health. Nutrients, 12(2), 550. doi:10.3390/nu12020550 [PMC7071526]</w:t>
      </w:r>
    </w:p>
    <w:p>
      <w:pPr>
        <w:spacing w:after="100"/>
        <w:ind w:left="400" w:hanging="400"/>
      </w:pPr>
      <w:r>
        <w:rPr>
          <w:rFonts w:ascii="Arial" w:cs="Arial" w:eastAsia="Arial" w:hAnsi="Arial"/>
          <w:b/>
          <w:bCs/>
          <w:color w:val="8B3A1E"/>
          <w:sz w:val="18"/>
          <w:szCs w:val="18"/>
        </w:rPr>
        <w:t xml:space="preserve">[16]  </w:t>
      </w:r>
      <w:r>
        <w:rPr>
          <w:rFonts w:ascii="Times New Roman" w:cs="Times New Roman" w:eastAsia="Times New Roman" w:hAnsi="Times New Roman"/>
          <w:color w:val="1A1714"/>
          <w:sz w:val="18"/>
          <w:szCs w:val="18"/>
        </w:rPr>
        <w:t xml:space="preserve">Lev, E., &amp; Amar, Z. (2002). The Doctrine of Signatures in Present-Day Israel. Economic Botany, 56(4), 328–334. Updated in Lev, E., Levy, D., &amp; Chipman, L. (2021). BMC Proceedings. [PMC8309186]</w:t>
      </w:r>
    </w:p>
    <w:p>
      <w:pPr>
        <w:spacing w:after="100"/>
        <w:ind w:left="400" w:hanging="400"/>
      </w:pPr>
      <w:r>
        <w:rPr>
          <w:rFonts w:ascii="Arial" w:cs="Arial" w:eastAsia="Arial" w:hAnsi="Arial"/>
          <w:b/>
          <w:bCs/>
          <w:color w:val="8B3A1E"/>
          <w:sz w:val="18"/>
          <w:szCs w:val="18"/>
        </w:rPr>
        <w:t xml:space="preserve">[17]  </w:t>
      </w:r>
      <w:r>
        <w:rPr>
          <w:rFonts w:ascii="Times New Roman" w:cs="Times New Roman" w:eastAsia="Times New Roman" w:hAnsi="Times New Roman"/>
          <w:color w:val="1A1714"/>
          <w:sz w:val="18"/>
          <w:szCs w:val="18"/>
        </w:rPr>
        <w:t xml:space="preserve">Iwu, M.M. (2014). Handbook of African Medicinal Plants (2nd ed.). CRC Press. See also: Adefegha, S.A., &amp; Oboh, G. (2012). In vitro inhibition activity of polyphenol-rich extracts from Garcinia kola seed. Journal of Food Biochemistry, 36(4), 452–461.</w:t>
      </w:r>
    </w:p>
    <w:p>
      <w:pPr>
        <w:spacing w:after="280"/>
      </w:pPr>
      <w:r>
        <w:t xml:space="preserve"/>
      </w:r>
    </w:p>
    <w:p>
      <w:pPr>
        <w:pBdr>
          <w:top w:val="single" w:color="CCCCCC" w:sz="4" w:space="8"/>
        </w:pBdr>
        <w:spacing w:after="80" w:before="200"/>
      </w:pPr>
      <w:r>
        <w:rPr>
          <w:rFonts w:ascii="Arial" w:cs="Arial" w:eastAsia="Arial" w:hAnsi="Arial"/>
          <w:b/>
          <w:bCs/>
          <w:caps/>
          <w:color w:val="8B3A1E"/>
          <w:sz w:val="18"/>
          <w:szCs w:val="18"/>
        </w:rPr>
        <w:t xml:space="preserve">AUTHOR NOTE</w:t>
      </w:r>
    </w:p>
    <w:p>
      <w:pPr>
        <w:spacing w:after="60"/>
      </w:pPr>
      <w:r>
        <w:rPr>
          <w:rFonts w:ascii="Times New Roman" w:cs="Times New Roman" w:eastAsia="Times New Roman" w:hAnsi="Times New Roman"/>
          <w:b/>
          <w:bCs/>
          <w:color w:val="1A1714"/>
          <w:sz w:val="20"/>
          <w:szCs w:val="20"/>
        </w:rPr>
        <w:t xml:space="preserve">Toluhi Stephen</w:t>
      </w:r>
      <w:r>
        <w:rPr>
          <w:rFonts w:ascii="Times New Roman" w:cs="Times New Roman" w:eastAsia="Times New Roman" w:hAnsi="Times New Roman"/>
          <w:color w:val="5C4A3A"/>
          <w:sz w:val="20"/>
          <w:szCs w:val="20"/>
        </w:rPr>
        <w:t xml:space="preserve">  ·  B.Sc. Biochemistry  ·  Independent Scholar, African Biochemistry &amp; Ethnopharmacology</w:t>
      </w:r>
    </w:p>
    <w:p>
      <w:pPr>
        <w:spacing w:after="60"/>
      </w:pPr>
      <w:r>
        <w:rPr>
          <w:rFonts w:ascii="Times New Roman" w:cs="Times New Roman" w:eastAsia="Times New Roman" w:hAnsi="Times New Roman"/>
          <w:i/>
          <w:iCs/>
          <w:color w:val="8B3A1E"/>
          <w:sz w:val="20"/>
          <w:szCs w:val="20"/>
        </w:rPr>
        <w:t xml:space="preserve">"I don't think therefore I am not. Or I am, therefore I think."</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spacing w:before="60"/>
      <w:jc w:val="right"/>
    </w:pPr>
    <w:r>
      <w:rPr>
        <w:rFonts w:ascii="Arial" w:cs="Arial" w:eastAsia="Arial" w:hAnsi="Arial"/>
        <w:color w:val="AAAAAA"/>
        <w:sz w:val="18"/>
        <w:szCs w:val="18"/>
      </w:rPr>
      <w:t xml:space="preserve">Page </w:t>
    </w:r>
    <w:r>
      <w:rPr>
        <w:rFonts w:ascii="Arial" w:cs="Arial" w:eastAsia="Arial" w:hAnsi="Arial"/>
        <w:color w:val="AAAAA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spacing w:after="80"/>
    </w:pPr>
    <w:r>
      <w:rPr>
        <w:rFonts w:ascii="Arial" w:cs="Arial" w:eastAsia="Arial" w:hAnsi="Arial"/>
        <w:color w:val="888888"/>
        <w:sz w:val="18"/>
        <w:szCs w:val="18"/>
      </w:rPr>
      <w:t xml:space="preserve">Toluhi Stephen, B.Sc. Biochemistry</w:t>
    </w:r>
    <w:r>
      <w:rPr>
        <w:rFonts w:ascii="Arial" w:cs="Arial" w:eastAsia="Arial" w:hAnsi="Arial"/>
        <w:color w:val="AAAAAA"/>
        <w:sz w:val="18"/>
        <w:szCs w:val="18"/>
      </w:rPr>
      <w:t xml:space="preserve">     |     Decoding the Laboratory of the Forest     |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8B3A1E"/>
      <w:sz w:val="28"/>
      <w:szCs w:val="28"/>
    </w:rPr>
  </w:style>
  <w:style w:type="paragraph" w:styleId="Heading2">
    <w:name w:val="Heading 2"/>
    <w:basedOn w:val="Normal"/>
    <w:next w:val="Normal"/>
    <w:qFormat/>
    <w:pPr>
      <w:spacing w:after="120" w:before="280"/>
      <w:outlineLvl w:val="1"/>
    </w:pPr>
    <w:rPr>
      <w:rFonts w:ascii="Times New Roman" w:cs="Times New Roman" w:eastAsia="Times New Roman" w:hAnsi="Times New Roman"/>
      <w:b/>
      <w:bCs/>
      <w:i/>
      <w:iCs/>
      <w:color w:val="1A171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2026-04-24T04:49:31.871Z</dcterms:created>
  <dcterms:modified xsi:type="dcterms:W3CDTF">2026-04-24T04:49:31.872Z</dcterms:modified>
</cp:coreProperties>
</file>

<file path=docProps/custom.xml><?xml version="1.0" encoding="utf-8"?>
<Properties xmlns="http://schemas.openxmlformats.org/officeDocument/2006/custom-properties" xmlns:vt="http://schemas.openxmlformats.org/officeDocument/2006/docPropsVTypes"/>
</file>