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1"/>
        <w:spacing w:lineRule="auto" w:line="480"/>
        <w:jc w:val="both"/>
        <w:rPr/>
      </w:pPr>
      <w:r>
        <w:t>Neuro-Metabolic Disparity Model (NMDM): A Theoretical Framework for Understanding Cognitive Decline in Underrepresented Populations</w:t>
      </w:r>
    </w:p>
    <w:p>
      <w:pPr>
        <w:pStyle w:val="style0"/>
        <w:spacing w:lineRule="auto" w:line="480"/>
        <w:jc w:val="both"/>
        <w:rPr/>
      </w:pPr>
      <w:r>
        <w:rPr>
          <w:b/>
        </w:rPr>
        <w:t>Suliyat Abiodun Aremu</w:t>
      </w:r>
    </w:p>
    <w:p>
      <w:pPr>
        <w:pStyle w:val="style0"/>
        <w:spacing w:lineRule="auto" w:line="480"/>
        <w:jc w:val="both"/>
        <w:rPr/>
      </w:pPr>
      <w:r>
        <w:t>Department of Physiology, Ladoke Akintola University of Technology, Ogbomoso, Nigeria</w:t>
      </w:r>
    </w:p>
    <w:p>
      <w:pPr>
        <w:pStyle w:val="style0"/>
        <w:spacing w:lineRule="auto" w:line="480"/>
        <w:jc w:val="both"/>
        <w:rPr/>
      </w:pPr>
      <w:r>
        <w:t>Correspondence: suliyatabiodun@gmail.com</w:t>
      </w:r>
    </w:p>
    <w:p>
      <w:pPr>
        <w:pStyle w:val="style2"/>
        <w:spacing w:lineRule="auto" w:line="480"/>
        <w:jc w:val="both"/>
        <w:rPr/>
      </w:pPr>
      <w:r>
        <w:t>Abstract</w:t>
      </w:r>
    </w:p>
    <w:p>
      <w:pPr>
        <w:pStyle w:val="style0"/>
        <w:spacing w:lineRule="auto" w:line="480"/>
        <w:jc w:val="both"/>
        <w:rPr/>
      </w:pPr>
      <w:r>
        <w:t>Global disparities in brain and mental health are not solely a consequence of genetic or neurobiological factors. Instead, they reflect the cumulative effects of metabolic dysfunction, chronic psychosocial stress, environmental exposures, and systemic inequities that disproportionately affect underrepresented populations. This theoretical paper introduces the Neuro-Metabolic Disparity Model (NMDM), an integrative framework that situates cognitive decline at the intersection of biological and social adversity. Drawing from syndemic theory, population neuroscience, and the exposome framework, the NMDM emphasizes the synergistic effects of metabolic disorders and structural disadvantage on brain aging. The model outlines four core components</w:t>
      </w:r>
      <w:r>
        <w:rPr>
          <w:lang w:val="en-US"/>
        </w:rPr>
        <w:t>, e</w:t>
      </w:r>
      <w:r>
        <w:t xml:space="preserve">mbodied biological factors, embedded social determinants, neurocognitive vulnerability pathways, and population-level context—and proposes neuroinflammation, oxidative stress, and blood-brain barrier disruption as key mediators. Cultural resilience and social support are considered potential buffers. This framework provides a foundation for more </w:t>
      </w:r>
      <w:r>
        <w:t>inclusive and equity-focused neuroscience research, with implications for global brain health policy and practice.</w:t>
      </w:r>
    </w:p>
    <w:p>
      <w:pPr>
        <w:pStyle w:val="style0"/>
        <w:spacing w:lineRule="auto" w:line="480"/>
        <w:jc w:val="both"/>
        <w:rPr/>
      </w:pPr>
      <w:r>
        <w:t>Keywords: brain health, mental health, disparity, cognitive decline, population neuroscience, syndemics, exposome, metabolic dysfunction</w:t>
      </w:r>
    </w:p>
    <w:p>
      <w:pPr>
        <w:pStyle w:val="style2"/>
        <w:spacing w:lineRule="auto" w:line="480"/>
        <w:jc w:val="both"/>
        <w:rPr/>
      </w:pPr>
      <w:r>
        <w:t>1. Introduction</w:t>
      </w:r>
    </w:p>
    <w:p>
      <w:pPr>
        <w:pStyle w:val="style0"/>
        <w:spacing w:lineRule="auto" w:line="480"/>
        <w:jc w:val="both"/>
        <w:rPr>
          <w:rFonts w:cs="Times New Roman"/>
          <w:szCs w:val="24"/>
        </w:rPr>
      </w:pPr>
      <w:r>
        <w:rPr>
          <w:rFonts w:cs="Times New Roman"/>
          <w:szCs w:val="24"/>
        </w:rPr>
        <w:t>Neurocognitive disorders such as Alzheimer’s disease, vascular dementia, and depression represent a growing global health burden. Yet, the burden is not distributed equally. Underrepresented populations</w:t>
      </w:r>
      <w:r>
        <w:rPr>
          <w:rFonts w:cs="Times New Roman"/>
          <w:szCs w:val="24"/>
        </w:rPr>
        <w:t xml:space="preserve">, </w:t>
      </w:r>
      <w:r>
        <w:rPr>
          <w:rFonts w:cs="Times New Roman"/>
          <w:szCs w:val="24"/>
        </w:rPr>
        <w:t>particularly those in low- and middle-income countries (LMICs)</w:t>
      </w:r>
      <w:r>
        <w:rPr>
          <w:rFonts w:cs="Times New Roman"/>
          <w:szCs w:val="24"/>
        </w:rPr>
        <w:t xml:space="preserve">, </w:t>
      </w:r>
      <w:r>
        <w:rPr>
          <w:rFonts w:cs="Times New Roman"/>
          <w:szCs w:val="24"/>
        </w:rPr>
        <w:t>bear a disproportionate share of brain and mental health challenges, while remaining significantly underrepresented in neuroscience research. Most brain health models are derived from homogeneous, high-income populations, limiting their generalizability and reinforcing existing disparities (Harris et al., 2020).</w:t>
      </w:r>
    </w:p>
    <w:p>
      <w:pPr>
        <w:pStyle w:val="style0"/>
        <w:spacing w:lineRule="auto" w:line="480"/>
        <w:jc w:val="both"/>
        <w:rPr>
          <w:rFonts w:cs="Times New Roman"/>
          <w:szCs w:val="24"/>
        </w:rPr>
      </w:pPr>
      <w:r>
        <w:rPr>
          <w:rFonts w:cs="Times New Roman"/>
          <w:szCs w:val="24"/>
        </w:rPr>
        <w:t>Although advances in neurobiology and imaging have shed light on molecular mechanisms of cognitive decline, prevailing models often prioritize internal biological factors while overlooking the complex interplay of social, environmental, and metabolic forces. As a result, many current approaches remain reductionist and insufficiently equipped to explain cognitive aging in diverse global contexts.</w:t>
      </w:r>
    </w:p>
    <w:p>
      <w:pPr>
        <w:pStyle w:val="style0"/>
        <w:spacing w:lineRule="auto" w:line="480"/>
        <w:jc w:val="both"/>
        <w:rPr>
          <w:rFonts w:cs="Times New Roman"/>
          <w:szCs w:val="24"/>
        </w:rPr>
      </w:pPr>
      <w:r>
        <w:rPr>
          <w:rFonts w:cs="Times New Roman"/>
          <w:szCs w:val="24"/>
        </w:rPr>
        <w:t>To address this gap, we propose the Neuro-Metabolic Disparity Model (NMDM)</w:t>
      </w:r>
      <w:r>
        <w:rPr>
          <w:rFonts w:cs="Times New Roman"/>
          <w:szCs w:val="24"/>
          <w:lang w:val="en-US"/>
        </w:rPr>
        <w:t xml:space="preserve">, </w:t>
      </w:r>
      <w:r>
        <w:rPr>
          <w:rFonts w:cs="Times New Roman"/>
          <w:szCs w:val="24"/>
        </w:rPr>
        <w:t>a novel theoretical framework that conceptualizes cognitive decline as the product of interacting biological and sociocultural risk domains. Rather than treating disparity as a confounder, the NMDM positions social and metabolic inequities as central mechanisms in brain aging.</w:t>
      </w:r>
    </w:p>
    <w:p>
      <w:pPr>
        <w:pStyle w:val="style0"/>
        <w:spacing w:lineRule="auto" w:line="480"/>
        <w:jc w:val="both"/>
        <w:rPr>
          <w:rFonts w:cs="Times New Roman"/>
          <w:szCs w:val="24"/>
        </w:rPr>
      </w:pPr>
      <w:r>
        <w:rPr>
          <w:rFonts w:cs="Times New Roman"/>
          <w:szCs w:val="24"/>
        </w:rPr>
        <w:t>Drawing from syndemic theory, population neuroscience, and the exposome framework, the NMDM integrates embodied biological processes (e.g., insulin resistance, systemic inflammation) with embedded social determinants (e.g., structural violence, socioeconomic stress, environmental exposures). In doing so, it encourages a shift from disease-centered to disparity-centered models of brain health. The following section outlines the theoretical foundations that shape the NMDM.</w:t>
      </w:r>
    </w:p>
    <w:p>
      <w:pPr>
        <w:pStyle w:val="style2"/>
        <w:spacing w:lineRule="auto" w:line="480"/>
        <w:jc w:val="both"/>
        <w:rPr/>
      </w:pPr>
      <w:r>
        <w:t>2. Theoretical Foundations of the NMDM</w:t>
      </w:r>
    </w:p>
    <w:p>
      <w:pPr>
        <w:pStyle w:val="style0"/>
        <w:spacing w:lineRule="auto" w:line="480"/>
        <w:jc w:val="both"/>
        <w:rPr>
          <w:rFonts w:cs="Times New Roman"/>
          <w:szCs w:val="24"/>
        </w:rPr>
      </w:pPr>
      <w:r>
        <w:rPr>
          <w:rFonts w:cs="Times New Roman"/>
          <w:szCs w:val="24"/>
        </w:rPr>
        <w:t>Understanding cognitive decline in underrepresented populations requires a framework that accounts for multiple, interacting domains of influence. The NMDM is grounded in three intersecting theories that together provide a foundation for this integrated perspective: syndemic theory, population neuroscience, and the exposome framework.</w:t>
      </w:r>
    </w:p>
    <w:p>
      <w:pPr>
        <w:pStyle w:val="style0"/>
        <w:spacing w:lineRule="auto" w:line="480"/>
        <w:jc w:val="both"/>
        <w:rPr>
          <w:rFonts w:cs="Times New Roman"/>
          <w:b/>
          <w:bCs/>
          <w:szCs w:val="24"/>
        </w:rPr>
      </w:pPr>
      <w:r>
        <w:rPr>
          <w:rFonts w:cs="Times New Roman"/>
          <w:b/>
          <w:bCs/>
          <w:szCs w:val="24"/>
        </w:rPr>
        <w:t>2.1 Syndemic Theory</w:t>
      </w:r>
    </w:p>
    <w:p>
      <w:pPr>
        <w:pStyle w:val="style0"/>
        <w:spacing w:lineRule="auto" w:line="480"/>
        <w:jc w:val="both"/>
        <w:rPr>
          <w:rFonts w:cs="Times New Roman"/>
          <w:szCs w:val="24"/>
        </w:rPr>
      </w:pPr>
      <w:r>
        <w:rPr>
          <w:rFonts w:cs="Times New Roman"/>
          <w:szCs w:val="24"/>
        </w:rPr>
        <w:t>Syndemic theory, introduced by Merrill Singer, emphasizes that health outcomes are shaped by the interaction of co-occurring conditions within contexts of social disadvantage. Unlike additive models, syndemic theory posits that these interactions are synergistic</w:t>
      </w:r>
      <w:r>
        <w:rPr>
          <w:rFonts w:cs="Times New Roman"/>
          <w:szCs w:val="24"/>
        </w:rPr>
        <w:t xml:space="preserve">, </w:t>
      </w:r>
      <w:r>
        <w:rPr>
          <w:rFonts w:cs="Times New Roman"/>
          <w:szCs w:val="24"/>
        </w:rPr>
        <w:t>that is, the whole is worse than the sum of its parts (Singer et al., 2017). In the case of cognitive decline, metabolic disorders (e.g., diabetes, obesity) and psychosocial stress (e.g., poverty, discrimination) interact biologically to accelerate neurodegeneration. This perspective repositions chronic disease and social inequality as mutually reinforcing epidemics</w:t>
      </w:r>
      <w:r>
        <w:rPr>
          <w:rFonts w:cs="Times New Roman"/>
          <w:szCs w:val="24"/>
        </w:rPr>
        <w:t xml:space="preserve">, </w:t>
      </w:r>
      <w:r>
        <w:rPr>
          <w:rFonts w:cs="Times New Roman"/>
          <w:szCs w:val="24"/>
        </w:rPr>
        <w:t>particularly relevant in under-resourced populations.</w:t>
      </w:r>
    </w:p>
    <w:p>
      <w:pPr>
        <w:pStyle w:val="style0"/>
        <w:spacing w:lineRule="auto" w:line="480"/>
        <w:jc w:val="both"/>
        <w:rPr>
          <w:rFonts w:cs="Times New Roman"/>
          <w:b/>
          <w:bCs/>
          <w:szCs w:val="24"/>
        </w:rPr>
      </w:pPr>
      <w:r>
        <w:rPr>
          <w:rFonts w:cs="Times New Roman"/>
          <w:b/>
          <w:bCs/>
          <w:szCs w:val="24"/>
        </w:rPr>
        <w:t>2.2 Population Neuroscience</w:t>
      </w:r>
    </w:p>
    <w:p>
      <w:pPr>
        <w:pStyle w:val="style0"/>
        <w:spacing w:lineRule="auto" w:line="480"/>
        <w:jc w:val="both"/>
        <w:rPr>
          <w:rFonts w:cs="Times New Roman"/>
          <w:szCs w:val="24"/>
        </w:rPr>
      </w:pPr>
      <w:r>
        <w:rPr>
          <w:rFonts w:cs="Times New Roman"/>
          <w:szCs w:val="24"/>
        </w:rPr>
        <w:t>Population neuroscience aims to connect individual-level brain mechanisms with population-level exposures and structural determinants. It integrates neuroimaging and biomarker data with epidemiological variables such as socioeconomic status, education, and neighborhood disadvantage (Paus, 2010). By situating the brain within its broader social ecology, this approach provides a scalable platform for examining how lived experience gets "under the skin" to influence neural aging. The NMDM builds on this perspective by emphasizing the value of diverse datasets and culturally embedded risk factors that traditional neuroscience often omits.</w:t>
      </w:r>
    </w:p>
    <w:p>
      <w:pPr>
        <w:pStyle w:val="style0"/>
        <w:spacing w:lineRule="auto" w:line="480"/>
        <w:jc w:val="both"/>
        <w:rPr>
          <w:rFonts w:cs="Times New Roman"/>
          <w:b/>
          <w:bCs/>
          <w:szCs w:val="24"/>
        </w:rPr>
      </w:pPr>
      <w:r>
        <w:rPr>
          <w:rFonts w:cs="Times New Roman"/>
          <w:b/>
          <w:bCs/>
          <w:szCs w:val="24"/>
        </w:rPr>
        <w:t>2.3 Exposome Framework</w:t>
      </w:r>
    </w:p>
    <w:p>
      <w:pPr>
        <w:pStyle w:val="style0"/>
        <w:spacing w:lineRule="auto" w:line="480"/>
        <w:jc w:val="both"/>
        <w:rPr>
          <w:rFonts w:cs="Times New Roman"/>
          <w:szCs w:val="24"/>
        </w:rPr>
      </w:pPr>
      <w:r>
        <w:rPr>
          <w:rFonts w:cs="Times New Roman"/>
          <w:szCs w:val="24"/>
        </w:rPr>
        <w:t>The exposome encompasses the totality of environmental exposures an individual faces throughout life, beginning in utero and continuing into late adulthood (Wild, 2012). This includes chemical, physical, social, nutritional, and behavioral exposures</w:t>
      </w:r>
      <w:r>
        <w:rPr>
          <w:rFonts w:cs="Times New Roman"/>
          <w:szCs w:val="24"/>
        </w:rPr>
        <w:t xml:space="preserve">, </w:t>
      </w:r>
      <w:r>
        <w:rPr>
          <w:rFonts w:cs="Times New Roman"/>
          <w:szCs w:val="24"/>
        </w:rPr>
        <w:t>many of which disproportionately affect marginalized communities. Importantly, the exposome highlights the cumulative and dynamic nature of risk, helping to bridge early-life adversity with later-life cognitive impairment. The NMDM adopts this life-course lens to better capture the timing, intensity, and interaction of exposures across biological and social domains.</w:t>
      </w:r>
    </w:p>
    <w:p>
      <w:pPr>
        <w:pStyle w:val="style0"/>
        <w:spacing w:lineRule="auto" w:line="480"/>
        <w:jc w:val="both"/>
        <w:rPr>
          <w:rFonts w:cs="Times New Roman"/>
          <w:b/>
          <w:bCs/>
          <w:szCs w:val="24"/>
        </w:rPr>
      </w:pPr>
      <w:r>
        <w:rPr>
          <w:rFonts w:cs="Times New Roman"/>
          <w:b/>
          <w:bCs/>
          <w:szCs w:val="24"/>
        </w:rPr>
        <w:t>2.4 Toward an Integrated Framework</w:t>
      </w:r>
    </w:p>
    <w:p>
      <w:pPr>
        <w:pStyle w:val="style0"/>
        <w:spacing w:lineRule="auto" w:line="480"/>
        <w:jc w:val="both"/>
        <w:rPr>
          <w:rFonts w:cs="Times New Roman"/>
          <w:szCs w:val="24"/>
        </w:rPr>
      </w:pPr>
      <w:r>
        <w:rPr>
          <w:rFonts w:cs="Times New Roman"/>
          <w:szCs w:val="24"/>
        </w:rPr>
        <w:t xml:space="preserve">Individually, each of these frameworks offers critical insights. Syndemic theory highlights interaction and inequality. Population neuroscience emphasizes scale and inclusion. The exposome provides a mechanism for life-course accumulation. The NMDM integrates these strands into a unified model of brain health disparities. Rather </w:t>
      </w:r>
      <w:r>
        <w:rPr>
          <w:rFonts w:cs="Times New Roman"/>
          <w:szCs w:val="24"/>
        </w:rPr>
        <w:t>than treating biological and social variables as separate categories, it examines how they converge</w:t>
      </w:r>
      <w:r>
        <w:rPr>
          <w:rFonts w:cs="Times New Roman"/>
          <w:szCs w:val="24"/>
        </w:rPr>
        <w:t xml:space="preserve">, </w:t>
      </w:r>
      <w:r>
        <w:rPr>
          <w:rFonts w:cs="Times New Roman"/>
          <w:szCs w:val="24"/>
        </w:rPr>
        <w:t>physiologically, socially, and structurally</w:t>
      </w:r>
      <w:r>
        <w:rPr>
          <w:rFonts w:cs="Times New Roman"/>
          <w:szCs w:val="24"/>
        </w:rPr>
        <w:t xml:space="preserve">, </w:t>
      </w:r>
      <w:r>
        <w:rPr>
          <w:rFonts w:cs="Times New Roman"/>
          <w:szCs w:val="24"/>
        </w:rPr>
        <w:t>to shape brain aging across populations.</w:t>
      </w:r>
    </w:p>
    <w:p>
      <w:pPr>
        <w:pStyle w:val="style2"/>
        <w:spacing w:lineRule="auto" w:line="480"/>
        <w:jc w:val="both"/>
        <w:rPr/>
      </w:pPr>
      <w:r>
        <w:t>3. Mechanistic Pathways in the NMDM</w:t>
      </w:r>
    </w:p>
    <w:p>
      <w:pPr>
        <w:pStyle w:val="style0"/>
        <w:spacing w:lineRule="auto" w:line="480"/>
        <w:jc w:val="both"/>
        <w:rPr>
          <w:rFonts w:cs="Times New Roman"/>
          <w:szCs w:val="24"/>
        </w:rPr>
      </w:pPr>
      <w:r>
        <w:rPr>
          <w:rFonts w:cs="Times New Roman"/>
          <w:szCs w:val="24"/>
        </w:rPr>
        <w:t>The NMDM proposes that cognitive decline in underrepresented populations arises from the convergence of metabolic dysregulation, chronic psychosocial stress, environmental exposures, and structural inequities. These domains are not merely additive</w:t>
      </w:r>
      <w:r>
        <w:rPr>
          <w:rFonts w:cs="Times New Roman"/>
          <w:szCs w:val="24"/>
          <w:lang w:val="en-US"/>
        </w:rPr>
        <w:t xml:space="preserve">, </w:t>
      </w:r>
      <w:r>
        <w:rPr>
          <w:rFonts w:cs="Times New Roman"/>
          <w:szCs w:val="24"/>
        </w:rPr>
        <w:t>they interact biologically to initiate and accelerate neurodegenerative processes. Below, we outline the key mechanistic pathways through which this syndemic burden translates into brain vulnerability.</w:t>
      </w:r>
    </w:p>
    <w:p>
      <w:pPr>
        <w:pStyle w:val="style0"/>
        <w:spacing w:lineRule="auto" w:line="480"/>
        <w:jc w:val="both"/>
        <w:rPr>
          <w:rFonts w:cs="Times New Roman"/>
          <w:b/>
          <w:bCs/>
          <w:szCs w:val="24"/>
        </w:rPr>
      </w:pPr>
      <w:r>
        <w:rPr>
          <w:rFonts w:cs="Times New Roman"/>
          <w:b/>
          <w:bCs/>
          <w:szCs w:val="24"/>
        </w:rPr>
        <w:t>3.1 Neuroinflammation and Oxidative Stress</w:t>
      </w:r>
    </w:p>
    <w:p>
      <w:pPr>
        <w:pStyle w:val="style0"/>
        <w:spacing w:lineRule="auto" w:line="480"/>
        <w:jc w:val="both"/>
        <w:rPr>
          <w:rFonts w:cs="Times New Roman"/>
          <w:szCs w:val="24"/>
        </w:rPr>
      </w:pPr>
      <w:r>
        <w:rPr>
          <w:rFonts w:cs="Times New Roman"/>
          <w:szCs w:val="24"/>
        </w:rPr>
        <w:t>Metabolic disorders such as diabetes, obesity, and hypertension are characterized by chronic low-grade inflammation. Elevated pro-inflammatory cytokines (e.g., IL-6, TNF-α) cross the blood-brain barrier (BBB) and disrupt neuronal signaling and synaptic plasticity. Simultaneously, oxidative stress</w:t>
      </w:r>
      <w:r>
        <w:rPr>
          <w:rFonts w:cs="Times New Roman"/>
          <w:szCs w:val="24"/>
          <w:lang w:val="en-US"/>
        </w:rPr>
        <w:t xml:space="preserve">, </w:t>
      </w:r>
      <w:r>
        <w:rPr>
          <w:rFonts w:cs="Times New Roman"/>
          <w:szCs w:val="24"/>
        </w:rPr>
        <w:t>resulting from an imbalance between free radicals and antioxidant defenses</w:t>
      </w:r>
      <w:r>
        <w:rPr>
          <w:rFonts w:cs="Times New Roman"/>
          <w:szCs w:val="24"/>
          <w:lang w:val="en-US"/>
        </w:rPr>
        <w:t xml:space="preserve">, </w:t>
      </w:r>
      <w:r>
        <w:rPr>
          <w:rFonts w:cs="Times New Roman"/>
          <w:szCs w:val="24"/>
        </w:rPr>
        <w:t>damages neuronal membranes, DNA, and mitochondrial function, especially in memory-critical regions like the hippocampus (De Felice &amp; Ferreira, 2014).</w:t>
      </w:r>
    </w:p>
    <w:p>
      <w:pPr>
        <w:pStyle w:val="style0"/>
        <w:spacing w:lineRule="auto" w:line="480"/>
        <w:jc w:val="both"/>
        <w:rPr>
          <w:rFonts w:cs="Times New Roman"/>
          <w:b/>
          <w:bCs/>
          <w:szCs w:val="24"/>
        </w:rPr>
      </w:pPr>
      <w:r>
        <w:rPr>
          <w:rFonts w:cs="Times New Roman"/>
          <w:b/>
          <w:bCs/>
          <w:szCs w:val="24"/>
        </w:rPr>
        <w:t>3.2 HPA Axis Dysregulation and Cortisol Toxicity</w:t>
      </w:r>
    </w:p>
    <w:p>
      <w:pPr>
        <w:pStyle w:val="style0"/>
        <w:spacing w:lineRule="auto" w:line="480"/>
        <w:jc w:val="both"/>
        <w:rPr>
          <w:rFonts w:cs="Times New Roman"/>
          <w:szCs w:val="24"/>
        </w:rPr>
      </w:pPr>
      <w:r>
        <w:rPr>
          <w:rFonts w:cs="Times New Roman"/>
          <w:szCs w:val="24"/>
        </w:rPr>
        <w:t>Chronic psychosocial stress—shaped by poverty, discrimination, trauma, and caregiver burden</w:t>
      </w:r>
      <w:r>
        <w:rPr>
          <w:rFonts w:cs="Times New Roman"/>
          <w:szCs w:val="24"/>
          <w:lang w:val="en-US"/>
        </w:rPr>
        <w:t xml:space="preserve">, </w:t>
      </w:r>
      <w:r>
        <w:rPr>
          <w:rFonts w:cs="Times New Roman"/>
          <w:szCs w:val="24"/>
        </w:rPr>
        <w:t xml:space="preserve">activates the hypothalamic-pituitary-adrenal (HPA) axis. Prolonged cortisol elevation contributes to hippocampal atrophy, impairs neurogenesis, and weakens </w:t>
      </w:r>
      <w:r>
        <w:rPr>
          <w:rFonts w:cs="Times New Roman"/>
          <w:szCs w:val="24"/>
        </w:rPr>
        <w:t>executive function mediated by the prefrontal cortex (McEwen &amp; Morrison, 2013). In underrepresented populations, exposure to persistent stressors over the life course may produce a cumulative allostatic load that directly impairs brain health.</w:t>
      </w:r>
    </w:p>
    <w:p>
      <w:pPr>
        <w:pStyle w:val="style0"/>
        <w:spacing w:lineRule="auto" w:line="480"/>
        <w:jc w:val="both"/>
        <w:rPr>
          <w:rFonts w:cs="Times New Roman"/>
          <w:b/>
          <w:bCs/>
          <w:szCs w:val="24"/>
        </w:rPr>
      </w:pPr>
      <w:r>
        <w:rPr>
          <w:rFonts w:cs="Times New Roman"/>
          <w:b/>
          <w:bCs/>
          <w:szCs w:val="24"/>
        </w:rPr>
        <w:t>3.3 Blood–Brain Barrier Breakdown</w:t>
      </w:r>
    </w:p>
    <w:p>
      <w:pPr>
        <w:pStyle w:val="style0"/>
        <w:spacing w:lineRule="auto" w:line="480"/>
        <w:jc w:val="both"/>
        <w:rPr>
          <w:rFonts w:cs="Times New Roman"/>
          <w:szCs w:val="24"/>
        </w:rPr>
      </w:pPr>
      <w:r>
        <w:rPr>
          <w:rFonts w:cs="Times New Roman"/>
          <w:szCs w:val="24"/>
        </w:rPr>
        <w:t>The BBB plays a critical role in maintaining neural homeostasis by regulating the transport of molecules into the central nervous system. Both metabolic dysfunction and chronic inflammation compromise BBB integrity, allowing peripheral toxins and immune cells to enter brain tissue (Zlokovic, 2008). This can initiate a cascade of neuroinflammatory responses that further accelerate neuronal damage and cognitive decline.</w:t>
      </w:r>
    </w:p>
    <w:p>
      <w:pPr>
        <w:pStyle w:val="style0"/>
        <w:spacing w:lineRule="auto" w:line="480"/>
        <w:jc w:val="both"/>
        <w:rPr>
          <w:rFonts w:cs="Times New Roman"/>
          <w:b/>
          <w:bCs/>
          <w:szCs w:val="24"/>
        </w:rPr>
      </w:pPr>
      <w:r>
        <w:rPr>
          <w:rFonts w:cs="Times New Roman"/>
          <w:b/>
          <w:bCs/>
          <w:szCs w:val="24"/>
        </w:rPr>
        <w:t>3.4 Vascular and Glucose Dysregulation</w:t>
      </w:r>
    </w:p>
    <w:p>
      <w:pPr>
        <w:pStyle w:val="style0"/>
        <w:spacing w:lineRule="auto" w:line="480"/>
        <w:jc w:val="both"/>
        <w:rPr>
          <w:rFonts w:cs="Times New Roman"/>
          <w:szCs w:val="24"/>
        </w:rPr>
      </w:pPr>
      <w:r>
        <w:rPr>
          <w:rFonts w:cs="Times New Roman"/>
          <w:szCs w:val="24"/>
        </w:rPr>
        <w:t>Impaired glucose metabolism in diabetes affects energy supply to the brain, particularly in regions with high metabolic demand. Vascular dysfunction—manifested through microvascular damage and reduced cerebral perfusion</w:t>
      </w:r>
      <w:r>
        <w:rPr>
          <w:rFonts w:cs="Times New Roman"/>
          <w:szCs w:val="24"/>
          <w:lang w:val="en-US"/>
        </w:rPr>
        <w:t xml:space="preserve">, </w:t>
      </w:r>
      <w:r>
        <w:rPr>
          <w:rFonts w:cs="Times New Roman"/>
          <w:szCs w:val="24"/>
        </w:rPr>
        <w:t>further contributes to white matter lesions and ischemic injury. These vascular and metabolic insults disproportionately impact older adults in LMICs and contribute to earlier and more severe forms of cognitive impairment (Biessels &amp; Whitmer, 2020).</w:t>
      </w:r>
    </w:p>
    <w:p>
      <w:pPr>
        <w:pStyle w:val="style0"/>
        <w:spacing w:lineRule="auto" w:line="480"/>
        <w:jc w:val="both"/>
        <w:rPr>
          <w:rFonts w:cs="Times New Roman"/>
          <w:b/>
          <w:bCs/>
          <w:szCs w:val="24"/>
        </w:rPr>
      </w:pPr>
      <w:r>
        <w:rPr>
          <w:rFonts w:cs="Times New Roman"/>
          <w:b/>
          <w:bCs/>
          <w:szCs w:val="24"/>
        </w:rPr>
        <w:t>3.5 Interaction of Biological and Social Pathways</w:t>
      </w:r>
    </w:p>
    <w:p>
      <w:pPr>
        <w:pStyle w:val="style0"/>
        <w:spacing w:lineRule="auto" w:line="480"/>
        <w:jc w:val="both"/>
        <w:rPr>
          <w:rFonts w:cs="Times New Roman"/>
          <w:szCs w:val="24"/>
        </w:rPr>
      </w:pPr>
      <w:r>
        <w:rPr>
          <w:rFonts w:cs="Times New Roman"/>
          <w:szCs w:val="24"/>
        </w:rPr>
        <w:t>The NMDM emphasizes that these biological processes are not isolated from social determinants</w:t>
      </w:r>
      <w:r>
        <w:rPr>
          <w:rFonts w:cs="Times New Roman"/>
          <w:szCs w:val="24"/>
          <w:lang w:val="en-US"/>
        </w:rPr>
        <w:t xml:space="preserve">, </w:t>
      </w:r>
      <w:r>
        <w:rPr>
          <w:rFonts w:cs="Times New Roman"/>
          <w:szCs w:val="24"/>
        </w:rPr>
        <w:t xml:space="preserve">they are directly shaped by them. For example, nutritional insecurity may worsen insulin resistance; exposure to air pollution may compound inflammatory </w:t>
      </w:r>
      <w:r>
        <w:rPr>
          <w:rFonts w:cs="Times New Roman"/>
          <w:szCs w:val="24"/>
        </w:rPr>
        <w:t>pathways; and sociopolitical marginalization may amplify stress-mediated neurotoxicity. These interactive effects form the basis of the model’s syndemic logic, reinforcing the need for an integrated, disparity-centered understanding of brain health.</w:t>
      </w:r>
    </w:p>
    <w:p>
      <w:pPr>
        <w:pStyle w:val="style2"/>
        <w:spacing w:lineRule="auto" w:line="480"/>
        <w:jc w:val="both"/>
        <w:rPr/>
      </w:pPr>
      <w:r>
        <w:t>4. Model Components of the NMDM</w:t>
      </w:r>
    </w:p>
    <w:p>
      <w:pPr>
        <w:pStyle w:val="style0"/>
        <w:spacing w:lineRule="auto" w:line="480"/>
        <w:jc w:val="both"/>
        <w:rPr>
          <w:rFonts w:cs="Times New Roman"/>
          <w:szCs w:val="24"/>
        </w:rPr>
      </w:pPr>
      <w:r>
        <w:rPr>
          <w:rFonts w:cs="Times New Roman"/>
          <w:szCs w:val="24"/>
        </w:rPr>
        <w:t>The Neuro-Metabolic Disparity Model (NMDM) comprises four interdependent domains that collectively drive disparities in cognitive aging: embodied biological factors, embedded sociocultural determinants, neurocognitive vulnerability pathways, and population-level context. These components do not operate in isolation; rather, they interact dynamically across the lifespan, shaping the onset, progression, and severity of neurocognitive decline.</w:t>
      </w:r>
    </w:p>
    <w:p>
      <w:pPr>
        <w:pStyle w:val="style0"/>
        <w:spacing w:lineRule="auto" w:line="480"/>
        <w:jc w:val="both"/>
        <w:rPr>
          <w:rFonts w:cs="Times New Roman"/>
          <w:b/>
          <w:bCs/>
          <w:szCs w:val="24"/>
        </w:rPr>
      </w:pPr>
      <w:r>
        <w:rPr>
          <w:rFonts w:cs="Times New Roman"/>
          <w:b/>
          <w:bCs/>
          <w:szCs w:val="24"/>
        </w:rPr>
        <w:t>4.1 Embodied Biological Factors</w:t>
      </w:r>
    </w:p>
    <w:p>
      <w:pPr>
        <w:pStyle w:val="style0"/>
        <w:spacing w:lineRule="auto" w:line="480"/>
        <w:jc w:val="both"/>
        <w:rPr>
          <w:rFonts w:cs="Times New Roman"/>
          <w:szCs w:val="24"/>
        </w:rPr>
      </w:pPr>
      <w:r>
        <w:rPr>
          <w:rFonts w:cs="Times New Roman"/>
          <w:szCs w:val="24"/>
        </w:rPr>
        <w:t>These factors represent the physiological consequences of chronic exposure to metabolic and psychosocial stressors. In the NMDM, the primary embodied domains include:</w:t>
      </w:r>
    </w:p>
    <w:p>
      <w:pPr>
        <w:pStyle w:val="style0"/>
        <w:spacing w:lineRule="auto" w:line="480"/>
        <w:jc w:val="both"/>
        <w:rPr>
          <w:rFonts w:cs="Times New Roman"/>
          <w:szCs w:val="24"/>
        </w:rPr>
      </w:pPr>
      <w:r>
        <w:rPr>
          <w:rFonts w:cs="Times New Roman"/>
          <w:b/>
          <w:bCs/>
          <w:szCs w:val="24"/>
        </w:rPr>
        <w:t>Metabolic Dysregulation</w:t>
      </w:r>
      <w:r>
        <w:rPr>
          <w:rFonts w:cs="Times New Roman"/>
          <w:szCs w:val="24"/>
        </w:rPr>
        <w:t>: Conditions such as type 2 diabetes, obesity, and hypertension—prevalent in underserved populations</w:t>
      </w:r>
      <w:r>
        <w:rPr>
          <w:rFonts w:cs="Times New Roman"/>
          <w:szCs w:val="24"/>
          <w:lang w:val="en-US"/>
        </w:rPr>
        <w:t xml:space="preserve">, </w:t>
      </w:r>
      <w:r>
        <w:rPr>
          <w:rFonts w:cs="Times New Roman"/>
          <w:szCs w:val="24"/>
        </w:rPr>
        <w:t>trigger systemic inflammation, impair glucose metabolism, and increase oxidative stress. These changes compromise neuronal energy supply and heighten susceptibility to neurodegeneration (Biessels &amp; Whitmer, 2020).</w:t>
      </w:r>
    </w:p>
    <w:p>
      <w:pPr>
        <w:pStyle w:val="style0"/>
        <w:spacing w:lineRule="auto" w:line="480"/>
        <w:jc w:val="both"/>
        <w:rPr>
          <w:rFonts w:cs="Times New Roman"/>
          <w:szCs w:val="24"/>
        </w:rPr>
      </w:pPr>
      <w:r>
        <w:rPr>
          <w:rFonts w:cs="Times New Roman"/>
          <w:b/>
          <w:bCs/>
          <w:szCs w:val="24"/>
        </w:rPr>
        <w:t>Chronic Stress and HPA Axis Activation</w:t>
      </w:r>
      <w:r>
        <w:rPr>
          <w:rFonts w:cs="Times New Roman"/>
          <w:szCs w:val="24"/>
        </w:rPr>
        <w:t xml:space="preserve">: Persistent stress exposure from socioeconomic hardship, caregiving, displacement, or discrimination results in HPA axis dysregulation. Elevated cortisol levels damage hippocampal neurons, reduce synaptic </w:t>
      </w:r>
      <w:r>
        <w:rPr>
          <w:rFonts w:cs="Times New Roman"/>
          <w:szCs w:val="24"/>
        </w:rPr>
        <w:t>plasticity, and alter prefrontal cortex function</w:t>
      </w:r>
      <w:r>
        <w:rPr>
          <w:rFonts w:cs="Times New Roman"/>
          <w:szCs w:val="24"/>
          <w:lang w:val="en-US"/>
        </w:rPr>
        <w:t xml:space="preserve">, </w:t>
      </w:r>
      <w:r>
        <w:rPr>
          <w:rFonts w:cs="Times New Roman"/>
          <w:szCs w:val="24"/>
        </w:rPr>
        <w:t>core processes involved in memory and executive functioning (McEwen &amp; Morrison, 2013).</w:t>
      </w:r>
    </w:p>
    <w:p>
      <w:pPr>
        <w:pStyle w:val="style0"/>
        <w:spacing w:lineRule="auto" w:line="480"/>
        <w:jc w:val="both"/>
        <w:rPr>
          <w:rFonts w:cs="Times New Roman"/>
          <w:szCs w:val="24"/>
        </w:rPr>
      </w:pPr>
      <w:r>
        <w:rPr>
          <w:rFonts w:cs="Times New Roman"/>
          <w:szCs w:val="24"/>
        </w:rPr>
        <w:t>Together, these metabolic and stress-related insults initiate neuroinflammatory pathways, reduce brain resilience, and accelerate aging at the cellular and systems levels.</w:t>
      </w:r>
    </w:p>
    <w:p>
      <w:pPr>
        <w:pStyle w:val="style0"/>
        <w:spacing w:lineRule="auto" w:line="480"/>
        <w:jc w:val="both"/>
        <w:rPr>
          <w:rFonts w:cs="Times New Roman"/>
          <w:b/>
          <w:bCs/>
          <w:szCs w:val="24"/>
        </w:rPr>
      </w:pPr>
      <w:r>
        <w:rPr>
          <w:rFonts w:cs="Times New Roman"/>
          <w:b/>
          <w:bCs/>
          <w:szCs w:val="24"/>
        </w:rPr>
        <w:t>4.2 Embedded Sociocultural Determinants</w:t>
      </w:r>
    </w:p>
    <w:p>
      <w:pPr>
        <w:pStyle w:val="style0"/>
        <w:spacing w:lineRule="auto" w:line="480"/>
        <w:jc w:val="both"/>
        <w:rPr>
          <w:rFonts w:cs="Times New Roman"/>
          <w:szCs w:val="24"/>
        </w:rPr>
      </w:pPr>
      <w:r>
        <w:rPr>
          <w:rFonts w:cs="Times New Roman"/>
          <w:szCs w:val="24"/>
        </w:rPr>
        <w:t>These are the social and environmental conditions that shape exposure, vulnerability, and access to protective resources across the life course. The NMDM recognizes embedded factors as active drivers</w:t>
      </w:r>
      <w:r>
        <w:rPr>
          <w:rFonts w:cs="Times New Roman"/>
          <w:szCs w:val="24"/>
          <w:lang w:val="en-US"/>
        </w:rPr>
        <w:t>, n</w:t>
      </w:r>
      <w:r>
        <w:rPr>
          <w:rFonts w:cs="Times New Roman"/>
          <w:szCs w:val="24"/>
        </w:rPr>
        <w:t>ot passive correlates</w:t>
      </w:r>
      <w:r>
        <w:rPr>
          <w:rFonts w:cs="Times New Roman"/>
          <w:szCs w:val="24"/>
          <w:lang w:val="en-US"/>
        </w:rPr>
        <w:t xml:space="preserve">, </w:t>
      </w:r>
      <w:r>
        <w:rPr>
          <w:rFonts w:cs="Times New Roman"/>
          <w:szCs w:val="24"/>
        </w:rPr>
        <w:t>of brain health disparities.</w:t>
      </w:r>
    </w:p>
    <w:p>
      <w:pPr>
        <w:pStyle w:val="style179"/>
        <w:numPr>
          <w:ilvl w:val="0"/>
          <w:numId w:val="7"/>
        </w:numPr>
        <w:spacing w:lineRule="auto" w:line="480"/>
        <w:jc w:val="both"/>
        <w:rPr>
          <w:rFonts w:cs="Times New Roman"/>
          <w:szCs w:val="24"/>
        </w:rPr>
      </w:pPr>
      <w:r>
        <w:rPr>
          <w:rFonts w:cs="Times New Roman"/>
          <w:szCs w:val="24"/>
        </w:rPr>
        <w:t>Structural Inequities: Racial and gender discrimination, geographic exclusion, and lack of access to diagnostic services, early intervention, or mental health support all contribute to delayed diagnosis and accelerated decline (Farmer et al., 2010).</w:t>
      </w:r>
    </w:p>
    <w:p>
      <w:pPr>
        <w:pStyle w:val="style179"/>
        <w:numPr>
          <w:ilvl w:val="0"/>
          <w:numId w:val="7"/>
        </w:numPr>
        <w:spacing w:lineRule="auto" w:line="480"/>
        <w:jc w:val="both"/>
        <w:rPr>
          <w:rFonts w:cs="Times New Roman"/>
          <w:szCs w:val="24"/>
        </w:rPr>
      </w:pPr>
      <w:r>
        <w:rPr>
          <w:rFonts w:cs="Times New Roman"/>
          <w:szCs w:val="24"/>
        </w:rPr>
        <w:t>Environmental Exposures: Exposure to air pollution, heavy metals, poor housing quality, and infectious diseases</w:t>
      </w:r>
      <w:r>
        <w:rPr>
          <w:rFonts w:cs="Times New Roman"/>
          <w:szCs w:val="24"/>
          <w:lang w:val="en-US"/>
        </w:rPr>
        <w:t xml:space="preserve">, </w:t>
      </w:r>
      <w:r>
        <w:rPr>
          <w:rFonts w:cs="Times New Roman"/>
          <w:szCs w:val="24"/>
        </w:rPr>
        <w:t>particularly during critical neurodevelopmental periods</w:t>
      </w:r>
      <w:r>
        <w:rPr>
          <w:rFonts w:cs="Times New Roman"/>
          <w:szCs w:val="24"/>
          <w:lang w:val="en-US"/>
        </w:rPr>
        <w:t xml:space="preserve">, </w:t>
      </w:r>
      <w:r>
        <w:rPr>
          <w:rFonts w:cs="Times New Roman"/>
          <w:szCs w:val="24"/>
        </w:rPr>
        <w:t>compounds risk for neural damage and long-term cognitive impairment (Grandjean &amp; Landrigan, 2014).</w:t>
      </w:r>
    </w:p>
    <w:p>
      <w:pPr>
        <w:pStyle w:val="style179"/>
        <w:numPr>
          <w:ilvl w:val="0"/>
          <w:numId w:val="7"/>
        </w:numPr>
        <w:spacing w:lineRule="auto" w:line="480"/>
        <w:jc w:val="both"/>
        <w:rPr>
          <w:rFonts w:cs="Times New Roman"/>
          <w:szCs w:val="24"/>
        </w:rPr>
      </w:pPr>
      <w:r>
        <w:rPr>
          <w:rFonts w:cs="Times New Roman"/>
          <w:szCs w:val="24"/>
        </w:rPr>
        <w:t>Socioeconomic Stressors: Chronic poverty and low educational opportunity are associated with higher allostatic load, increased health-risk behaviors, and fewer opportunities for cognitive enrichment, especially in early life.</w:t>
      </w:r>
      <w:r>
        <w:rPr>
          <w:rFonts w:cs="Times New Roman"/>
          <w:szCs w:val="24"/>
        </w:rPr>
        <w:t xml:space="preserve"> </w:t>
      </w:r>
    </w:p>
    <w:p>
      <w:pPr>
        <w:pStyle w:val="style0"/>
        <w:spacing w:lineRule="auto" w:line="480"/>
        <w:jc w:val="both"/>
        <w:rPr>
          <w:rFonts w:cs="Times New Roman"/>
          <w:szCs w:val="24"/>
        </w:rPr>
      </w:pPr>
      <w:r>
        <w:rPr>
          <w:rFonts w:cs="Times New Roman"/>
          <w:szCs w:val="24"/>
        </w:rPr>
        <w:t>These embedded determinants intersect with biological vulnerabilities, shaping when, how, and to what extent cognitive decline manifests.</w:t>
      </w:r>
    </w:p>
    <w:p>
      <w:pPr>
        <w:pStyle w:val="style0"/>
        <w:spacing w:lineRule="auto" w:line="480"/>
        <w:jc w:val="both"/>
        <w:rPr>
          <w:rFonts w:cs="Times New Roman"/>
          <w:b/>
          <w:bCs/>
          <w:szCs w:val="24"/>
        </w:rPr>
      </w:pPr>
      <w:r>
        <w:rPr>
          <w:rFonts w:cs="Times New Roman"/>
          <w:b/>
          <w:bCs/>
          <w:szCs w:val="24"/>
        </w:rPr>
        <w:t>4.3 Neurocognitive Pathways</w:t>
      </w:r>
    </w:p>
    <w:p>
      <w:pPr>
        <w:pStyle w:val="style0"/>
        <w:spacing w:lineRule="auto" w:line="480"/>
        <w:jc w:val="both"/>
        <w:rPr>
          <w:rFonts w:cs="Times New Roman"/>
          <w:szCs w:val="24"/>
        </w:rPr>
      </w:pPr>
      <w:r>
        <w:rPr>
          <w:rFonts w:cs="Times New Roman"/>
          <w:szCs w:val="24"/>
        </w:rPr>
        <w:t>This component focuses on the brain regions and systems most affected by the embodied-embedded interaction. The NMDM highlights:</w:t>
      </w:r>
    </w:p>
    <w:p>
      <w:pPr>
        <w:pStyle w:val="style179"/>
        <w:numPr>
          <w:ilvl w:val="0"/>
          <w:numId w:val="11"/>
        </w:numPr>
        <w:spacing w:lineRule="auto" w:line="480"/>
        <w:jc w:val="both"/>
        <w:rPr>
          <w:rFonts w:cs="Times New Roman"/>
          <w:szCs w:val="24"/>
        </w:rPr>
      </w:pPr>
      <w:r>
        <w:rPr>
          <w:rFonts w:cs="Times New Roman"/>
          <w:szCs w:val="24"/>
        </w:rPr>
        <w:t>Hippocampal Atrophy: Both metabolic and psychosocial stressors impair hippocampal structure and function, affecting learning and memory consolidation.</w:t>
      </w:r>
    </w:p>
    <w:p>
      <w:pPr>
        <w:pStyle w:val="style179"/>
        <w:numPr>
          <w:ilvl w:val="0"/>
          <w:numId w:val="11"/>
        </w:numPr>
        <w:spacing w:lineRule="auto" w:line="480"/>
        <w:jc w:val="both"/>
        <w:rPr>
          <w:rFonts w:cs="Times New Roman"/>
          <w:szCs w:val="24"/>
        </w:rPr>
      </w:pPr>
      <w:r>
        <w:rPr>
          <w:rFonts w:cs="Times New Roman"/>
          <w:szCs w:val="24"/>
        </w:rPr>
        <w:t>Prefrontal Cortex Dysfunction: Chronic stress and vascular insults reduce prefrontal cortex plasticity, weakening executive control, emotional regulation, and decision-making.</w:t>
      </w:r>
    </w:p>
    <w:p>
      <w:pPr>
        <w:pStyle w:val="style179"/>
        <w:numPr>
          <w:ilvl w:val="0"/>
          <w:numId w:val="11"/>
        </w:numPr>
        <w:spacing w:lineRule="auto" w:line="480"/>
        <w:jc w:val="both"/>
        <w:rPr>
          <w:rFonts w:cs="Times New Roman"/>
          <w:szCs w:val="24"/>
        </w:rPr>
      </w:pPr>
      <w:r>
        <w:rPr>
          <w:rFonts w:cs="Times New Roman"/>
          <w:szCs w:val="24"/>
        </w:rPr>
        <w:t>White Matter Integrity: Microvascular damage and oxidative stress contribute to white matter lesions, disrupting communication between brain networks.</w:t>
      </w:r>
    </w:p>
    <w:p>
      <w:pPr>
        <w:pStyle w:val="style0"/>
        <w:spacing w:lineRule="auto" w:line="480"/>
        <w:jc w:val="both"/>
        <w:rPr>
          <w:rFonts w:cs="Times New Roman"/>
          <w:szCs w:val="24"/>
        </w:rPr>
      </w:pPr>
      <w:r>
        <w:rPr>
          <w:rFonts w:cs="Times New Roman"/>
          <w:szCs w:val="24"/>
        </w:rPr>
        <w:t>The biological and social stressors outlined above converge through shared mechanistic pathways</w:t>
      </w:r>
      <w:r>
        <w:rPr>
          <w:rFonts w:cs="Times New Roman"/>
          <w:szCs w:val="24"/>
          <w:lang w:val="en-US"/>
        </w:rPr>
        <w:t xml:space="preserve">, </w:t>
      </w:r>
      <w:r>
        <w:rPr>
          <w:rFonts w:cs="Times New Roman"/>
          <w:szCs w:val="24"/>
        </w:rPr>
        <w:t>namely neuroinflammation, oxidative stress, and blood-brain barrier compromise</w:t>
      </w:r>
      <w:r>
        <w:rPr>
          <w:rFonts w:cs="Times New Roman"/>
          <w:szCs w:val="24"/>
          <w:lang w:val="en-US"/>
        </w:rPr>
        <w:t xml:space="preserve">, </w:t>
      </w:r>
      <w:r>
        <w:rPr>
          <w:rFonts w:cs="Times New Roman"/>
          <w:szCs w:val="24"/>
        </w:rPr>
        <w:t>ultimately leading to structural degeneration and functional decline (Zlokovic, 2008; Erickson et al., 2012).</w:t>
      </w:r>
    </w:p>
    <w:p>
      <w:pPr>
        <w:pStyle w:val="style0"/>
        <w:spacing w:lineRule="auto" w:line="480"/>
        <w:jc w:val="both"/>
        <w:rPr>
          <w:rFonts w:cs="Times New Roman"/>
          <w:b/>
          <w:bCs/>
          <w:szCs w:val="24"/>
        </w:rPr>
      </w:pPr>
      <w:r>
        <w:rPr>
          <w:rFonts w:cs="Times New Roman"/>
          <w:b/>
          <w:bCs/>
          <w:szCs w:val="24"/>
        </w:rPr>
        <w:t>4.4 Modifiers and Buffers</w:t>
      </w:r>
    </w:p>
    <w:p>
      <w:pPr>
        <w:pStyle w:val="style0"/>
        <w:spacing w:lineRule="auto" w:line="480"/>
        <w:jc w:val="both"/>
        <w:rPr>
          <w:rFonts w:cs="Times New Roman"/>
          <w:szCs w:val="24"/>
        </w:rPr>
      </w:pPr>
      <w:r>
        <w:rPr>
          <w:rFonts w:cs="Times New Roman"/>
          <w:szCs w:val="24"/>
        </w:rPr>
        <w:t>While the NMDM emphasizes risk, it also accounts for resilience factors that may moderate outcomes. Cultural resilience, social cohesion, spiritual practice, and family support may buffer the effects of adversity and promote cognitive resilience, especially when interventions are community-driven and contextually appropriate (Kohrt et al., 2014).</w:t>
      </w:r>
    </w:p>
    <w:p>
      <w:pPr>
        <w:pStyle w:val="style0"/>
        <w:spacing w:lineRule="auto" w:line="480"/>
        <w:jc w:val="both"/>
        <w:rPr>
          <w:rFonts w:cs="Times New Roman"/>
          <w:szCs w:val="24"/>
        </w:rPr>
      </w:pPr>
      <w:r>
        <w:rPr>
          <w:rFonts w:cs="Times New Roman"/>
          <w:szCs w:val="24"/>
        </w:rPr>
        <w:t>These modifiers underscore the importance of avoiding deterministic assumptions and embracing a strengths-based perspective within disparity-centered neuroscience.</w:t>
      </w:r>
    </w:p>
    <w:p>
      <w:pPr>
        <w:pStyle w:val="style0"/>
        <w:spacing w:lineRule="auto" w:line="480"/>
        <w:jc w:val="both"/>
        <w:rPr>
          <w:rFonts w:cs="Times New Roman"/>
          <w:b/>
          <w:bCs/>
          <w:szCs w:val="24"/>
        </w:rPr>
      </w:pPr>
      <w:r>
        <w:rPr>
          <w:rFonts w:cs="Times New Roman"/>
          <w:b/>
          <w:bCs/>
          <w:szCs w:val="24"/>
        </w:rPr>
        <w:t>4.5 Population-Level Integration</w:t>
      </w:r>
    </w:p>
    <w:p>
      <w:pPr>
        <w:pStyle w:val="style0"/>
        <w:spacing w:lineRule="auto" w:line="480"/>
        <w:jc w:val="both"/>
        <w:rPr>
          <w:rFonts w:cs="Times New Roman"/>
          <w:szCs w:val="24"/>
        </w:rPr>
      </w:pPr>
      <w:r>
        <w:rPr>
          <w:rFonts w:cs="Times New Roman"/>
          <w:szCs w:val="24"/>
        </w:rPr>
        <w:t>To make the NMDM actionable, researchers must adopt population neuroscience tools that leverage diverse, open-access datasets. The model encourages:</w:t>
      </w:r>
    </w:p>
    <w:p>
      <w:pPr>
        <w:pStyle w:val="style179"/>
        <w:numPr>
          <w:ilvl w:val="0"/>
          <w:numId w:val="12"/>
        </w:numPr>
        <w:spacing w:lineRule="auto" w:line="480"/>
        <w:jc w:val="both"/>
        <w:rPr>
          <w:rFonts w:cs="Times New Roman"/>
          <w:szCs w:val="24"/>
        </w:rPr>
      </w:pPr>
      <w:r>
        <w:rPr>
          <w:rFonts w:cs="Times New Roman"/>
          <w:szCs w:val="24"/>
        </w:rPr>
        <w:t>Cross-Cultural Validation using resources like UK Biobank, Human Connectome Project, and H3Africa.</w:t>
      </w:r>
    </w:p>
    <w:p>
      <w:pPr>
        <w:pStyle w:val="style179"/>
        <w:numPr>
          <w:ilvl w:val="0"/>
          <w:numId w:val="12"/>
        </w:numPr>
        <w:spacing w:lineRule="auto" w:line="480"/>
        <w:jc w:val="both"/>
        <w:rPr>
          <w:rFonts w:cs="Times New Roman"/>
          <w:szCs w:val="24"/>
        </w:rPr>
      </w:pPr>
      <w:r>
        <w:rPr>
          <w:rFonts w:cs="Times New Roman"/>
          <w:szCs w:val="24"/>
        </w:rPr>
        <w:t>Longitudinal Study Design that tracks life-course exposure to metabolic and psychosocial stressors.</w:t>
      </w:r>
    </w:p>
    <w:p>
      <w:pPr>
        <w:pStyle w:val="style179"/>
        <w:numPr>
          <w:ilvl w:val="0"/>
          <w:numId w:val="12"/>
        </w:numPr>
        <w:spacing w:lineRule="auto" w:line="480"/>
        <w:jc w:val="both"/>
        <w:rPr>
          <w:rFonts w:cs="Times New Roman"/>
          <w:szCs w:val="24"/>
        </w:rPr>
      </w:pPr>
      <w:r>
        <w:rPr>
          <w:rFonts w:cs="Times New Roman"/>
          <w:szCs w:val="24"/>
        </w:rPr>
        <w:t>Disaggregated Data Analysis to uncover intersectional patterns by race, gender, geography, and socioeconomic status.</w:t>
      </w:r>
    </w:p>
    <w:p>
      <w:pPr>
        <w:pStyle w:val="style0"/>
        <w:spacing w:lineRule="auto" w:line="480"/>
        <w:jc w:val="both"/>
        <w:rPr>
          <w:rFonts w:cs="Times New Roman"/>
          <w:szCs w:val="24"/>
        </w:rPr>
      </w:pPr>
      <w:r>
        <w:rPr>
          <w:rFonts w:cs="Times New Roman"/>
          <w:szCs w:val="24"/>
        </w:rPr>
        <w:t>These strategies will enable the model to scale across populations and promote global equity in brain health research.</w:t>
      </w:r>
    </w:p>
    <w:p>
      <w:pPr>
        <w:pStyle w:val="style2"/>
        <w:spacing w:lineRule="auto" w:line="480"/>
        <w:jc w:val="both"/>
        <w:rPr/>
      </w:pPr>
      <w:r>
        <w:t>5. Discussion</w:t>
      </w:r>
    </w:p>
    <w:p>
      <w:pPr>
        <w:pStyle w:val="style0"/>
        <w:spacing w:lineRule="auto" w:line="480"/>
        <w:jc w:val="both"/>
        <w:rPr>
          <w:rFonts w:cs="Times New Roman"/>
          <w:szCs w:val="24"/>
        </w:rPr>
      </w:pPr>
      <w:r>
        <w:rPr>
          <w:rFonts w:cs="Times New Roman"/>
          <w:szCs w:val="24"/>
        </w:rPr>
        <w:t>The Neuro-Metabolic Disparity Model (NMDM) offers an integrated framework for understanding cognitive decline through the interplay of metabolic dysfunction, social adversity, and structural inequities. It reframes neurocognitive aging not merely as a biological process but as the cumulative outcome of interacting biological and social forces that disproportionately burden underrepresented populations.</w:t>
      </w:r>
    </w:p>
    <w:p>
      <w:pPr>
        <w:pStyle w:val="style0"/>
        <w:spacing w:lineRule="auto" w:line="480"/>
        <w:jc w:val="both"/>
        <w:rPr>
          <w:rFonts w:cs="Times New Roman"/>
          <w:szCs w:val="24"/>
        </w:rPr>
      </w:pPr>
      <w:r>
        <w:rPr>
          <w:rFonts w:cs="Times New Roman"/>
          <w:szCs w:val="24"/>
        </w:rPr>
        <w:t>One of the model’s key contributions is its syndemic lens</w:t>
      </w:r>
      <w:r>
        <w:rPr>
          <w:rFonts w:cs="Times New Roman"/>
          <w:szCs w:val="24"/>
          <w:lang w:val="en-US"/>
        </w:rPr>
        <w:t xml:space="preserve">, </w:t>
      </w:r>
      <w:r>
        <w:rPr>
          <w:rFonts w:cs="Times New Roman"/>
          <w:szCs w:val="24"/>
        </w:rPr>
        <w:t xml:space="preserve">recognizing that multiple, co-occurring risk factors do not act in isolation but converge and amplify one another. This is particularly evident in populations exposed to simultaneous metabolic stress (e.g., diabetes, hypertension) and social adversity (e.g., poverty, discrimination). The NMDM integrates this complexity by situating brain health within both the body and the context, </w:t>
      </w:r>
      <w:r>
        <w:rPr>
          <w:rFonts w:cs="Times New Roman"/>
          <w:szCs w:val="24"/>
        </w:rPr>
        <w:t>acknowledging that cognitive decline unfolds across molecular, systemic, and societal levels.</w:t>
      </w:r>
    </w:p>
    <w:p>
      <w:pPr>
        <w:pStyle w:val="style0"/>
        <w:spacing w:lineRule="auto" w:line="480"/>
        <w:jc w:val="both"/>
        <w:rPr>
          <w:rFonts w:cs="Times New Roman"/>
          <w:szCs w:val="24"/>
        </w:rPr>
      </w:pPr>
      <w:r>
        <w:rPr>
          <w:rFonts w:cs="Times New Roman"/>
          <w:szCs w:val="24"/>
        </w:rPr>
        <w:t>By aligning with population neuroscience and exposome science, the NMDM also encourages interdisciplinary methods and data structures. It highlights the urgent need for representative, culturally nuanced, and longitudinal data to uncover how chronic inequality “gets under the skin” and into the brain. For example, researchers can use disaggregated datasets like H3Africa or the Human Connectome Project to test hypotheses grounded in this model, while also identifying culturally specific resilience factors.</w:t>
      </w:r>
    </w:p>
    <w:p>
      <w:pPr>
        <w:pStyle w:val="style0"/>
        <w:spacing w:lineRule="auto" w:line="480"/>
        <w:jc w:val="both"/>
        <w:rPr>
          <w:rFonts w:cs="Times New Roman"/>
          <w:szCs w:val="24"/>
        </w:rPr>
      </w:pPr>
      <w:r>
        <w:rPr>
          <w:rFonts w:cs="Times New Roman"/>
          <w:szCs w:val="24"/>
        </w:rPr>
        <w:t>Additionally, the NMDM moves beyond individual-level explanations by incorporating structural violence and environmental injustice as active contributors to brain vulnerability. This expands the focus of neuroscience from neurons and networks to neighborhoods and nations</w:t>
      </w:r>
      <w:r>
        <w:rPr>
          <w:rFonts w:cs="Times New Roman"/>
          <w:szCs w:val="24"/>
          <w:lang w:val="en-US"/>
        </w:rPr>
        <w:t xml:space="preserve">, </w:t>
      </w:r>
      <w:r>
        <w:rPr>
          <w:rFonts w:cs="Times New Roman"/>
          <w:szCs w:val="24"/>
        </w:rPr>
        <w:t>offering new pathways for both research and policy.</w:t>
      </w:r>
    </w:p>
    <w:p>
      <w:pPr>
        <w:pStyle w:val="style0"/>
        <w:spacing w:lineRule="auto" w:line="480"/>
        <w:jc w:val="both"/>
        <w:rPr>
          <w:rFonts w:cs="Times New Roman"/>
          <w:szCs w:val="24"/>
        </w:rPr>
      </w:pPr>
      <w:r>
        <w:rPr>
          <w:rFonts w:cs="Times New Roman"/>
          <w:szCs w:val="24"/>
        </w:rPr>
        <w:t>Finally, the model carries ethical implications. It challenges neuroscience to de-center Western assumptions, reframe disparity as a foundational construct rather than a background variable, and ensure that scientific inquiry advances justice as well as knowledge.</w:t>
      </w:r>
    </w:p>
    <w:p>
      <w:pPr>
        <w:pStyle w:val="style2"/>
        <w:spacing w:lineRule="auto" w:line="480"/>
        <w:jc w:val="both"/>
        <w:rPr/>
      </w:pPr>
      <w:r>
        <w:t>6. Limitations and Future Directions</w:t>
      </w:r>
    </w:p>
    <w:p>
      <w:pPr>
        <w:pStyle w:val="style0"/>
        <w:spacing w:lineRule="auto" w:line="480"/>
        <w:jc w:val="both"/>
        <w:rPr>
          <w:rFonts w:cs="Times New Roman"/>
          <w:szCs w:val="24"/>
        </w:rPr>
      </w:pPr>
      <w:r>
        <w:rPr>
          <w:rFonts w:cs="Times New Roman"/>
          <w:szCs w:val="24"/>
        </w:rPr>
        <w:t>While the NMDM offers a comprehensive framework, several limitations must be acknowledged:</w:t>
      </w:r>
    </w:p>
    <w:p>
      <w:pPr>
        <w:pStyle w:val="style0"/>
        <w:spacing w:lineRule="auto" w:line="480"/>
        <w:jc w:val="both"/>
        <w:rPr>
          <w:rFonts w:cs="Times New Roman"/>
          <w:szCs w:val="24"/>
        </w:rPr>
      </w:pPr>
      <w:r>
        <w:rPr>
          <w:rFonts w:cs="Times New Roman"/>
          <w:szCs w:val="24"/>
        </w:rPr>
        <w:t>Empirical Testing: As a theoretical model, the NMDM requires rigorous empirical validation. Most existing datasets are still skewed toward high-income populations, limiting the ability to test model assumptions in diverse contexts.</w:t>
      </w:r>
    </w:p>
    <w:p>
      <w:pPr>
        <w:pStyle w:val="style0"/>
        <w:spacing w:lineRule="auto" w:line="480"/>
        <w:jc w:val="both"/>
        <w:rPr>
          <w:rFonts w:cs="Times New Roman"/>
          <w:szCs w:val="24"/>
        </w:rPr>
      </w:pPr>
      <w:r>
        <w:rPr>
          <w:rFonts w:cs="Times New Roman"/>
          <w:szCs w:val="24"/>
        </w:rPr>
        <w:t>Operational Complexity: The model’s strength</w:t>
      </w:r>
      <w:r>
        <w:rPr>
          <w:rFonts w:cs="Times New Roman"/>
          <w:szCs w:val="24"/>
          <w:lang w:val="en-US"/>
        </w:rPr>
        <w:t xml:space="preserve">, </w:t>
      </w:r>
      <w:r>
        <w:rPr>
          <w:rFonts w:cs="Times New Roman"/>
          <w:szCs w:val="24"/>
        </w:rPr>
        <w:t>its multidimensionality</w:t>
      </w:r>
      <w:r>
        <w:rPr>
          <w:rFonts w:cs="Times New Roman"/>
          <w:szCs w:val="24"/>
          <w:lang w:val="en-US"/>
        </w:rPr>
        <w:t xml:space="preserve">, </w:t>
      </w:r>
      <w:r>
        <w:rPr>
          <w:rFonts w:cs="Times New Roman"/>
          <w:szCs w:val="24"/>
        </w:rPr>
        <w:t>also poses challenges for operationalization. Integrating metabolic, environmental, and social data requires cross-disciplinary expertise and sophisticated analytic methods.</w:t>
      </w:r>
    </w:p>
    <w:p>
      <w:pPr>
        <w:pStyle w:val="style0"/>
        <w:spacing w:lineRule="auto" w:line="480"/>
        <w:jc w:val="both"/>
        <w:rPr>
          <w:rFonts w:cs="Times New Roman"/>
          <w:szCs w:val="24"/>
        </w:rPr>
      </w:pPr>
      <w:r>
        <w:rPr>
          <w:rFonts w:cs="Times New Roman"/>
          <w:szCs w:val="24"/>
        </w:rPr>
        <w:t>Resilience Mechanisms: While the model accounts for modifiers such as cultural resilience and social cohesion, these concepts require clearer definitions, culturally sensitive measurement tools, and empirical exploration across contexts.</w:t>
      </w:r>
    </w:p>
    <w:p>
      <w:pPr>
        <w:pStyle w:val="style0"/>
        <w:spacing w:lineRule="auto" w:line="480"/>
        <w:jc w:val="both"/>
        <w:rPr>
          <w:rFonts w:cs="Times New Roman"/>
          <w:szCs w:val="24"/>
        </w:rPr>
      </w:pPr>
      <w:r>
        <w:rPr>
          <w:rFonts w:cs="Times New Roman"/>
          <w:szCs w:val="24"/>
        </w:rPr>
        <w:t>Applicability Across Lifespan: Although the NMDM incorporates life-course perspectives, more attention is needed to early-life and mid-life interventions that may disrupt or delay the syndemic progression of cognitive decline.</w:t>
      </w:r>
    </w:p>
    <w:p>
      <w:pPr>
        <w:pStyle w:val="style0"/>
        <w:spacing w:lineRule="auto" w:line="480"/>
        <w:jc w:val="both"/>
        <w:rPr>
          <w:rFonts w:cs="Times New Roman"/>
          <w:b/>
          <w:bCs/>
          <w:szCs w:val="24"/>
        </w:rPr>
      </w:pPr>
      <w:r>
        <w:rPr>
          <w:rFonts w:cs="Times New Roman"/>
          <w:b/>
          <w:bCs/>
          <w:szCs w:val="24"/>
        </w:rPr>
        <w:t>Future research should focus on:</w:t>
      </w:r>
    </w:p>
    <w:p>
      <w:pPr>
        <w:pStyle w:val="style0"/>
        <w:spacing w:lineRule="auto" w:line="480"/>
        <w:jc w:val="both"/>
        <w:rPr>
          <w:rFonts w:cs="Times New Roman"/>
          <w:szCs w:val="24"/>
        </w:rPr>
      </w:pPr>
      <w:r>
        <w:rPr>
          <w:rFonts w:cs="Times New Roman"/>
          <w:szCs w:val="24"/>
        </w:rPr>
        <w:t>Designing multilevel longitudinal studies in low-resource settings</w:t>
      </w:r>
    </w:p>
    <w:p>
      <w:pPr>
        <w:pStyle w:val="style0"/>
        <w:spacing w:lineRule="auto" w:line="480"/>
        <w:jc w:val="both"/>
        <w:rPr>
          <w:rFonts w:cs="Times New Roman"/>
          <w:szCs w:val="24"/>
        </w:rPr>
      </w:pPr>
      <w:r>
        <w:rPr>
          <w:rFonts w:cs="Times New Roman"/>
          <w:szCs w:val="24"/>
        </w:rPr>
        <w:t>Developing computational simulations of NMDM pathways</w:t>
      </w:r>
    </w:p>
    <w:p>
      <w:pPr>
        <w:pStyle w:val="style0"/>
        <w:spacing w:lineRule="auto" w:line="480"/>
        <w:jc w:val="both"/>
        <w:rPr>
          <w:rFonts w:cs="Times New Roman"/>
          <w:szCs w:val="24"/>
        </w:rPr>
      </w:pPr>
      <w:r>
        <w:rPr>
          <w:rFonts w:cs="Times New Roman"/>
          <w:szCs w:val="24"/>
        </w:rPr>
        <w:t>Expanding biomarkers that capture both biological and social exposures</w:t>
      </w:r>
    </w:p>
    <w:p>
      <w:pPr>
        <w:pStyle w:val="style0"/>
        <w:spacing w:lineRule="auto" w:line="480"/>
        <w:jc w:val="both"/>
        <w:rPr>
          <w:rFonts w:cs="Times New Roman"/>
          <w:szCs w:val="24"/>
        </w:rPr>
      </w:pPr>
      <w:r>
        <w:rPr>
          <w:rFonts w:cs="Times New Roman"/>
          <w:szCs w:val="24"/>
        </w:rPr>
        <w:t>Co-developing interventions with communities most affected by the modeled disparities</w:t>
      </w:r>
    </w:p>
    <w:p>
      <w:pPr>
        <w:pStyle w:val="style2"/>
        <w:spacing w:lineRule="auto" w:line="480"/>
        <w:jc w:val="both"/>
        <w:rPr/>
      </w:pPr>
      <w:r>
        <w:t>7. Conclusion</w:t>
      </w:r>
    </w:p>
    <w:p>
      <w:pPr>
        <w:pStyle w:val="style0"/>
        <w:spacing w:lineRule="auto" w:line="480"/>
        <w:jc w:val="both"/>
        <w:rPr>
          <w:rFonts w:cs="Times New Roman"/>
          <w:szCs w:val="24"/>
        </w:rPr>
      </w:pPr>
      <w:r>
        <w:rPr>
          <w:rFonts w:cs="Times New Roman"/>
          <w:szCs w:val="24"/>
        </w:rPr>
        <w:t>The Neuro-Metabolic Disparity Model (NMDM) advances a critical shift in neuroscience by foregrounding disparity</w:t>
      </w:r>
      <w:r>
        <w:rPr>
          <w:rFonts w:cs="Times New Roman"/>
          <w:szCs w:val="24"/>
          <w:lang w:val="en-US"/>
        </w:rPr>
        <w:t xml:space="preserve">, </w:t>
      </w:r>
      <w:r>
        <w:rPr>
          <w:rFonts w:cs="Times New Roman"/>
          <w:szCs w:val="24"/>
        </w:rPr>
        <w:t>not just disease</w:t>
      </w:r>
      <w:r>
        <w:rPr>
          <w:rFonts w:cs="Times New Roman"/>
          <w:szCs w:val="24"/>
          <w:lang w:val="en-US"/>
        </w:rPr>
        <w:t>, a</w:t>
      </w:r>
    </w:p>
    <w:p>
      <w:pPr>
        <w:pStyle w:val="style0"/>
        <w:spacing w:lineRule="auto" w:line="480"/>
        <w:jc w:val="both"/>
        <w:rPr>
          <w:rFonts w:cs="Times New Roman"/>
          <w:szCs w:val="24"/>
        </w:rPr>
      </w:pPr>
      <w:r>
        <w:rPr>
          <w:rFonts w:cs="Times New Roman"/>
          <w:szCs w:val="24"/>
        </w:rPr>
        <w:t xml:space="preserve">s a driver of cognitive aging. It </w:t>
      </w:r>
      <w:r>
        <w:rPr>
          <w:rFonts w:cs="Times New Roman"/>
          <w:szCs w:val="24"/>
        </w:rPr>
        <w:t>synthesizes metabolic, environmental, and social determinants into a dynamic, life-course model of brain vulnerability, rooted in real-world inequities.</w:t>
      </w:r>
    </w:p>
    <w:p>
      <w:pPr>
        <w:pStyle w:val="style0"/>
        <w:spacing w:lineRule="auto" w:line="480"/>
        <w:jc w:val="both"/>
        <w:rPr>
          <w:rFonts w:cs="Times New Roman"/>
          <w:szCs w:val="24"/>
        </w:rPr>
      </w:pPr>
      <w:r>
        <w:rPr>
          <w:rFonts w:cs="Times New Roman"/>
          <w:szCs w:val="24"/>
        </w:rPr>
        <w:t>By challenging the dominance of reductionist and decontextualized frameworks, NMDM promotes a more inclusive and ethical neuroscience—one that accounts for how chronic stress, systemic exclusion, and metabolic disorders jointly shape neurocognitive outcomes. As global mental health disparities continue to widen, models like NMDM will be indispensable for building equitable, representative, and context-sensitive approaches to brain health science.</w:t>
      </w:r>
    </w:p>
    <w:p>
      <w:pPr>
        <w:pStyle w:val="style2"/>
        <w:spacing w:lineRule="auto" w:line="480"/>
        <w:jc w:val="both"/>
        <w:rPr/>
      </w:pPr>
      <w:r>
        <w:t>References</w:t>
      </w:r>
    </w:p>
    <w:p>
      <w:pPr>
        <w:pStyle w:val="style0"/>
        <w:spacing w:lineRule="auto" w:line="480"/>
        <w:jc w:val="both"/>
        <w:rPr>
          <w:szCs w:val="24"/>
        </w:rPr>
      </w:pPr>
      <w:r>
        <w:rPr>
          <w:szCs w:val="24"/>
        </w:rPr>
        <w:t xml:space="preserve">Biessels, G.J., &amp; Whitmer, R.A. (2020). Cognitive dysfunction in diabetes. </w:t>
      </w:r>
      <w:r>
        <w:rPr>
          <w:i/>
          <w:iCs/>
          <w:szCs w:val="24"/>
        </w:rPr>
        <w:t>Lancet Neurology</w:t>
      </w:r>
      <w:r>
        <w:rPr>
          <w:szCs w:val="24"/>
        </w:rPr>
        <w:t>.</w:t>
      </w:r>
    </w:p>
    <w:p>
      <w:pPr>
        <w:pStyle w:val="style0"/>
        <w:spacing w:lineRule="auto" w:line="480"/>
        <w:jc w:val="both"/>
        <w:rPr>
          <w:szCs w:val="24"/>
        </w:rPr>
      </w:pPr>
      <w:r>
        <w:rPr>
          <w:szCs w:val="24"/>
        </w:rPr>
        <w:t xml:space="preserve">De Felice, F. G., &amp; Ferreira, S. T. (2014). Inflammation, defective insulin signaling, and mitochondrial dysfunction as common molecular denominators connecting Alzheimer's disease to diabetes. </w:t>
      </w:r>
      <w:r>
        <w:rPr>
          <w:i/>
          <w:iCs/>
          <w:szCs w:val="24"/>
        </w:rPr>
        <w:t>Diabetes</w:t>
      </w:r>
      <w:r>
        <w:rPr>
          <w:szCs w:val="24"/>
        </w:rPr>
        <w:t>, 63(7), 2262–2272. https://doi.org/10.2337/db13-1954</w:t>
      </w:r>
    </w:p>
    <w:p>
      <w:pPr>
        <w:pStyle w:val="style0"/>
        <w:spacing w:lineRule="auto" w:line="480"/>
        <w:jc w:val="both"/>
        <w:rPr>
          <w:i/>
          <w:iCs/>
          <w:szCs w:val="24"/>
        </w:rPr>
      </w:pPr>
      <w:r>
        <w:rPr>
          <w:szCs w:val="24"/>
        </w:rPr>
        <w:t xml:space="preserve">Erickson, K.I., et al. (2012). Physical activity and brain plasticity. </w:t>
      </w:r>
      <w:r>
        <w:rPr>
          <w:i/>
          <w:iCs/>
          <w:szCs w:val="24"/>
        </w:rPr>
        <w:t>Trends in Cognitive Sciences.</w:t>
      </w:r>
    </w:p>
    <w:p>
      <w:pPr>
        <w:pStyle w:val="style0"/>
        <w:spacing w:lineRule="auto" w:line="480"/>
        <w:jc w:val="both"/>
        <w:rPr>
          <w:szCs w:val="24"/>
        </w:rPr>
      </w:pPr>
      <w:r>
        <w:rPr>
          <w:szCs w:val="24"/>
        </w:rPr>
        <w:t xml:space="preserve">Farmer, P., et al. (2010). Structural violence and clinical medicine. </w:t>
      </w:r>
      <w:r>
        <w:rPr>
          <w:i/>
          <w:iCs/>
          <w:szCs w:val="24"/>
        </w:rPr>
        <w:t>PLoS</w:t>
      </w:r>
      <w:r>
        <w:rPr>
          <w:szCs w:val="24"/>
        </w:rPr>
        <w:t xml:space="preserve"> </w:t>
      </w:r>
      <w:r>
        <w:rPr>
          <w:i/>
          <w:iCs/>
          <w:szCs w:val="24"/>
        </w:rPr>
        <w:t>Medicine</w:t>
      </w:r>
      <w:r>
        <w:rPr>
          <w:szCs w:val="24"/>
        </w:rPr>
        <w:t>.</w:t>
      </w:r>
    </w:p>
    <w:p>
      <w:pPr>
        <w:pStyle w:val="style0"/>
        <w:spacing w:lineRule="auto" w:line="480"/>
        <w:jc w:val="both"/>
        <w:rPr>
          <w:szCs w:val="24"/>
        </w:rPr>
      </w:pPr>
      <w:r>
        <w:rPr>
          <w:szCs w:val="24"/>
        </w:rPr>
        <w:t xml:space="preserve">Grandjean, P., &amp; Landrigan, P.J. (2014). Neurobehavioural effects of developmental toxicity. </w:t>
      </w:r>
      <w:r>
        <w:rPr>
          <w:i/>
          <w:iCs/>
          <w:szCs w:val="24"/>
        </w:rPr>
        <w:t>Lancet Neurology</w:t>
      </w:r>
      <w:r>
        <w:rPr>
          <w:szCs w:val="24"/>
        </w:rPr>
        <w:t>.</w:t>
      </w:r>
    </w:p>
    <w:bookmarkStart w:id="0" w:name="_Hlk196459955"/>
    <w:p>
      <w:pPr>
        <w:pStyle w:val="style0"/>
        <w:spacing w:lineRule="auto" w:line="480"/>
        <w:jc w:val="both"/>
        <w:rPr>
          <w:szCs w:val="24"/>
        </w:rPr>
      </w:pPr>
      <w:r>
        <w:rPr>
          <w:szCs w:val="24"/>
        </w:rPr>
        <w:t xml:space="preserve">Harris, L. M., et al. (2020). Systematic exclusion of underrepresented populations in brain health research: A call for global equity. </w:t>
      </w:r>
      <w:r>
        <w:rPr>
          <w:i/>
          <w:iCs/>
          <w:szCs w:val="24"/>
        </w:rPr>
        <w:t>The Lancet Psychiatry</w:t>
      </w:r>
      <w:r>
        <w:rPr>
          <w:szCs w:val="24"/>
        </w:rPr>
        <w:t xml:space="preserve">, 7(10), 837–848. </w:t>
      </w:r>
      <w:r>
        <w:rPr/>
        <w:fldChar w:fldCharType="begin"/>
      </w:r>
      <w:r>
        <w:instrText xml:space="preserve"> HYPERLINK "https://doi.org/10.1016/S2215-0366(20)30263-4" </w:instrText>
      </w:r>
      <w:r>
        <w:rPr/>
        <w:fldChar w:fldCharType="separate"/>
      </w:r>
      <w:r>
        <w:rPr>
          <w:rStyle w:val="style85"/>
          <w:szCs w:val="24"/>
        </w:rPr>
        <w:t>https://doi.org/10.1016/S2215-0366(20)30263-4</w:t>
      </w:r>
      <w:r>
        <w:rPr/>
        <w:fldChar w:fldCharType="end"/>
      </w:r>
      <w:bookmarkEnd w:id="0"/>
    </w:p>
    <w:p>
      <w:pPr>
        <w:pStyle w:val="style0"/>
        <w:spacing w:lineRule="auto" w:line="480"/>
        <w:jc w:val="both"/>
        <w:rPr>
          <w:i/>
          <w:iCs/>
          <w:szCs w:val="24"/>
        </w:rPr>
      </w:pPr>
      <w:r>
        <w:rPr>
          <w:szCs w:val="24"/>
        </w:rPr>
        <w:t xml:space="preserve">Kohrt, B.A., et al. (2014). Global mental health: anthropological perspectives. </w:t>
      </w:r>
      <w:r>
        <w:rPr>
          <w:i/>
          <w:iCs/>
          <w:szCs w:val="24"/>
        </w:rPr>
        <w:t>Annual Review of Anthropology.</w:t>
      </w:r>
    </w:p>
    <w:p>
      <w:pPr>
        <w:pStyle w:val="style0"/>
        <w:spacing w:lineRule="auto" w:line="480"/>
        <w:jc w:val="both"/>
        <w:rPr>
          <w:szCs w:val="24"/>
        </w:rPr>
      </w:pPr>
      <w:r>
        <w:rPr>
          <w:szCs w:val="24"/>
        </w:rPr>
        <w:t xml:space="preserve">McEwen, B. S., &amp; Morrison, J. H. (2013). The brain on stress: Vulnerability and plasticity of the prefrontal cortex over the life course. </w:t>
      </w:r>
      <w:r>
        <w:rPr>
          <w:i/>
          <w:iCs/>
          <w:szCs w:val="24"/>
        </w:rPr>
        <w:t>Neuron</w:t>
      </w:r>
      <w:r>
        <w:rPr>
          <w:szCs w:val="24"/>
        </w:rPr>
        <w:t>, 79(1), 16–29.</w:t>
      </w:r>
      <w:r>
        <w:rPr>
          <w:szCs w:val="24"/>
        </w:rPr>
        <w:t xml:space="preserve"> </w:t>
      </w:r>
      <w:r>
        <w:rPr/>
        <w:fldChar w:fldCharType="begin"/>
      </w:r>
      <w:r>
        <w:instrText xml:space="preserve"> HYPERLINK "https://doi.org/10.1016/j.neuron.2013.06.028" </w:instrText>
      </w:r>
      <w:r>
        <w:rPr/>
        <w:fldChar w:fldCharType="separate"/>
      </w:r>
      <w:r>
        <w:rPr>
          <w:rStyle w:val="style85"/>
          <w:szCs w:val="24"/>
        </w:rPr>
        <w:t>https://doi.org/10.1016/j.neuron.2013.06.028</w:t>
      </w:r>
      <w:r>
        <w:rPr/>
        <w:fldChar w:fldCharType="end"/>
      </w:r>
    </w:p>
    <w:p>
      <w:pPr>
        <w:pStyle w:val="style0"/>
        <w:spacing w:lineRule="auto" w:line="480"/>
        <w:jc w:val="both"/>
        <w:rPr>
          <w:szCs w:val="24"/>
        </w:rPr>
      </w:pPr>
      <w:r>
        <w:rPr>
          <w:szCs w:val="24"/>
        </w:rPr>
        <w:t xml:space="preserve">Paus, T. (2010). Population neuroscience: Why and how. </w:t>
      </w:r>
      <w:r>
        <w:rPr>
          <w:i/>
          <w:iCs/>
          <w:szCs w:val="24"/>
        </w:rPr>
        <w:t>Human Brain Mapping</w:t>
      </w:r>
      <w:r>
        <w:rPr>
          <w:szCs w:val="24"/>
        </w:rPr>
        <w:t>, 31(6), 891–903.</w:t>
      </w:r>
      <w:r>
        <w:rPr>
          <w:szCs w:val="24"/>
        </w:rPr>
        <w:t xml:space="preserve"> </w:t>
      </w:r>
      <w:r>
        <w:rPr/>
        <w:fldChar w:fldCharType="begin"/>
      </w:r>
      <w:r>
        <w:instrText xml:space="preserve"> HYPERLINK "https://doi.org/10.1002/hbm.21067" </w:instrText>
      </w:r>
      <w:r>
        <w:rPr/>
        <w:fldChar w:fldCharType="separate"/>
      </w:r>
      <w:r>
        <w:rPr>
          <w:rStyle w:val="style85"/>
          <w:szCs w:val="24"/>
        </w:rPr>
        <w:t>https://doi.org/10.1002/hbm.21067</w:t>
      </w:r>
      <w:r>
        <w:rPr/>
        <w:fldChar w:fldCharType="end"/>
      </w:r>
      <w:r>
        <w:rPr>
          <w:szCs w:val="24"/>
        </w:rPr>
        <w:t xml:space="preserve"> </w:t>
      </w:r>
    </w:p>
    <w:p>
      <w:pPr>
        <w:pStyle w:val="style0"/>
        <w:spacing w:lineRule="auto" w:line="480"/>
        <w:jc w:val="both"/>
        <w:rPr>
          <w:szCs w:val="24"/>
        </w:rPr>
      </w:pPr>
      <w:r>
        <w:rPr>
          <w:szCs w:val="24"/>
        </w:rPr>
        <w:t xml:space="preserve">Singer, M., Bulled, N., Ostrach, B., &amp; Mendenhall, E. (2017). Syndemics and the biosocial conception of health. </w:t>
      </w:r>
      <w:r>
        <w:rPr>
          <w:i/>
          <w:iCs/>
          <w:szCs w:val="24"/>
        </w:rPr>
        <w:t>The Lancet</w:t>
      </w:r>
      <w:r>
        <w:rPr>
          <w:szCs w:val="24"/>
        </w:rPr>
        <w:t xml:space="preserve">, 389(10072), 941–950. </w:t>
      </w:r>
      <w:r>
        <w:rPr/>
        <w:fldChar w:fldCharType="begin"/>
      </w:r>
      <w:r>
        <w:instrText xml:space="preserve"> HYPERLINK "https://doi.org/10.1016/S0140-6736(17)30003-X" </w:instrText>
      </w:r>
      <w:r>
        <w:rPr/>
        <w:fldChar w:fldCharType="separate"/>
      </w:r>
      <w:r>
        <w:rPr>
          <w:rStyle w:val="style85"/>
          <w:szCs w:val="24"/>
        </w:rPr>
        <w:t>https://doi.org/10.1016/S0140-6736(17)30003-X</w:t>
      </w:r>
      <w:r>
        <w:rPr/>
        <w:fldChar w:fldCharType="end"/>
      </w:r>
    </w:p>
    <w:p>
      <w:pPr>
        <w:pStyle w:val="style0"/>
        <w:spacing w:lineRule="auto" w:line="480"/>
        <w:jc w:val="both"/>
        <w:rPr>
          <w:szCs w:val="24"/>
        </w:rPr>
      </w:pPr>
      <w:r>
        <w:rPr>
          <w:szCs w:val="24"/>
        </w:rPr>
        <w:t xml:space="preserve">Wild, C. P. (2012). The exposome: From concept to utility. </w:t>
      </w:r>
      <w:r>
        <w:rPr>
          <w:i/>
          <w:iCs/>
          <w:szCs w:val="24"/>
        </w:rPr>
        <w:t>International Journal of Epidemiology</w:t>
      </w:r>
      <w:r>
        <w:rPr>
          <w:szCs w:val="24"/>
        </w:rPr>
        <w:t xml:space="preserve">, 41(1), 24–32. </w:t>
      </w:r>
      <w:r>
        <w:rPr/>
        <w:fldChar w:fldCharType="begin"/>
      </w:r>
      <w:r>
        <w:instrText xml:space="preserve"> HYPERLINK "https://doi.org/10.1093/ije/dyr236" </w:instrText>
      </w:r>
      <w:r>
        <w:rPr/>
        <w:fldChar w:fldCharType="separate"/>
      </w:r>
      <w:r>
        <w:rPr>
          <w:rStyle w:val="style85"/>
          <w:szCs w:val="24"/>
        </w:rPr>
        <w:t>https://doi.org/10.1093/ije/dyr236</w:t>
      </w:r>
      <w:r>
        <w:rPr/>
        <w:fldChar w:fldCharType="end"/>
      </w:r>
      <w:r>
        <w:rPr>
          <w:szCs w:val="24"/>
        </w:rPr>
        <w:t xml:space="preserve"> </w:t>
      </w:r>
    </w:p>
    <w:p>
      <w:pPr>
        <w:pStyle w:val="style0"/>
        <w:spacing w:lineRule="auto" w:line="480"/>
        <w:jc w:val="both"/>
        <w:rPr>
          <w:szCs w:val="24"/>
        </w:rPr>
      </w:pPr>
      <w:r>
        <w:rPr>
          <w:szCs w:val="24"/>
        </w:rPr>
        <w:t xml:space="preserve">Zlokovic, B.V. (2008). The blood-brain barrier in health and chronic neurodegenerative disorders. </w:t>
      </w:r>
      <w:r>
        <w:rPr>
          <w:i/>
          <w:iCs/>
          <w:szCs w:val="24"/>
        </w:rPr>
        <w:t>Neuron</w:t>
      </w:r>
      <w:r>
        <w:rPr>
          <w:szCs w:val="24"/>
        </w:rPr>
        <w:t>.</w:t>
      </w:r>
    </w:p>
    <w:p>
      <w:pPr>
        <w:pStyle w:val="style0"/>
        <w:spacing w:lineRule="auto" w:line="480"/>
        <w:jc w:val="both"/>
        <w:rPr>
          <w:szCs w:val="24"/>
        </w:rPr>
      </w:pPr>
    </w:p>
    <w:p>
      <w:pPr>
        <w:pStyle w:val="style0"/>
        <w:spacing w:lineRule="auto" w:line="480"/>
        <w:jc w:val="both"/>
        <w:rPr>
          <w:szCs w:val="24"/>
        </w:rPr>
      </w:pPr>
    </w:p>
    <w:p>
      <w:pPr>
        <w:pStyle w:val="style0"/>
        <w:spacing w:lineRule="auto" w:line="480"/>
        <w:jc w:val="both"/>
        <w:rPr/>
      </w:pPr>
    </w:p>
    <w:sectPr>
      <w:pgSz w:w="12240" w:h="15840" w:orient="portrait"/>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007020507"/>
    <w:charset w:val="02"/>
    <w:family w:val="roman"/>
    <w:pitch w:val="variable"/>
    <w:sig w:usb0="00000000" w:usb1="10000000" w:usb2="00000000" w:usb3="00000000" w:csb0="80000000" w:csb1="00000000"/>
  </w:font>
  <w:font w:name="Times New Roman">
    <w:altName w:val="Times New Roman"/>
    <w:panose1 w:val="02020603050004020304"/>
    <w:charset w:val="00"/>
    <w:family w:val="roman"/>
    <w:pitch w:val="variable"/>
    <w:sig w:usb0="E0002EFF" w:usb1="C000785B" w:usb2="00000009" w:usb3="00000000" w:csb0="000001FF" w:csb1="00000000"/>
  </w:font>
  <w:font w:name="Cambria">
    <w:altName w:val="Cambria"/>
    <w:panose1 w:val="02040503050004030204"/>
    <w:charset w:val="00"/>
    <w:family w:val="roman"/>
    <w:pitch w:val="variable"/>
    <w:sig w:usb0="E00006FF" w:usb1="420024FF" w:usb2="02000000" w:usb3="00000000" w:csb0="0000019F" w:csb1="00000000"/>
  </w:font>
  <w:font w:name="MS Mincho">
    <w:altName w:val="ＭＳ 明朝"/>
    <w:panose1 w:val="02020609040002080304"/>
    <w:charset w:val="80"/>
    <w:family w:val="modern"/>
    <w:pitch w:val="fixed"/>
    <w:sig w:usb0="E00002FF" w:usb1="6AC7FDFB" w:usb2="08000012" w:usb3="00000000" w:csb0="0002009F" w:csb1="00000000"/>
  </w:font>
  <w:font w:name="Calibri">
    <w:altName w:val="Calibri"/>
    <w:panose1 w:val="020f0502020002030204"/>
    <w:charset w:val="00"/>
    <w:family w:val="swiss"/>
    <w:pitch w:val="variable"/>
    <w:sig w:usb0="E4002EFF" w:usb1="C000247B" w:usb2="00000009" w:usb3="00000000" w:csb0="000001FF" w:csb1="00000000"/>
  </w:font>
  <w:font w:name="MS Gothic">
    <w:altName w:val="ＭＳ ゴシック"/>
    <w:panose1 w:val="020b0609070002080204"/>
    <w:charset w:val="80"/>
    <w:family w:val="modern"/>
    <w:pitch w:val="fixed"/>
    <w:sig w:usb0="E00002FF" w:usb1="6AC7FDFB" w:usb2="08000012" w:usb3="00000000" w:csb0="0002009F" w:csb1="00000000"/>
  </w:font>
  <w:font w:name="Courier">
    <w:altName w:val="Courier"/>
    <w:panose1 w:val="02070409020002020404"/>
    <w:charset w:val="00"/>
    <w:family w:val="auto"/>
    <w:pitch w:val="variable"/>
    <w:sig w:usb0="00000003" w:usb1="00000000" w:usb2="00000000" w:usb3="00000000" w:csb0="00000001" w:csb1="00000000"/>
  </w:font>
  <w:font w:name="ＭＳ 明朝">
    <w:altName w:val=""/>
    <w:panose1 w:val="00000000000000000000"/>
    <w:charset w:val="00"/>
    <w:family w:val="auto"/>
    <w:pitch w:val="default"/>
    <w:sig w:usb0="E0002AFF" w:usb1="C0007841" w:usb2="00000009" w:usb3="00000000" w:csb0="000001FF" w:csb1="00000000"/>
  </w:font>
  <w:font w:name="ＭＳ ゴシック">
    <w:altName w:val=""/>
    <w:panose1 w:val="00000000000000000000"/>
    <w:charset w:val="00"/>
    <w:family w:val="auto"/>
    <w:pitch w:val="default"/>
    <w:sig w:usb0="E0002AFF" w:usb1="C0007841"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C310EC42"/>
    <w:lvl w:ilvl="0">
      <w:start w:val="1"/>
      <w:numFmt w:val="decimal"/>
      <w:lvlText w:val="%1."/>
      <w:lvlJc w:val="left"/>
      <w:pPr>
        <w:tabs>
          <w:tab w:val="left" w:leader="none" w:pos="1800"/>
        </w:tabs>
        <w:ind w:left="1800" w:hanging="360"/>
      </w:pPr>
    </w:lvl>
  </w:abstractNum>
  <w:abstractNum w:abstractNumId="1">
    <w:nsid w:val="00000001"/>
    <w:multiLevelType w:val="singleLevel"/>
    <w:tmpl w:val="E4089024"/>
    <w:lvl w:ilvl="0">
      <w:start w:val="1"/>
      <w:numFmt w:val="decimal"/>
      <w:lvlText w:val="%1."/>
      <w:lvlJc w:val="left"/>
      <w:pPr>
        <w:tabs>
          <w:tab w:val="left" w:leader="none" w:pos="1440"/>
        </w:tabs>
        <w:ind w:left="1440" w:hanging="360"/>
      </w:pPr>
    </w:lvl>
  </w:abstractNum>
  <w:abstractNum w:abstractNumId="2">
    <w:nsid w:val="00000002"/>
    <w:multiLevelType w:val="singleLevel"/>
    <w:tmpl w:val="FB12693A"/>
    <w:lvl w:ilvl="0">
      <w:start w:val="1"/>
      <w:numFmt w:val="decimal"/>
      <w:pStyle w:val="style59"/>
      <w:lvlText w:val="%1."/>
      <w:lvlJc w:val="left"/>
      <w:pPr>
        <w:tabs>
          <w:tab w:val="left" w:leader="none" w:pos="1080"/>
        </w:tabs>
        <w:ind w:left="1080" w:hanging="360"/>
      </w:pPr>
    </w:lvl>
  </w:abstractNum>
  <w:abstractNum w:abstractNumId="3">
    <w:nsid w:val="00000003"/>
    <w:multiLevelType w:val="singleLevel"/>
    <w:tmpl w:val="38441652"/>
    <w:lvl w:ilvl="0">
      <w:start w:val="1"/>
      <w:numFmt w:val="decimal"/>
      <w:pStyle w:val="style58"/>
      <w:lvlText w:val="%1."/>
      <w:lvlJc w:val="left"/>
      <w:pPr>
        <w:tabs>
          <w:tab w:val="left" w:leader="none" w:pos="720"/>
        </w:tabs>
        <w:ind w:left="720" w:hanging="360"/>
      </w:pPr>
    </w:lvl>
  </w:abstractNum>
  <w:abstractNum w:abstractNumId="4">
    <w:nsid w:val="00000004"/>
    <w:multiLevelType w:val="singleLevel"/>
    <w:tmpl w:val="171AC3A4"/>
    <w:lvl w:ilvl="0">
      <w:start w:val="1"/>
      <w:numFmt w:val="bullet"/>
      <w:lvlText w:val=""/>
      <w:lvlJc w:val="left"/>
      <w:pPr>
        <w:tabs>
          <w:tab w:val="left" w:leader="none" w:pos="1440"/>
        </w:tabs>
        <w:ind w:left="1440" w:hanging="360"/>
      </w:pPr>
      <w:rPr>
        <w:rFonts w:ascii="Symbol" w:hAnsi="Symbol" w:hint="default"/>
      </w:rPr>
    </w:lvl>
  </w:abstractNum>
  <w:abstractNum w:abstractNumId="5">
    <w:nsid w:val="00000005"/>
    <w:multiLevelType w:val="singleLevel"/>
    <w:tmpl w:val="F3EAFDEC"/>
    <w:lvl w:ilvl="0">
      <w:start w:val="1"/>
      <w:numFmt w:val="bullet"/>
      <w:pStyle w:val="style55"/>
      <w:lvlText w:val=""/>
      <w:lvlJc w:val="left"/>
      <w:pPr>
        <w:tabs>
          <w:tab w:val="left" w:leader="none" w:pos="1080"/>
        </w:tabs>
        <w:ind w:left="1080" w:hanging="360"/>
      </w:pPr>
      <w:rPr>
        <w:rFonts w:ascii="Symbol" w:hAnsi="Symbol" w:hint="default"/>
      </w:rPr>
    </w:lvl>
  </w:abstractNum>
  <w:abstractNum w:abstractNumId="6">
    <w:nsid w:val="00000006"/>
    <w:multiLevelType w:val="singleLevel"/>
    <w:tmpl w:val="3D1EFFD4"/>
    <w:lvl w:ilvl="0">
      <w:start w:val="1"/>
      <w:numFmt w:val="bullet"/>
      <w:pStyle w:val="style54"/>
      <w:lvlText w:val=""/>
      <w:lvlJc w:val="left"/>
      <w:pPr>
        <w:tabs>
          <w:tab w:val="left" w:leader="none" w:pos="720"/>
        </w:tabs>
        <w:ind w:left="720" w:hanging="360"/>
      </w:pPr>
      <w:rPr>
        <w:rFonts w:ascii="Symbol" w:hAnsi="Symbol" w:hint="default"/>
      </w:rPr>
    </w:lvl>
  </w:abstractNum>
  <w:abstractNum w:abstractNumId="7">
    <w:nsid w:val="00000007"/>
    <w:multiLevelType w:val="singleLevel"/>
    <w:tmpl w:val="D0A62B40"/>
    <w:lvl w:ilvl="0">
      <w:start w:val="1"/>
      <w:numFmt w:val="decimal"/>
      <w:pStyle w:val="style49"/>
      <w:lvlText w:val="%1."/>
      <w:lvlJc w:val="left"/>
      <w:pPr>
        <w:tabs>
          <w:tab w:val="left" w:leader="none" w:pos="360"/>
        </w:tabs>
        <w:ind w:left="360" w:hanging="360"/>
      </w:pPr>
    </w:lvl>
  </w:abstractNum>
  <w:abstractNum w:abstractNumId="8">
    <w:nsid w:val="00000008"/>
    <w:multiLevelType w:val="singleLevel"/>
    <w:tmpl w:val="29761A62"/>
    <w:lvl w:ilvl="0">
      <w:start w:val="1"/>
      <w:numFmt w:val="bullet"/>
      <w:pStyle w:val="style48"/>
      <w:lvlText w:val=""/>
      <w:lvlJc w:val="left"/>
      <w:pPr>
        <w:tabs>
          <w:tab w:val="left" w:leader="none" w:pos="360"/>
        </w:tabs>
        <w:ind w:left="360" w:hanging="360"/>
      </w:pPr>
      <w:rPr>
        <w:rFonts w:ascii="Symbol" w:hAnsi="Symbol" w:hint="default"/>
      </w:rPr>
    </w:lvl>
  </w:abstractNum>
  <w:abstractNum w:abstractNumId="9">
    <w:nsid w:val="00000009"/>
    <w:multiLevelType w:val="hybridMultilevel"/>
    <w:tmpl w:val="D1CE40DE"/>
    <w:lvl w:ilvl="0" w:tplc="0C000013">
      <w:start w:val="1"/>
      <w:numFmt w:val="upperRoman"/>
      <w:lvlText w:val="%1."/>
      <w:lvlJc w:val="righ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nsid w:val="0000000A"/>
    <w:multiLevelType w:val="hybridMultilevel"/>
    <w:tmpl w:val="176E43C6"/>
    <w:lvl w:ilvl="0" w:tplc="0C000013">
      <w:start w:val="1"/>
      <w:numFmt w:val="upperRoman"/>
      <w:lvlText w:val="%1."/>
      <w:lvlJc w:val="righ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1">
    <w:nsid w:val="0000000B"/>
    <w:multiLevelType w:val="hybridMultilevel"/>
    <w:tmpl w:val="7E98F318"/>
    <w:lvl w:ilvl="0" w:tplc="0C000013">
      <w:start w:val="1"/>
      <w:numFmt w:val="upperRoman"/>
      <w:lvlText w:val="%1."/>
      <w:lvlJc w:val="righ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8"/>
  </w:num>
  <w:num w:numId="2">
    <w:abstractNumId w:val="6"/>
  </w:num>
  <w:num w:numId="3">
    <w:abstractNumId w:val="5"/>
  </w:num>
  <w:num w:numId="4">
    <w:abstractNumId w:val="7"/>
  </w:num>
  <w:num w:numId="5">
    <w:abstractNumId w:val="3"/>
  </w:num>
  <w:num w:numId="6">
    <w:abstractNumId w:val="2"/>
  </w:num>
  <w:num w:numId="7">
    <w:abstractNumId w:val="10"/>
  </w:num>
  <w:num w:numId="8">
    <w:abstractNumId w:val="4"/>
  </w:num>
  <w:num w:numId="9">
    <w:abstractNumId w:val="1"/>
  </w:num>
  <w:num w:numId="10">
    <w:abstractNumId w:val="0"/>
  </w:num>
  <w:num w:numId="11">
    <w:abstractNumId w:val="9"/>
  </w:num>
  <w:num w:numId="12">
    <w:abstractNumId w:val="11"/>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mbria" w:cs="宋体" w:eastAsia="ＭＳ 明朝" w:hAnsi="Cambria"/>
        <w:sz w:val="22"/>
        <w:szCs w:val="22"/>
        <w:lang w:val="en-US" w:bidi="ar-SA" w:eastAsia="en-US"/>
      </w:rPr>
    </w:rPrDefault>
    <w:pPrDefault>
      <w:pPr>
        <w:spacing w:after="200" w:lineRule="auto" w:line="276"/>
      </w:pPr>
    </w:pPrDefault>
  </w:docDefaults>
  <w:style w:type="paragraph" w:default="1" w:styleId="style0">
    <w:name w:val="Normal"/>
    <w:next w:val="style0"/>
    <w:qFormat/>
    <w:pPr/>
    <w:rPr>
      <w:rFonts w:ascii="Times New Roman" w:hAnsi="Times New Roman"/>
      <w:sz w:val="24"/>
    </w:rPr>
  </w:style>
  <w:style w:type="paragraph" w:styleId="style1">
    <w:name w:val="heading 1"/>
    <w:basedOn w:val="style0"/>
    <w:next w:val="style0"/>
    <w:link w:val="style4099"/>
    <w:qFormat/>
    <w:uiPriority w:val="9"/>
    <w:pPr>
      <w:keepNext/>
      <w:keepLines/>
      <w:spacing w:before="480" w:after="0"/>
      <w:outlineLvl w:val="0"/>
    </w:pPr>
    <w:rPr>
      <w:rFonts w:ascii="Calibri" w:cs="宋体" w:eastAsia="ＭＳ ゴシック" w:hAnsi="Calibri"/>
      <w:b/>
      <w:bCs/>
      <w:color w:val="365f91"/>
      <w:sz w:val="28"/>
      <w:szCs w:val="28"/>
    </w:rPr>
  </w:style>
  <w:style w:type="paragraph" w:styleId="style2">
    <w:name w:val="heading 2"/>
    <w:basedOn w:val="style0"/>
    <w:next w:val="style0"/>
    <w:link w:val="style4100"/>
    <w:qFormat/>
    <w:uiPriority w:val="9"/>
    <w:pPr>
      <w:keepNext/>
      <w:keepLines/>
      <w:spacing w:before="200" w:after="0"/>
      <w:outlineLvl w:val="1"/>
    </w:pPr>
    <w:rPr>
      <w:rFonts w:ascii="Calibri" w:cs="宋体" w:eastAsia="ＭＳ ゴシック" w:hAnsi="Calibri"/>
      <w:b/>
      <w:bCs/>
      <w:color w:val="4f81bd"/>
      <w:sz w:val="26"/>
      <w:szCs w:val="26"/>
    </w:rPr>
  </w:style>
  <w:style w:type="paragraph" w:styleId="style3">
    <w:name w:val="heading 3"/>
    <w:basedOn w:val="style0"/>
    <w:next w:val="style0"/>
    <w:link w:val="style4101"/>
    <w:qFormat/>
    <w:uiPriority w:val="9"/>
    <w:pPr>
      <w:keepNext/>
      <w:keepLines/>
      <w:spacing w:before="200" w:after="0"/>
      <w:outlineLvl w:val="2"/>
    </w:pPr>
    <w:rPr>
      <w:rFonts w:ascii="Calibri" w:cs="宋体" w:eastAsia="ＭＳ ゴシック" w:hAnsi="Calibri"/>
      <w:b/>
      <w:bCs/>
      <w:color w:val="4f81bd"/>
    </w:rPr>
  </w:style>
  <w:style w:type="paragraph" w:styleId="style4">
    <w:name w:val="heading 4"/>
    <w:basedOn w:val="style0"/>
    <w:next w:val="style0"/>
    <w:link w:val="style4109"/>
    <w:qFormat/>
    <w:uiPriority w:val="9"/>
    <w:pPr>
      <w:keepNext/>
      <w:keepLines/>
      <w:spacing w:before="200" w:after="0"/>
      <w:outlineLvl w:val="3"/>
    </w:pPr>
    <w:rPr>
      <w:rFonts w:ascii="Calibri" w:cs="宋体" w:eastAsia="ＭＳ ゴシック" w:hAnsi="Calibri"/>
      <w:b/>
      <w:bCs/>
      <w:i/>
      <w:iCs/>
      <w:color w:val="4f81bd"/>
    </w:rPr>
  </w:style>
  <w:style w:type="paragraph" w:styleId="style5">
    <w:name w:val="heading 5"/>
    <w:basedOn w:val="style0"/>
    <w:next w:val="style0"/>
    <w:link w:val="style4110"/>
    <w:qFormat/>
    <w:uiPriority w:val="9"/>
    <w:pPr>
      <w:keepNext/>
      <w:keepLines/>
      <w:spacing w:before="200" w:after="0"/>
      <w:outlineLvl w:val="4"/>
    </w:pPr>
    <w:rPr>
      <w:rFonts w:ascii="Calibri" w:cs="宋体" w:eastAsia="ＭＳ ゴシック" w:hAnsi="Calibri"/>
      <w:color w:val="243f60"/>
    </w:rPr>
  </w:style>
  <w:style w:type="paragraph" w:styleId="style6">
    <w:name w:val="heading 6"/>
    <w:basedOn w:val="style0"/>
    <w:next w:val="style0"/>
    <w:link w:val="style4111"/>
    <w:qFormat/>
    <w:uiPriority w:val="9"/>
    <w:pPr>
      <w:keepNext/>
      <w:keepLines/>
      <w:spacing w:before="200" w:after="0"/>
      <w:outlineLvl w:val="5"/>
    </w:pPr>
    <w:rPr>
      <w:rFonts w:ascii="Calibri" w:cs="宋体" w:eastAsia="ＭＳ ゴシック" w:hAnsi="Calibri"/>
      <w:i/>
      <w:iCs/>
      <w:color w:val="243f60"/>
    </w:rPr>
  </w:style>
  <w:style w:type="paragraph" w:styleId="style7">
    <w:name w:val="heading 7"/>
    <w:basedOn w:val="style0"/>
    <w:next w:val="style0"/>
    <w:link w:val="style4112"/>
    <w:qFormat/>
    <w:uiPriority w:val="9"/>
    <w:pPr>
      <w:keepNext/>
      <w:keepLines/>
      <w:spacing w:before="200" w:after="0"/>
      <w:outlineLvl w:val="6"/>
    </w:pPr>
    <w:rPr>
      <w:rFonts w:ascii="Calibri" w:cs="宋体" w:eastAsia="ＭＳ ゴシック" w:hAnsi="Calibri"/>
      <w:i/>
      <w:iCs/>
      <w:color w:val="404040"/>
    </w:rPr>
  </w:style>
  <w:style w:type="paragraph" w:styleId="style8">
    <w:name w:val="heading 8"/>
    <w:basedOn w:val="style0"/>
    <w:next w:val="style0"/>
    <w:link w:val="style4113"/>
    <w:qFormat/>
    <w:uiPriority w:val="9"/>
    <w:pPr>
      <w:keepNext/>
      <w:keepLines/>
      <w:spacing w:before="200" w:after="0"/>
      <w:outlineLvl w:val="7"/>
    </w:pPr>
    <w:rPr>
      <w:rFonts w:ascii="Calibri" w:cs="宋体" w:eastAsia="ＭＳ ゴシック" w:hAnsi="Calibri"/>
      <w:color w:val="4f81bd"/>
      <w:sz w:val="20"/>
      <w:szCs w:val="20"/>
    </w:rPr>
  </w:style>
  <w:style w:type="paragraph" w:styleId="style9">
    <w:name w:val="heading 9"/>
    <w:basedOn w:val="style0"/>
    <w:next w:val="style0"/>
    <w:link w:val="style4114"/>
    <w:qFormat/>
    <w:uiPriority w:val="9"/>
    <w:pPr>
      <w:keepNext/>
      <w:keepLines/>
      <w:spacing w:before="200" w:after="0"/>
      <w:outlineLvl w:val="8"/>
    </w:pPr>
    <w:rPr>
      <w:rFonts w:ascii="Calibri" w:cs="宋体" w:eastAsia="ＭＳ ゴシック" w:hAnsi="Calibri"/>
      <w:i/>
      <w:iCs/>
      <w:color w:val="404040"/>
      <w:sz w:val="20"/>
      <w:szCs w:val="20"/>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31">
    <w:name w:val="header"/>
    <w:basedOn w:val="style0"/>
    <w:next w:val="style31"/>
    <w:link w:val="style4097"/>
    <w:uiPriority w:val="99"/>
    <w:pPr>
      <w:tabs>
        <w:tab w:val="center" w:leader="none" w:pos="4680"/>
        <w:tab w:val="right" w:leader="none" w:pos="9360"/>
      </w:tabs>
      <w:spacing w:after="0" w:lineRule="auto" w:line="240"/>
    </w:pPr>
    <w:rPr/>
  </w:style>
  <w:style w:type="character" w:customStyle="1" w:styleId="style4097">
    <w:name w:val="Header Char_6a178f5d-d480-43b5-ad45-5101c988bbe7"/>
    <w:basedOn w:val="style65"/>
    <w:next w:val="style4097"/>
    <w:link w:val="style31"/>
    <w:uiPriority w:val="99"/>
  </w:style>
  <w:style w:type="paragraph" w:styleId="style32">
    <w:name w:val="footer"/>
    <w:basedOn w:val="style0"/>
    <w:next w:val="style32"/>
    <w:link w:val="style4098"/>
    <w:uiPriority w:val="99"/>
    <w:pPr>
      <w:tabs>
        <w:tab w:val="center" w:leader="none" w:pos="4680"/>
        <w:tab w:val="right" w:leader="none" w:pos="9360"/>
      </w:tabs>
      <w:spacing w:after="0" w:lineRule="auto" w:line="240"/>
    </w:pPr>
    <w:rPr/>
  </w:style>
  <w:style w:type="character" w:customStyle="1" w:styleId="style4098">
    <w:name w:val="Footer Char_156e5a5e-ae51-491d-9d0a-a3bae2125418"/>
    <w:basedOn w:val="style65"/>
    <w:next w:val="style4098"/>
    <w:link w:val="style32"/>
    <w:uiPriority w:val="99"/>
  </w:style>
  <w:style w:type="paragraph" w:styleId="style157">
    <w:name w:val="No Spacing"/>
    <w:next w:val="style157"/>
    <w:qFormat/>
    <w:uiPriority w:val="1"/>
    <w:pPr>
      <w:spacing w:after="0" w:lineRule="auto" w:line="240"/>
    </w:pPr>
    <w:rPr/>
  </w:style>
  <w:style w:type="character" w:customStyle="1" w:styleId="style4099">
    <w:name w:val="Heading 1 Char_b7586931-f446-4c4e-8287-26dfd5150f9e"/>
    <w:basedOn w:val="style65"/>
    <w:next w:val="style4099"/>
    <w:link w:val="style1"/>
    <w:uiPriority w:val="9"/>
    <w:rPr>
      <w:rFonts w:ascii="Calibri" w:cs="宋体" w:eastAsia="ＭＳ ゴシック" w:hAnsi="Calibri"/>
      <w:b/>
      <w:bCs/>
      <w:color w:val="365f91"/>
      <w:sz w:val="28"/>
      <w:szCs w:val="28"/>
    </w:rPr>
  </w:style>
  <w:style w:type="character" w:customStyle="1" w:styleId="style4100">
    <w:name w:val="Heading 2 Char_39473f44-2259-42ba-933a-e843961abe48"/>
    <w:basedOn w:val="style65"/>
    <w:next w:val="style4100"/>
    <w:link w:val="style2"/>
    <w:uiPriority w:val="9"/>
    <w:rPr>
      <w:rFonts w:ascii="Calibri" w:cs="宋体" w:eastAsia="ＭＳ ゴシック" w:hAnsi="Calibri"/>
      <w:b/>
      <w:bCs/>
      <w:color w:val="4f81bd"/>
      <w:sz w:val="26"/>
      <w:szCs w:val="26"/>
    </w:rPr>
  </w:style>
  <w:style w:type="character" w:customStyle="1" w:styleId="style4101">
    <w:name w:val="Heading 3 Char_18c15083-ff45-4e23-9fe9-d54d7e72c963"/>
    <w:basedOn w:val="style65"/>
    <w:next w:val="style4101"/>
    <w:link w:val="style3"/>
    <w:uiPriority w:val="9"/>
    <w:rPr>
      <w:rFonts w:ascii="Calibri" w:cs="宋体" w:eastAsia="ＭＳ ゴシック" w:hAnsi="Calibri"/>
      <w:b/>
      <w:bCs/>
      <w:color w:val="4f81bd"/>
    </w:rPr>
  </w:style>
  <w:style w:type="paragraph" w:styleId="style62">
    <w:name w:val="Title"/>
    <w:basedOn w:val="style0"/>
    <w:next w:val="style0"/>
    <w:link w:val="style4102"/>
    <w:qFormat/>
    <w:uiPriority w:val="10"/>
    <w:pPr>
      <w:pBdr>
        <w:bottom w:val="single" w:sz="8" w:space="4" w:color="4f81bd"/>
      </w:pBdr>
      <w:spacing w:after="300" w:lineRule="auto" w:line="240"/>
      <w:contextualSpacing/>
    </w:pPr>
    <w:rPr>
      <w:rFonts w:ascii="Calibri" w:cs="宋体" w:eastAsia="ＭＳ ゴシック" w:hAnsi="Calibri"/>
      <w:color w:val="17365d"/>
      <w:spacing w:val="5"/>
      <w:kern w:val="28"/>
      <w:sz w:val="52"/>
      <w:szCs w:val="52"/>
    </w:rPr>
  </w:style>
  <w:style w:type="character" w:customStyle="1" w:styleId="style4102">
    <w:name w:val="Title Char_c16b0855-f65e-46af-845c-cd8aea284ff4"/>
    <w:basedOn w:val="style65"/>
    <w:next w:val="style4102"/>
    <w:link w:val="style62"/>
    <w:uiPriority w:val="10"/>
    <w:rPr>
      <w:rFonts w:ascii="Calibri" w:cs="宋体" w:eastAsia="ＭＳ ゴシック" w:hAnsi="Calibri"/>
      <w:color w:val="17365d"/>
      <w:spacing w:val="5"/>
      <w:kern w:val="28"/>
      <w:sz w:val="52"/>
      <w:szCs w:val="52"/>
    </w:rPr>
  </w:style>
  <w:style w:type="paragraph" w:styleId="style74">
    <w:name w:val="Subtitle"/>
    <w:basedOn w:val="style0"/>
    <w:next w:val="style0"/>
    <w:link w:val="style4103"/>
    <w:qFormat/>
    <w:uiPriority w:val="11"/>
    <w:pPr>
      <w:numPr>
        <w:ilvl w:val="1"/>
        <w:numId w:val="0"/>
      </w:numPr>
    </w:pPr>
    <w:rPr>
      <w:rFonts w:ascii="Calibri" w:cs="宋体" w:eastAsia="ＭＳ ゴシック" w:hAnsi="Calibri"/>
      <w:i/>
      <w:iCs/>
      <w:color w:val="4f81bd"/>
      <w:spacing w:val="15"/>
      <w:szCs w:val="24"/>
    </w:rPr>
  </w:style>
  <w:style w:type="character" w:customStyle="1" w:styleId="style4103">
    <w:name w:val="Subtitle Char"/>
    <w:basedOn w:val="style65"/>
    <w:next w:val="style4103"/>
    <w:link w:val="style74"/>
    <w:uiPriority w:val="11"/>
    <w:rPr>
      <w:rFonts w:ascii="Calibri" w:cs="宋体" w:eastAsia="ＭＳ ゴシック" w:hAnsi="Calibri"/>
      <w:i/>
      <w:iCs/>
      <w:color w:val="4f81bd"/>
      <w:spacing w:val="15"/>
      <w:sz w:val="24"/>
      <w:szCs w:val="24"/>
    </w:rPr>
  </w:style>
  <w:style w:type="paragraph" w:styleId="style179">
    <w:name w:val="List Paragraph"/>
    <w:basedOn w:val="style0"/>
    <w:next w:val="style179"/>
    <w:qFormat/>
    <w:uiPriority w:val="34"/>
    <w:pPr>
      <w:ind w:left="720"/>
      <w:contextualSpacing/>
    </w:pPr>
    <w:rPr/>
  </w:style>
  <w:style w:type="paragraph" w:styleId="style66">
    <w:name w:val="Body Text"/>
    <w:basedOn w:val="style0"/>
    <w:next w:val="style66"/>
    <w:link w:val="style4104"/>
    <w:uiPriority w:val="99"/>
    <w:pPr>
      <w:spacing w:after="120"/>
    </w:pPr>
    <w:rPr/>
  </w:style>
  <w:style w:type="character" w:customStyle="1" w:styleId="style4104">
    <w:name w:val="Body Text Char"/>
    <w:basedOn w:val="style65"/>
    <w:next w:val="style4104"/>
    <w:link w:val="style66"/>
    <w:uiPriority w:val="99"/>
  </w:style>
  <w:style w:type="paragraph" w:styleId="style80">
    <w:name w:val="Body Text 2"/>
    <w:basedOn w:val="style0"/>
    <w:next w:val="style80"/>
    <w:link w:val="style4105"/>
    <w:uiPriority w:val="99"/>
    <w:pPr>
      <w:spacing w:after="120" w:lineRule="auto" w:line="480"/>
    </w:pPr>
    <w:rPr/>
  </w:style>
  <w:style w:type="character" w:customStyle="1" w:styleId="style4105">
    <w:name w:val="Body Text 2 Char"/>
    <w:basedOn w:val="style65"/>
    <w:next w:val="style4105"/>
    <w:link w:val="style80"/>
    <w:uiPriority w:val="99"/>
  </w:style>
  <w:style w:type="paragraph" w:styleId="style81">
    <w:name w:val="Body Text 3"/>
    <w:basedOn w:val="style0"/>
    <w:next w:val="style81"/>
    <w:link w:val="style4106"/>
    <w:uiPriority w:val="99"/>
    <w:pPr>
      <w:spacing w:after="120"/>
    </w:pPr>
    <w:rPr>
      <w:sz w:val="16"/>
      <w:szCs w:val="16"/>
    </w:rPr>
  </w:style>
  <w:style w:type="character" w:customStyle="1" w:styleId="style4106">
    <w:name w:val="Body Text 3 Char"/>
    <w:basedOn w:val="style65"/>
    <w:next w:val="style4106"/>
    <w:link w:val="style81"/>
    <w:uiPriority w:val="99"/>
    <w:rPr>
      <w:sz w:val="16"/>
      <w:szCs w:val="16"/>
    </w:rPr>
  </w:style>
  <w:style w:type="paragraph" w:styleId="style47">
    <w:name w:val="List"/>
    <w:basedOn w:val="style0"/>
    <w:next w:val="style47"/>
    <w:uiPriority w:val="99"/>
    <w:pPr>
      <w:ind w:left="360" w:hanging="360"/>
      <w:contextualSpacing/>
    </w:pPr>
    <w:rPr/>
  </w:style>
  <w:style w:type="paragraph" w:styleId="style50">
    <w:name w:val="List 2"/>
    <w:basedOn w:val="style0"/>
    <w:next w:val="style50"/>
    <w:uiPriority w:val="99"/>
    <w:pPr>
      <w:ind w:left="720" w:hanging="360"/>
      <w:contextualSpacing/>
    </w:pPr>
    <w:rPr/>
  </w:style>
  <w:style w:type="paragraph" w:styleId="style51">
    <w:name w:val="List 3"/>
    <w:basedOn w:val="style0"/>
    <w:next w:val="style51"/>
    <w:uiPriority w:val="99"/>
    <w:pPr>
      <w:ind w:left="1080" w:hanging="360"/>
      <w:contextualSpacing/>
    </w:pPr>
    <w:rPr/>
  </w:style>
  <w:style w:type="paragraph" w:styleId="style48">
    <w:name w:val="List Bullet"/>
    <w:basedOn w:val="style0"/>
    <w:next w:val="style48"/>
    <w:uiPriority w:val="99"/>
    <w:pPr>
      <w:numPr>
        <w:ilvl w:val="0"/>
        <w:numId w:val="1"/>
      </w:numPr>
      <w:contextualSpacing/>
    </w:pPr>
    <w:rPr/>
  </w:style>
  <w:style w:type="paragraph" w:styleId="style54">
    <w:name w:val="List Bullet 2"/>
    <w:basedOn w:val="style0"/>
    <w:next w:val="style54"/>
    <w:uiPriority w:val="99"/>
    <w:pPr>
      <w:numPr>
        <w:ilvl w:val="0"/>
        <w:numId w:val="2"/>
      </w:numPr>
      <w:contextualSpacing/>
    </w:pPr>
    <w:rPr/>
  </w:style>
  <w:style w:type="paragraph" w:styleId="style55">
    <w:name w:val="List Bullet 3"/>
    <w:basedOn w:val="style0"/>
    <w:next w:val="style55"/>
    <w:uiPriority w:val="99"/>
    <w:pPr>
      <w:numPr>
        <w:ilvl w:val="0"/>
        <w:numId w:val="3"/>
      </w:numPr>
      <w:contextualSpacing/>
    </w:pPr>
    <w:rPr/>
  </w:style>
  <w:style w:type="paragraph" w:styleId="style49">
    <w:name w:val="List Number"/>
    <w:basedOn w:val="style0"/>
    <w:next w:val="style49"/>
    <w:uiPriority w:val="99"/>
    <w:pPr>
      <w:numPr>
        <w:ilvl w:val="0"/>
        <w:numId w:val="4"/>
      </w:numPr>
      <w:contextualSpacing/>
    </w:pPr>
    <w:rPr/>
  </w:style>
  <w:style w:type="paragraph" w:styleId="style58">
    <w:name w:val="List Number 2"/>
    <w:basedOn w:val="style0"/>
    <w:next w:val="style58"/>
    <w:uiPriority w:val="99"/>
    <w:pPr>
      <w:numPr>
        <w:ilvl w:val="0"/>
        <w:numId w:val="5"/>
      </w:numPr>
      <w:contextualSpacing/>
    </w:pPr>
    <w:rPr/>
  </w:style>
  <w:style w:type="paragraph" w:styleId="style59">
    <w:name w:val="List Number 3"/>
    <w:basedOn w:val="style0"/>
    <w:next w:val="style59"/>
    <w:uiPriority w:val="99"/>
    <w:pPr>
      <w:numPr>
        <w:ilvl w:val="0"/>
        <w:numId w:val="6"/>
      </w:numPr>
      <w:contextualSpacing/>
    </w:pPr>
    <w:rPr/>
  </w:style>
  <w:style w:type="paragraph" w:styleId="style68">
    <w:name w:val="List Continue"/>
    <w:basedOn w:val="style0"/>
    <w:next w:val="style68"/>
    <w:uiPriority w:val="99"/>
    <w:pPr>
      <w:spacing w:after="120"/>
      <w:ind w:left="360"/>
      <w:contextualSpacing/>
    </w:pPr>
    <w:rPr/>
  </w:style>
  <w:style w:type="paragraph" w:styleId="style69">
    <w:name w:val="List Continue 2"/>
    <w:basedOn w:val="style0"/>
    <w:next w:val="style69"/>
    <w:uiPriority w:val="99"/>
    <w:pPr>
      <w:spacing w:after="120"/>
      <w:ind w:left="720"/>
      <w:contextualSpacing/>
    </w:pPr>
    <w:rPr/>
  </w:style>
  <w:style w:type="paragraph" w:styleId="style70">
    <w:name w:val="List Continue 3"/>
    <w:basedOn w:val="style0"/>
    <w:next w:val="style70"/>
    <w:uiPriority w:val="99"/>
    <w:pPr>
      <w:spacing w:after="120"/>
      <w:ind w:left="1080"/>
      <w:contextualSpacing/>
    </w:pPr>
    <w:rPr/>
  </w:style>
  <w:style w:type="paragraph" w:styleId="style45">
    <w:name w:val="macro"/>
    <w:next w:val="style45"/>
    <w:link w:val="style4107"/>
    <w:uiPriority w:val="99"/>
    <w:pPr>
      <w:tabs>
        <w:tab w:val="left" w:leader="none" w:pos="576"/>
        <w:tab w:val="left" w:leader="none" w:pos="1152"/>
        <w:tab w:val="left" w:leader="none" w:pos="1728"/>
        <w:tab w:val="left" w:leader="none" w:pos="2304"/>
        <w:tab w:val="left" w:leader="none" w:pos="2880"/>
        <w:tab w:val="left" w:leader="none" w:pos="3456"/>
        <w:tab w:val="left" w:leader="none" w:pos="4032"/>
      </w:tabs>
    </w:pPr>
    <w:rPr>
      <w:rFonts w:ascii="Courier" w:hAnsi="Courier"/>
      <w:sz w:val="20"/>
      <w:szCs w:val="20"/>
    </w:rPr>
  </w:style>
  <w:style w:type="character" w:customStyle="1" w:styleId="style4107">
    <w:name w:val="Macro Text Char"/>
    <w:basedOn w:val="style65"/>
    <w:next w:val="style4107"/>
    <w:link w:val="style45"/>
    <w:uiPriority w:val="99"/>
    <w:rPr>
      <w:rFonts w:ascii="Courier" w:hAnsi="Courier"/>
      <w:sz w:val="20"/>
      <w:szCs w:val="20"/>
    </w:rPr>
  </w:style>
  <w:style w:type="paragraph" w:styleId="style180">
    <w:name w:val="Quote"/>
    <w:basedOn w:val="style0"/>
    <w:next w:val="style0"/>
    <w:link w:val="style4108"/>
    <w:qFormat/>
    <w:uiPriority w:val="29"/>
    <w:pPr/>
    <w:rPr>
      <w:i/>
      <w:iCs/>
      <w:color w:val="000000"/>
    </w:rPr>
  </w:style>
  <w:style w:type="character" w:customStyle="1" w:styleId="style4108">
    <w:name w:val="Quote Char_2bfd7036-a7d4-4a41-a8a3-d778c9790b6d"/>
    <w:basedOn w:val="style65"/>
    <w:next w:val="style4108"/>
    <w:link w:val="style180"/>
    <w:uiPriority w:val="29"/>
    <w:rPr>
      <w:i/>
      <w:iCs/>
      <w:color w:val="000000"/>
    </w:rPr>
  </w:style>
  <w:style w:type="character" w:customStyle="1" w:styleId="style4109">
    <w:name w:val="Heading 4 Char_64b030a1-b98f-458b-80e7-bf046deb6462"/>
    <w:basedOn w:val="style65"/>
    <w:next w:val="style4109"/>
    <w:link w:val="style4"/>
    <w:uiPriority w:val="9"/>
    <w:rPr>
      <w:rFonts w:ascii="Calibri" w:cs="宋体" w:eastAsia="ＭＳ ゴシック" w:hAnsi="Calibri"/>
      <w:b/>
      <w:bCs/>
      <w:i/>
      <w:iCs/>
      <w:color w:val="4f81bd"/>
    </w:rPr>
  </w:style>
  <w:style w:type="character" w:customStyle="1" w:styleId="style4110">
    <w:name w:val="Heading 5 Char_3c07e049-b35f-4a2c-88ee-6cebae1e3a9a"/>
    <w:basedOn w:val="style65"/>
    <w:next w:val="style4110"/>
    <w:link w:val="style5"/>
    <w:uiPriority w:val="9"/>
    <w:rPr>
      <w:rFonts w:ascii="Calibri" w:cs="宋体" w:eastAsia="ＭＳ ゴシック" w:hAnsi="Calibri"/>
      <w:color w:val="243f60"/>
    </w:rPr>
  </w:style>
  <w:style w:type="character" w:customStyle="1" w:styleId="style4111">
    <w:name w:val="Heading 6 Char_8113db19-d733-4ef5-b5b5-4346745a1b76"/>
    <w:basedOn w:val="style65"/>
    <w:next w:val="style4111"/>
    <w:link w:val="style6"/>
    <w:uiPriority w:val="9"/>
    <w:rPr>
      <w:rFonts w:ascii="Calibri" w:cs="宋体" w:eastAsia="ＭＳ ゴシック" w:hAnsi="Calibri"/>
      <w:i/>
      <w:iCs/>
      <w:color w:val="243f60"/>
    </w:rPr>
  </w:style>
  <w:style w:type="character" w:customStyle="1" w:styleId="style4112">
    <w:name w:val="Heading 7 Char_cf404265-245b-4b38-a728-5ceebfb25639"/>
    <w:basedOn w:val="style65"/>
    <w:next w:val="style4112"/>
    <w:link w:val="style7"/>
    <w:uiPriority w:val="9"/>
    <w:rPr>
      <w:rFonts w:ascii="Calibri" w:cs="宋体" w:eastAsia="ＭＳ ゴシック" w:hAnsi="Calibri"/>
      <w:i/>
      <w:iCs/>
      <w:color w:val="404040"/>
    </w:rPr>
  </w:style>
  <w:style w:type="character" w:customStyle="1" w:styleId="style4113">
    <w:name w:val="Heading 8 Char_1aac4e28-eac7-4ab6-8357-0f0acc09ed63"/>
    <w:basedOn w:val="style65"/>
    <w:next w:val="style4113"/>
    <w:link w:val="style8"/>
    <w:uiPriority w:val="9"/>
    <w:rPr>
      <w:rFonts w:ascii="Calibri" w:cs="宋体" w:eastAsia="ＭＳ ゴシック" w:hAnsi="Calibri"/>
      <w:color w:val="4f81bd"/>
      <w:sz w:val="20"/>
      <w:szCs w:val="20"/>
    </w:rPr>
  </w:style>
  <w:style w:type="character" w:customStyle="1" w:styleId="style4114">
    <w:name w:val="Heading 9 Char_0f3b7b65-795a-4dac-8237-0b6f8463761e"/>
    <w:basedOn w:val="style65"/>
    <w:next w:val="style4114"/>
    <w:link w:val="style9"/>
    <w:uiPriority w:val="9"/>
    <w:rPr>
      <w:rFonts w:ascii="Calibri" w:cs="宋体" w:eastAsia="ＭＳ ゴシック" w:hAnsi="Calibri"/>
      <w:i/>
      <w:iCs/>
      <w:color w:val="404040"/>
      <w:sz w:val="20"/>
      <w:szCs w:val="20"/>
    </w:rPr>
  </w:style>
  <w:style w:type="paragraph" w:styleId="style34">
    <w:name w:val="caption"/>
    <w:basedOn w:val="style0"/>
    <w:next w:val="style0"/>
    <w:qFormat/>
    <w:uiPriority w:val="35"/>
    <w:pPr>
      <w:spacing w:lineRule="auto" w:line="240"/>
    </w:pPr>
    <w:rPr>
      <w:b/>
      <w:bCs/>
      <w:color w:val="4f81bd"/>
      <w:sz w:val="18"/>
      <w:szCs w:val="18"/>
    </w:rPr>
  </w:style>
  <w:style w:type="character" w:styleId="style87">
    <w:name w:val="Strong"/>
    <w:basedOn w:val="style65"/>
    <w:next w:val="style87"/>
    <w:qFormat/>
    <w:uiPriority w:val="22"/>
    <w:rPr>
      <w:b/>
      <w:bCs/>
    </w:rPr>
  </w:style>
  <w:style w:type="character" w:styleId="style88">
    <w:name w:val="Emphasis"/>
    <w:basedOn w:val="style65"/>
    <w:next w:val="style88"/>
    <w:qFormat/>
    <w:uiPriority w:val="20"/>
    <w:rPr>
      <w:i/>
      <w:iCs/>
    </w:rPr>
  </w:style>
  <w:style w:type="paragraph" w:styleId="style181">
    <w:name w:val="Intense Quote"/>
    <w:basedOn w:val="style0"/>
    <w:next w:val="style0"/>
    <w:link w:val="style4115"/>
    <w:qFormat/>
    <w:uiPriority w:val="30"/>
    <w:pPr>
      <w:pBdr>
        <w:bottom w:val="single" w:sz="4" w:space="4" w:color="4f81bd"/>
      </w:pBdr>
      <w:spacing w:before="200" w:after="280"/>
      <w:ind w:left="936" w:right="936"/>
    </w:pPr>
    <w:rPr>
      <w:b/>
      <w:bCs/>
      <w:i/>
      <w:iCs/>
      <w:color w:val="4f81bd"/>
    </w:rPr>
  </w:style>
  <w:style w:type="character" w:customStyle="1" w:styleId="style4115">
    <w:name w:val="Intense Quote Char_4bb00638-cf3d-444e-9a92-918254c1c8c9"/>
    <w:basedOn w:val="style65"/>
    <w:next w:val="style4115"/>
    <w:link w:val="style181"/>
    <w:uiPriority w:val="30"/>
    <w:rPr>
      <w:b/>
      <w:bCs/>
      <w:i/>
      <w:iCs/>
      <w:color w:val="4f81bd"/>
    </w:rPr>
  </w:style>
  <w:style w:type="character" w:styleId="style260">
    <w:name w:val="Subtle Emphasis"/>
    <w:basedOn w:val="style65"/>
    <w:next w:val="style260"/>
    <w:qFormat/>
    <w:uiPriority w:val="19"/>
    <w:rPr>
      <w:i/>
      <w:iCs/>
      <w:color w:val="808080"/>
    </w:rPr>
  </w:style>
  <w:style w:type="character" w:styleId="style261">
    <w:name w:val="Intense Emphasis"/>
    <w:basedOn w:val="style65"/>
    <w:next w:val="style261"/>
    <w:qFormat/>
    <w:uiPriority w:val="21"/>
    <w:rPr>
      <w:b/>
      <w:bCs/>
      <w:i/>
      <w:iCs/>
      <w:color w:val="4f81bd"/>
    </w:rPr>
  </w:style>
  <w:style w:type="character" w:styleId="style262">
    <w:name w:val="Subtle Reference"/>
    <w:basedOn w:val="style65"/>
    <w:next w:val="style262"/>
    <w:qFormat/>
    <w:uiPriority w:val="31"/>
    <w:rPr>
      <w:smallCaps/>
      <w:color w:val="c0504d"/>
      <w:u w:val="single"/>
    </w:rPr>
  </w:style>
  <w:style w:type="character" w:styleId="style263">
    <w:name w:val="Intense Reference"/>
    <w:basedOn w:val="style65"/>
    <w:next w:val="style263"/>
    <w:qFormat/>
    <w:uiPriority w:val="32"/>
    <w:rPr>
      <w:b/>
      <w:bCs/>
      <w:smallCaps/>
      <w:color w:val="c0504d"/>
      <w:spacing w:val="5"/>
      <w:u w:val="single"/>
    </w:rPr>
  </w:style>
  <w:style w:type="character" w:styleId="style264">
    <w:name w:val="Book Title"/>
    <w:basedOn w:val="style65"/>
    <w:next w:val="style264"/>
    <w:qFormat/>
    <w:uiPriority w:val="33"/>
    <w:rPr>
      <w:b/>
      <w:bCs/>
      <w:smallCaps/>
      <w:spacing w:val="5"/>
    </w:rPr>
  </w:style>
  <w:style w:type="paragraph" w:styleId="style266">
    <w:name w:val="TOC Heading"/>
    <w:basedOn w:val="style1"/>
    <w:next w:val="style0"/>
    <w:qFormat/>
    <w:uiPriority w:val="39"/>
    <w:pPr>
      <w:outlineLvl w:val="9"/>
    </w:pPr>
    <w:rPr/>
  </w:style>
  <w:style w:type="table" w:styleId="style154">
    <w:name w:val="Table Grid"/>
    <w:basedOn w:val="style105"/>
    <w:next w:val="style154"/>
    <w:uiPriority w:val="59"/>
    <w:pPr>
      <w:spacing w:after="0" w:lineRule="auto" w:line="240"/>
    </w:pP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table" w:styleId="style158">
    <w:name w:val="Light Shading"/>
    <w:basedOn w:val="style105"/>
    <w:next w:val="style158"/>
    <w:uiPriority w:val="60"/>
    <w:pPr>
      <w:spacing w:after="0" w:lineRule="auto" w:line="240"/>
    </w:pPr>
    <w:rPr>
      <w:color w:val="000000"/>
    </w:rPr>
    <w:tblPr>
      <w:tblStyleRowBandSize w:val="1"/>
      <w:tblStyleColBandSize w:val="1"/>
      <w:tblBorders>
        <w:top w:val="single" w:sz="8" w:space="0" w:color="000000"/>
        <w:bottom w:val="single" w:sz="8" w:space="0" w:color="000000"/>
      </w:tblBorders>
    </w:tblPr>
    <w:tblStylePr w:type="firstRow">
      <w:pPr>
        <w:spacing w:before="0" w:after="0" w:lineRule="auto" w:line="240"/>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Rule="auto" w:line="240"/>
      </w:pPr>
      <w:rPr>
        <w:b/>
        <w:bCs/>
      </w:rPr>
      <w:tblPr/>
      <w:tcPr>
        <w:tcBorders>
          <w:top w:val="single" w:sz="8" w:space="0" w:color="000000"/>
          <w:left w:val="nil"/>
          <w:bottom w:val="single" w:sz="8" w:space="0" w:color="000000"/>
          <w:right w:val="nil"/>
          <w:insideH w:val="nil"/>
          <w:insideV w:val="nil"/>
        </w:tcBorders>
      </w:tcPr>
    </w:tblStylePr>
    <w:tblStylePr w:type="band1Horz">
      <w:pPr/>
      <w:tblPr/>
      <w:tcPr>
        <w:tcBorders>
          <w:left w:val="nil"/>
          <w:right w:val="nil"/>
          <w:insideH w:val="nil"/>
          <w:insideV w:val="nil"/>
        </w:tcBorders>
        <w:shd w:val="clear" w:color="auto" w:fill="c0c0c0"/>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c0c0c0"/>
      </w:tcPr>
    </w:tblStylePr>
    <w:tcPr>
      <w:tcBorders/>
    </w:tcPr>
  </w:style>
  <w:style w:type="table" w:styleId="style172">
    <w:name w:val="Light Shading Accent 1"/>
    <w:basedOn w:val="style105"/>
    <w:next w:val="style172"/>
    <w:uiPriority w:val="60"/>
    <w:pPr>
      <w:spacing w:after="0" w:lineRule="auto" w:line="240"/>
    </w:pPr>
    <w:rPr>
      <w:color w:val="365f91"/>
    </w:rPr>
    <w:tblPr>
      <w:tblStyleRowBandSize w:val="1"/>
      <w:tblStyleColBandSize w:val="1"/>
      <w:tblBorders>
        <w:top w:val="single" w:sz="8" w:space="0" w:color="4f81bd"/>
        <w:bottom w:val="single" w:sz="8" w:space="0" w:color="4f81bd"/>
      </w:tblBorders>
    </w:tblPr>
    <w:tblStylePr w:type="firstRow">
      <w:pPr>
        <w:spacing w:before="0" w:after="0" w:lineRule="auto" w:line="240"/>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Rule="auto" w:line="240"/>
      </w:pPr>
      <w:rPr>
        <w:b/>
        <w:bCs/>
      </w:rPr>
      <w:tblPr/>
      <w:tcPr>
        <w:tcBorders>
          <w:top w:val="single" w:sz="8" w:space="0" w:color="4f81bd"/>
          <w:left w:val="nil"/>
          <w:bottom w:val="single" w:sz="8" w:space="0" w:color="4f81bd"/>
          <w:right w:val="nil"/>
          <w:insideH w:val="nil"/>
          <w:insideV w:val="nil"/>
        </w:tcBorders>
      </w:tcPr>
    </w:tblStylePr>
    <w:tblStylePr w:type="band1Horz">
      <w:pPr/>
      <w:tblPr/>
      <w:tcPr>
        <w:tcBorders>
          <w:left w:val="nil"/>
          <w:right w:val="nil"/>
          <w:insideH w:val="nil"/>
          <w:insideV w:val="nil"/>
        </w:tcBorders>
        <w:shd w:val="clear" w:color="auto" w:fill="d3dfee"/>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d3dfee"/>
      </w:tcPr>
    </w:tblStylePr>
    <w:tcPr>
      <w:tcBorders/>
    </w:tcPr>
  </w:style>
  <w:style w:type="table" w:styleId="style190">
    <w:name w:val="Light Shading Accent 2"/>
    <w:basedOn w:val="style105"/>
    <w:next w:val="style190"/>
    <w:uiPriority w:val="60"/>
    <w:pPr>
      <w:spacing w:after="0" w:lineRule="auto" w:line="240"/>
    </w:pPr>
    <w:rPr>
      <w:color w:val="943634"/>
    </w:rPr>
    <w:tblPr>
      <w:tblStyleRowBandSize w:val="1"/>
      <w:tblStyleColBandSize w:val="1"/>
      <w:tblBorders>
        <w:top w:val="single" w:sz="8" w:space="0" w:color="c0504d"/>
        <w:bottom w:val="single" w:sz="8" w:space="0" w:color="c0504d"/>
      </w:tblBorders>
    </w:tblPr>
    <w:tblStylePr w:type="firstRow">
      <w:pPr>
        <w:spacing w:before="0" w:after="0" w:lineRule="auto" w:line="240"/>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Rule="auto" w:line="240"/>
      </w:pPr>
      <w:rPr>
        <w:b/>
        <w:bCs/>
      </w:rPr>
      <w:tblPr/>
      <w:tcPr>
        <w:tcBorders>
          <w:top w:val="single" w:sz="8" w:space="0" w:color="c0504d"/>
          <w:left w:val="nil"/>
          <w:bottom w:val="single" w:sz="8" w:space="0" w:color="c0504d"/>
          <w:right w:val="nil"/>
          <w:insideH w:val="nil"/>
          <w:insideV w:val="nil"/>
        </w:tcBorders>
      </w:tcPr>
    </w:tblStylePr>
    <w:tblStylePr w:type="band1Horz">
      <w:pPr/>
      <w:tblPr/>
      <w:tcPr>
        <w:tcBorders>
          <w:left w:val="nil"/>
          <w:right w:val="nil"/>
          <w:insideH w:val="nil"/>
          <w:insideV w:val="nil"/>
        </w:tcBorders>
        <w:shd w:val="clear" w:color="auto" w:fill="efd3d2"/>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efd3d2"/>
      </w:tcPr>
    </w:tblStylePr>
    <w:tcPr>
      <w:tcBorders/>
    </w:tcPr>
  </w:style>
  <w:style w:type="table" w:styleId="style204">
    <w:name w:val="Light Shading Accent 3"/>
    <w:basedOn w:val="style105"/>
    <w:next w:val="style204"/>
    <w:uiPriority w:val="60"/>
    <w:pPr>
      <w:spacing w:after="0" w:lineRule="auto" w:line="240"/>
    </w:pPr>
    <w:rPr>
      <w:color w:val="76923c"/>
    </w:rPr>
    <w:tblPr>
      <w:tblStyleRowBandSize w:val="1"/>
      <w:tblStyleColBandSize w:val="1"/>
      <w:tblBorders>
        <w:top w:val="single" w:sz="8" w:space="0" w:color="9bbb59"/>
        <w:bottom w:val="single" w:sz="8" w:space="0" w:color="9bbb59"/>
      </w:tblBorders>
    </w:tblPr>
    <w:tblStylePr w:type="firstRow">
      <w:pPr>
        <w:spacing w:before="0" w:after="0" w:lineRule="auto" w:line="240"/>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Rule="auto" w:line="240"/>
      </w:pPr>
      <w:rPr>
        <w:b/>
        <w:bCs/>
      </w:rPr>
      <w:tblPr/>
      <w:tcPr>
        <w:tcBorders>
          <w:top w:val="single" w:sz="8" w:space="0" w:color="9bbb59"/>
          <w:left w:val="nil"/>
          <w:bottom w:val="single" w:sz="8" w:space="0" w:color="9bbb59"/>
          <w:right w:val="nil"/>
          <w:insideH w:val="nil"/>
          <w:insideV w:val="nil"/>
        </w:tcBorders>
      </w:tcPr>
    </w:tblStylePr>
    <w:tblStylePr w:type="band1Horz">
      <w:pPr/>
      <w:tblPr/>
      <w:tcPr>
        <w:tcBorders>
          <w:left w:val="nil"/>
          <w:right w:val="nil"/>
          <w:insideH w:val="nil"/>
          <w:insideV w:val="nil"/>
        </w:tcBorders>
        <w:shd w:val="clear" w:color="auto" w:fill="e6eed5"/>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e6eed5"/>
      </w:tcPr>
    </w:tblStylePr>
    <w:tcPr>
      <w:tcBorders/>
    </w:tcPr>
  </w:style>
  <w:style w:type="table" w:styleId="style218">
    <w:name w:val="Light Shading Accent 4"/>
    <w:basedOn w:val="style105"/>
    <w:next w:val="style218"/>
    <w:uiPriority w:val="60"/>
    <w:pPr>
      <w:spacing w:after="0" w:lineRule="auto" w:line="240"/>
    </w:pPr>
    <w:rPr>
      <w:color w:val="5f497a"/>
    </w:rPr>
    <w:tblPr>
      <w:tblStyleRowBandSize w:val="1"/>
      <w:tblStyleColBandSize w:val="1"/>
      <w:tblBorders>
        <w:top w:val="single" w:sz="8" w:space="0" w:color="8064a2"/>
        <w:bottom w:val="single" w:sz="8" w:space="0" w:color="8064a2"/>
      </w:tblBorders>
    </w:tblPr>
    <w:tblStylePr w:type="firstRow">
      <w:pPr>
        <w:spacing w:before="0" w:after="0" w:lineRule="auto" w:line="240"/>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Rule="auto" w:line="240"/>
      </w:pPr>
      <w:rPr>
        <w:b/>
        <w:bCs/>
      </w:rPr>
      <w:tblPr/>
      <w:tcPr>
        <w:tcBorders>
          <w:top w:val="single" w:sz="8" w:space="0" w:color="8064a2"/>
          <w:left w:val="nil"/>
          <w:bottom w:val="single" w:sz="8" w:space="0" w:color="8064a2"/>
          <w:right w:val="nil"/>
          <w:insideH w:val="nil"/>
          <w:insideV w:val="nil"/>
        </w:tcBorders>
      </w:tcPr>
    </w:tblStylePr>
    <w:tblStylePr w:type="band1Horz">
      <w:pPr/>
      <w:tblPr/>
      <w:tcPr>
        <w:tcBorders>
          <w:left w:val="nil"/>
          <w:right w:val="nil"/>
          <w:insideH w:val="nil"/>
          <w:insideV w:val="nil"/>
        </w:tcBorders>
        <w:shd w:val="clear" w:color="auto" w:fill="dfd8e8"/>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dfd8e8"/>
      </w:tcPr>
    </w:tblStylePr>
    <w:tcPr>
      <w:tcBorders/>
    </w:tcPr>
  </w:style>
  <w:style w:type="table" w:styleId="style232">
    <w:name w:val="Light Shading Accent 5"/>
    <w:basedOn w:val="style105"/>
    <w:next w:val="style232"/>
    <w:uiPriority w:val="60"/>
    <w:pPr>
      <w:spacing w:after="0" w:lineRule="auto" w:line="240"/>
    </w:pPr>
    <w:rPr>
      <w:color w:val="31849b"/>
    </w:rPr>
    <w:tblPr>
      <w:tblStyleRowBandSize w:val="1"/>
      <w:tblStyleColBandSize w:val="1"/>
      <w:tblBorders>
        <w:top w:val="single" w:sz="8" w:space="0" w:color="4bacc6"/>
        <w:bottom w:val="single" w:sz="8" w:space="0" w:color="4bacc6"/>
      </w:tblBorders>
    </w:tblPr>
    <w:tblStylePr w:type="firstRow">
      <w:pPr>
        <w:spacing w:before="0" w:after="0" w:lineRule="auto" w:line="240"/>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Rule="auto" w:line="240"/>
      </w:pPr>
      <w:rPr>
        <w:b/>
        <w:bCs/>
      </w:rPr>
      <w:tblPr/>
      <w:tcPr>
        <w:tcBorders>
          <w:top w:val="single" w:sz="8" w:space="0" w:color="4bacc6"/>
          <w:left w:val="nil"/>
          <w:bottom w:val="single" w:sz="8" w:space="0" w:color="4bacc6"/>
          <w:right w:val="nil"/>
          <w:insideH w:val="nil"/>
          <w:insideV w:val="nil"/>
        </w:tcBorders>
      </w:tcPr>
    </w:tblStylePr>
    <w:tblStylePr w:type="band1Horz">
      <w:pPr/>
      <w:tblPr/>
      <w:tcPr>
        <w:tcBorders>
          <w:left w:val="nil"/>
          <w:right w:val="nil"/>
          <w:insideH w:val="nil"/>
          <w:insideV w:val="nil"/>
        </w:tcBorders>
        <w:shd w:val="clear" w:color="auto" w:fill="d2eaf1"/>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d2eaf1"/>
      </w:tcPr>
    </w:tblStylePr>
    <w:tcPr>
      <w:tcBorders/>
    </w:tcPr>
  </w:style>
  <w:style w:type="table" w:styleId="style246">
    <w:name w:val="Light Shading Accent 6"/>
    <w:basedOn w:val="style105"/>
    <w:next w:val="style246"/>
    <w:uiPriority w:val="60"/>
    <w:pPr>
      <w:spacing w:after="0" w:lineRule="auto" w:line="240"/>
    </w:pPr>
    <w:rPr>
      <w:color w:val="e36c0a"/>
    </w:rPr>
    <w:tblPr>
      <w:tblStyleRowBandSize w:val="1"/>
      <w:tblStyleColBandSize w:val="1"/>
      <w:tblBorders>
        <w:top w:val="single" w:sz="8" w:space="0" w:color="f79646"/>
        <w:bottom w:val="single" w:sz="8" w:space="0" w:color="f79646"/>
      </w:tblBorders>
    </w:tblPr>
    <w:tblStylePr w:type="firstRow">
      <w:pPr>
        <w:spacing w:before="0" w:after="0" w:lineRule="auto" w:line="240"/>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Rule="auto" w:line="240"/>
      </w:pPr>
      <w:rPr>
        <w:b/>
        <w:bCs/>
      </w:rPr>
      <w:tblPr/>
      <w:tcPr>
        <w:tcBorders>
          <w:top w:val="single" w:sz="8" w:space="0" w:color="f79646"/>
          <w:left w:val="nil"/>
          <w:bottom w:val="single" w:sz="8" w:space="0" w:color="f79646"/>
          <w:right w:val="nil"/>
          <w:insideH w:val="nil"/>
          <w:insideV w:val="nil"/>
        </w:tcBorders>
      </w:tcPr>
    </w:tblStylePr>
    <w:tblStylePr w:type="band1Horz">
      <w:pPr/>
      <w:tblPr/>
      <w:tcPr>
        <w:tcBorders>
          <w:left w:val="nil"/>
          <w:right w:val="nil"/>
          <w:insideH w:val="nil"/>
          <w:insideV w:val="nil"/>
        </w:tcBorders>
        <w:shd w:val="clear" w:color="auto" w:fill="fde4d0"/>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fde4d0"/>
      </w:tcPr>
    </w:tblStylePr>
    <w:tcPr>
      <w:tcBorders/>
    </w:tcPr>
  </w:style>
  <w:style w:type="table" w:styleId="style159">
    <w:name w:val="Light List"/>
    <w:basedOn w:val="style105"/>
    <w:next w:val="style159"/>
    <w:uiPriority w:val="61"/>
    <w:pPr>
      <w:spacing w:after="0" w:lineRule="auto" w:line="240"/>
    </w:pPr>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Rule="auto" w:line="240"/>
      </w:pPr>
      <w:rPr>
        <w:b/>
        <w:bCs/>
        <w:color w:val="ffffff"/>
      </w:rPr>
      <w:tblPr/>
      <w:tcPr>
        <w:tcBorders/>
        <w:shd w:val="clear" w:color="auto" w:fill="000000"/>
      </w:tcPr>
    </w:tblStylePr>
    <w:tblStylePr w:type="lastRow">
      <w:pPr>
        <w:spacing w:before="0" w:after="0" w:lineRule="auto" w:line="240"/>
      </w:pPr>
      <w:rPr>
        <w:b/>
        <w:bCs/>
      </w:rPr>
      <w:tblPr/>
      <w:tcPr>
        <w:tcBorders>
          <w:top w:val="double" w:sz="6" w:space="0" w:color="000000"/>
          <w:left w:val="single" w:sz="8" w:space="0" w:color="000000"/>
          <w:bottom w:val="single" w:sz="8" w:space="0" w:color="000000"/>
          <w:right w:val="single" w:sz="8" w:space="0" w:color="000000"/>
        </w:tcBorders>
      </w:tcPr>
    </w:tblStylePr>
    <w:tblStylePr w:type="band1Horz">
      <w:pPr/>
      <w:tblPr/>
      <w:tcPr>
        <w:tcBorders>
          <w:top w:val="single" w:sz="8" w:space="0" w:color="000000"/>
          <w:left w:val="single" w:sz="8" w:space="0" w:color="000000"/>
          <w:bottom w:val="single" w:sz="8" w:space="0" w:color="000000"/>
          <w:right w:val="single" w:sz="8" w:space="0" w:color="000000"/>
        </w:tcBorders>
      </w:tcPr>
    </w:tblStylePr>
    <w:tblStylePr w:type="firstCol">
      <w:pPr/>
      <w:rPr>
        <w:b/>
        <w:bCs/>
      </w:rPr>
      <w:tcPr>
        <w:tcBorders/>
      </w:tcPr>
    </w:tblStylePr>
    <w:tblStylePr w:type="lastCol">
      <w:pPr/>
      <w:rPr>
        <w:b/>
        <w:bCs/>
      </w:rPr>
      <w:tcPr>
        <w:tcBorders/>
      </w:tcPr>
    </w:tblStylePr>
    <w:tblStylePr w:type="band1Vert">
      <w:pPr/>
      <w:tblPr/>
      <w:tcPr>
        <w:tcBorders>
          <w:top w:val="single" w:sz="8" w:space="0" w:color="000000"/>
          <w:left w:val="single" w:sz="8" w:space="0" w:color="000000"/>
          <w:bottom w:val="single" w:sz="8" w:space="0" w:color="000000"/>
          <w:right w:val="single" w:sz="8" w:space="0" w:color="000000"/>
        </w:tcBorders>
      </w:tcPr>
    </w:tblStylePr>
    <w:tcPr>
      <w:tcBorders/>
    </w:tcPr>
  </w:style>
  <w:style w:type="table" w:styleId="style173">
    <w:name w:val="Light List Accent 1"/>
    <w:basedOn w:val="style105"/>
    <w:next w:val="style173"/>
    <w:uiPriority w:val="61"/>
    <w:pPr>
      <w:spacing w:after="0" w:lineRule="auto" w:line="240"/>
    </w:pPr>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Rule="auto" w:line="240"/>
      </w:pPr>
      <w:rPr>
        <w:b/>
        <w:bCs/>
        <w:color w:val="ffffff"/>
      </w:rPr>
      <w:tblPr/>
      <w:tcPr>
        <w:tcBorders/>
        <w:shd w:val="clear" w:color="auto" w:fill="4f81bd"/>
      </w:tcPr>
    </w:tblStylePr>
    <w:tblStylePr w:type="lastRow">
      <w:pPr>
        <w:spacing w:before="0" w:after="0" w:lineRule="auto" w:line="240"/>
      </w:pPr>
      <w:rPr>
        <w:b/>
        <w:bCs/>
      </w:rPr>
      <w:tblPr/>
      <w:tcPr>
        <w:tcBorders>
          <w:top w:val="double" w:sz="6" w:space="0" w:color="4f81bd"/>
          <w:left w:val="single" w:sz="8" w:space="0" w:color="4f81bd"/>
          <w:bottom w:val="single" w:sz="8" w:space="0" w:color="4f81bd"/>
          <w:right w:val="single" w:sz="8" w:space="0" w:color="4f81bd"/>
        </w:tcBorders>
      </w:tcPr>
    </w:tblStylePr>
    <w:tblStylePr w:type="band1Horz">
      <w:pPr/>
      <w:tblPr/>
      <w:tcPr>
        <w:tcBorders>
          <w:top w:val="single" w:sz="8" w:space="0" w:color="4f81bd"/>
          <w:left w:val="single" w:sz="8" w:space="0" w:color="4f81bd"/>
          <w:bottom w:val="single" w:sz="8" w:space="0" w:color="4f81bd"/>
          <w:right w:val="single" w:sz="8" w:space="0" w:color="4f81bd"/>
        </w:tcBorders>
      </w:tcPr>
    </w:tblStylePr>
    <w:tblStylePr w:type="firstCol">
      <w:pPr/>
      <w:rPr>
        <w:b/>
        <w:bCs/>
      </w:rPr>
      <w:tcPr>
        <w:tcBorders/>
      </w:tcPr>
    </w:tblStylePr>
    <w:tblStylePr w:type="lastCol">
      <w:pPr/>
      <w:rPr>
        <w:b/>
        <w:bCs/>
      </w:rPr>
      <w:tcPr>
        <w:tcBorders/>
      </w:tcPr>
    </w:tblStylePr>
    <w:tblStylePr w:type="band1Vert">
      <w:pPr/>
      <w:tblPr/>
      <w:tcPr>
        <w:tcBorders>
          <w:top w:val="single" w:sz="8" w:space="0" w:color="4f81bd"/>
          <w:left w:val="single" w:sz="8" w:space="0" w:color="4f81bd"/>
          <w:bottom w:val="single" w:sz="8" w:space="0" w:color="4f81bd"/>
          <w:right w:val="single" w:sz="8" w:space="0" w:color="4f81bd"/>
        </w:tcBorders>
      </w:tcPr>
    </w:tblStylePr>
    <w:tcPr>
      <w:tcBorders/>
    </w:tcPr>
  </w:style>
  <w:style w:type="table" w:styleId="style191">
    <w:name w:val="Light List Accent 2"/>
    <w:basedOn w:val="style105"/>
    <w:next w:val="style191"/>
    <w:uiPriority w:val="61"/>
    <w:pPr>
      <w:spacing w:after="0" w:lineRule="auto" w:line="240"/>
    </w:pPr>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Rule="auto" w:line="240"/>
      </w:pPr>
      <w:rPr>
        <w:b/>
        <w:bCs/>
        <w:color w:val="ffffff"/>
      </w:rPr>
      <w:tblPr/>
      <w:tcPr>
        <w:tcBorders/>
        <w:shd w:val="clear" w:color="auto" w:fill="c0504d"/>
      </w:tcPr>
    </w:tblStylePr>
    <w:tblStylePr w:type="lastRow">
      <w:pPr>
        <w:spacing w:before="0" w:after="0" w:lineRule="auto" w:line="240"/>
      </w:pPr>
      <w:rPr>
        <w:b/>
        <w:bCs/>
      </w:rPr>
      <w:tblPr/>
      <w:tcPr>
        <w:tcBorders>
          <w:top w:val="double" w:sz="6" w:space="0" w:color="c0504d"/>
          <w:left w:val="single" w:sz="8" w:space="0" w:color="c0504d"/>
          <w:bottom w:val="single" w:sz="8" w:space="0" w:color="c0504d"/>
          <w:right w:val="single" w:sz="8" w:space="0" w:color="c0504d"/>
        </w:tcBorders>
      </w:tcPr>
    </w:tblStylePr>
    <w:tblStylePr w:type="band1Horz">
      <w:pPr/>
      <w:tblPr/>
      <w:tcPr>
        <w:tcBorders>
          <w:top w:val="single" w:sz="8" w:space="0" w:color="c0504d"/>
          <w:left w:val="single" w:sz="8" w:space="0" w:color="c0504d"/>
          <w:bottom w:val="single" w:sz="8" w:space="0" w:color="c0504d"/>
          <w:right w:val="single" w:sz="8" w:space="0" w:color="c0504d"/>
        </w:tcBorders>
      </w:tcPr>
    </w:tblStylePr>
    <w:tblStylePr w:type="firstCol">
      <w:pPr/>
      <w:rPr>
        <w:b/>
        <w:bCs/>
      </w:rPr>
      <w:tcPr>
        <w:tcBorders/>
      </w:tcPr>
    </w:tblStylePr>
    <w:tblStylePr w:type="lastCol">
      <w:pPr/>
      <w:rPr>
        <w:b/>
        <w:bCs/>
      </w:rPr>
      <w:tcPr>
        <w:tcBorders/>
      </w:tcPr>
    </w:tblStylePr>
    <w:tblStylePr w:type="band1Vert">
      <w:pPr/>
      <w:tblPr/>
      <w:tcPr>
        <w:tcBorders>
          <w:top w:val="single" w:sz="8" w:space="0" w:color="c0504d"/>
          <w:left w:val="single" w:sz="8" w:space="0" w:color="c0504d"/>
          <w:bottom w:val="single" w:sz="8" w:space="0" w:color="c0504d"/>
          <w:right w:val="single" w:sz="8" w:space="0" w:color="c0504d"/>
        </w:tcBorders>
      </w:tcPr>
    </w:tblStylePr>
    <w:tcPr>
      <w:tcBorders/>
    </w:tcPr>
  </w:style>
  <w:style w:type="table" w:styleId="style205">
    <w:name w:val="Light List Accent 3"/>
    <w:basedOn w:val="style105"/>
    <w:next w:val="style205"/>
    <w:uiPriority w:val="61"/>
    <w:pPr>
      <w:spacing w:after="0" w:lineRule="auto" w:line="240"/>
    </w:pPr>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Rule="auto" w:line="240"/>
      </w:pPr>
      <w:rPr>
        <w:b/>
        <w:bCs/>
        <w:color w:val="ffffff"/>
      </w:rPr>
      <w:tblPr/>
      <w:tcPr>
        <w:tcBorders/>
        <w:shd w:val="clear" w:color="auto" w:fill="9bbb59"/>
      </w:tcPr>
    </w:tblStylePr>
    <w:tblStylePr w:type="lastRow">
      <w:pPr>
        <w:spacing w:before="0" w:after="0" w:lineRule="auto" w:line="240"/>
      </w:pPr>
      <w:rPr>
        <w:b/>
        <w:bCs/>
      </w:rPr>
      <w:tblPr/>
      <w:tcPr>
        <w:tcBorders>
          <w:top w:val="double" w:sz="6" w:space="0" w:color="9bbb59"/>
          <w:left w:val="single" w:sz="8" w:space="0" w:color="9bbb59"/>
          <w:bottom w:val="single" w:sz="8" w:space="0" w:color="9bbb59"/>
          <w:right w:val="single" w:sz="8" w:space="0" w:color="9bbb59"/>
        </w:tcBorders>
      </w:tcPr>
    </w:tblStylePr>
    <w:tblStylePr w:type="band1Horz">
      <w:pPr/>
      <w:tblPr/>
      <w:tcPr>
        <w:tcBorders>
          <w:top w:val="single" w:sz="8" w:space="0" w:color="9bbb59"/>
          <w:left w:val="single" w:sz="8" w:space="0" w:color="9bbb59"/>
          <w:bottom w:val="single" w:sz="8" w:space="0" w:color="9bbb59"/>
          <w:right w:val="single" w:sz="8" w:space="0" w:color="9bbb59"/>
        </w:tcBorders>
      </w:tcPr>
    </w:tblStylePr>
    <w:tblStylePr w:type="firstCol">
      <w:pPr/>
      <w:rPr>
        <w:b/>
        <w:bCs/>
      </w:rPr>
      <w:tcPr>
        <w:tcBorders/>
      </w:tcPr>
    </w:tblStylePr>
    <w:tblStylePr w:type="lastCol">
      <w:pPr/>
      <w:rPr>
        <w:b/>
        <w:bCs/>
      </w:rPr>
      <w:tcPr>
        <w:tcBorders/>
      </w:tcPr>
    </w:tblStylePr>
    <w:tblStylePr w:type="band1Vert">
      <w:pPr/>
      <w:tblPr/>
      <w:tcPr>
        <w:tcBorders>
          <w:top w:val="single" w:sz="8" w:space="0" w:color="9bbb59"/>
          <w:left w:val="single" w:sz="8" w:space="0" w:color="9bbb59"/>
          <w:bottom w:val="single" w:sz="8" w:space="0" w:color="9bbb59"/>
          <w:right w:val="single" w:sz="8" w:space="0" w:color="9bbb59"/>
        </w:tcBorders>
      </w:tcPr>
    </w:tblStylePr>
    <w:tcPr>
      <w:tcBorders/>
    </w:tcPr>
  </w:style>
  <w:style w:type="table" w:styleId="style219">
    <w:name w:val="Light List Accent 4"/>
    <w:basedOn w:val="style105"/>
    <w:next w:val="style219"/>
    <w:uiPriority w:val="61"/>
    <w:pPr>
      <w:spacing w:after="0" w:lineRule="auto" w:line="240"/>
    </w:pPr>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Rule="auto" w:line="240"/>
      </w:pPr>
      <w:rPr>
        <w:b/>
        <w:bCs/>
        <w:color w:val="ffffff"/>
      </w:rPr>
      <w:tblPr/>
      <w:tcPr>
        <w:tcBorders/>
        <w:shd w:val="clear" w:color="auto" w:fill="8064a2"/>
      </w:tcPr>
    </w:tblStylePr>
    <w:tblStylePr w:type="lastRow">
      <w:pPr>
        <w:spacing w:before="0" w:after="0" w:lineRule="auto" w:line="240"/>
      </w:pPr>
      <w:rPr>
        <w:b/>
        <w:bCs/>
      </w:rPr>
      <w:tblPr/>
      <w:tcPr>
        <w:tcBorders>
          <w:top w:val="double" w:sz="6" w:space="0" w:color="8064a2"/>
          <w:left w:val="single" w:sz="8" w:space="0" w:color="8064a2"/>
          <w:bottom w:val="single" w:sz="8" w:space="0" w:color="8064a2"/>
          <w:right w:val="single" w:sz="8" w:space="0" w:color="8064a2"/>
        </w:tcBorders>
      </w:tcPr>
    </w:tblStylePr>
    <w:tblStylePr w:type="band1Horz">
      <w:pPr/>
      <w:tblPr/>
      <w:tcPr>
        <w:tcBorders>
          <w:top w:val="single" w:sz="8" w:space="0" w:color="8064a2"/>
          <w:left w:val="single" w:sz="8" w:space="0" w:color="8064a2"/>
          <w:bottom w:val="single" w:sz="8" w:space="0" w:color="8064a2"/>
          <w:right w:val="single" w:sz="8" w:space="0" w:color="8064a2"/>
        </w:tcBorders>
      </w:tcPr>
    </w:tblStylePr>
    <w:tblStylePr w:type="firstCol">
      <w:pPr/>
      <w:rPr>
        <w:b/>
        <w:bCs/>
      </w:rPr>
      <w:tcPr>
        <w:tcBorders/>
      </w:tcPr>
    </w:tblStylePr>
    <w:tblStylePr w:type="lastCol">
      <w:pPr/>
      <w:rPr>
        <w:b/>
        <w:bCs/>
      </w:rPr>
      <w:tcPr>
        <w:tcBorders/>
      </w:tcPr>
    </w:tblStylePr>
    <w:tblStylePr w:type="band1Vert">
      <w:pPr/>
      <w:tblPr/>
      <w:tcPr>
        <w:tcBorders>
          <w:top w:val="single" w:sz="8" w:space="0" w:color="8064a2"/>
          <w:left w:val="single" w:sz="8" w:space="0" w:color="8064a2"/>
          <w:bottom w:val="single" w:sz="8" w:space="0" w:color="8064a2"/>
          <w:right w:val="single" w:sz="8" w:space="0" w:color="8064a2"/>
        </w:tcBorders>
      </w:tcPr>
    </w:tblStylePr>
    <w:tcPr>
      <w:tcBorders/>
    </w:tcPr>
  </w:style>
  <w:style w:type="table" w:styleId="style233">
    <w:name w:val="Light List Accent 5"/>
    <w:basedOn w:val="style105"/>
    <w:next w:val="style233"/>
    <w:uiPriority w:val="61"/>
    <w:pPr>
      <w:spacing w:after="0" w:lineRule="auto" w:line="240"/>
    </w:pPr>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Rule="auto" w:line="240"/>
      </w:pPr>
      <w:rPr>
        <w:b/>
        <w:bCs/>
        <w:color w:val="ffffff"/>
      </w:rPr>
      <w:tblPr/>
      <w:tcPr>
        <w:tcBorders/>
        <w:shd w:val="clear" w:color="auto" w:fill="4bacc6"/>
      </w:tcPr>
    </w:tblStylePr>
    <w:tblStylePr w:type="lastRow">
      <w:pPr>
        <w:spacing w:before="0" w:after="0" w:lineRule="auto" w:line="240"/>
      </w:pPr>
      <w:rPr>
        <w:b/>
        <w:bCs/>
      </w:rPr>
      <w:tblPr/>
      <w:tcPr>
        <w:tcBorders>
          <w:top w:val="double" w:sz="6" w:space="0" w:color="4bacc6"/>
          <w:left w:val="single" w:sz="8" w:space="0" w:color="4bacc6"/>
          <w:bottom w:val="single" w:sz="8" w:space="0" w:color="4bacc6"/>
          <w:right w:val="single" w:sz="8" w:space="0" w:color="4bacc6"/>
        </w:tcBorders>
      </w:tcPr>
    </w:tblStylePr>
    <w:tblStylePr w:type="band1Horz">
      <w:pPr/>
      <w:tblPr/>
      <w:tcPr>
        <w:tcBorders>
          <w:top w:val="single" w:sz="8" w:space="0" w:color="4bacc6"/>
          <w:left w:val="single" w:sz="8" w:space="0" w:color="4bacc6"/>
          <w:bottom w:val="single" w:sz="8" w:space="0" w:color="4bacc6"/>
          <w:right w:val="single" w:sz="8" w:space="0" w:color="4bacc6"/>
        </w:tcBorders>
      </w:tcPr>
    </w:tblStylePr>
    <w:tblStylePr w:type="firstCol">
      <w:pPr/>
      <w:rPr>
        <w:b/>
        <w:bCs/>
      </w:rPr>
      <w:tcPr>
        <w:tcBorders/>
      </w:tcPr>
    </w:tblStylePr>
    <w:tblStylePr w:type="lastCol">
      <w:pPr/>
      <w:rPr>
        <w:b/>
        <w:bCs/>
      </w:rPr>
      <w:tcPr>
        <w:tcBorders/>
      </w:tcPr>
    </w:tblStylePr>
    <w:tblStylePr w:type="band1Vert">
      <w:pPr/>
      <w:tblPr/>
      <w:tcPr>
        <w:tcBorders>
          <w:top w:val="single" w:sz="8" w:space="0" w:color="4bacc6"/>
          <w:left w:val="single" w:sz="8" w:space="0" w:color="4bacc6"/>
          <w:bottom w:val="single" w:sz="8" w:space="0" w:color="4bacc6"/>
          <w:right w:val="single" w:sz="8" w:space="0" w:color="4bacc6"/>
        </w:tcBorders>
      </w:tcPr>
    </w:tblStylePr>
    <w:tcPr>
      <w:tcBorders/>
    </w:tcPr>
  </w:style>
  <w:style w:type="table" w:styleId="style247">
    <w:name w:val="Light List Accent 6"/>
    <w:basedOn w:val="style105"/>
    <w:next w:val="style247"/>
    <w:uiPriority w:val="61"/>
    <w:pPr>
      <w:spacing w:after="0" w:lineRule="auto" w:line="240"/>
    </w:pPr>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Rule="auto" w:line="240"/>
      </w:pPr>
      <w:rPr>
        <w:b/>
        <w:bCs/>
        <w:color w:val="ffffff"/>
      </w:rPr>
      <w:tblPr/>
      <w:tcPr>
        <w:tcBorders/>
        <w:shd w:val="clear" w:color="auto" w:fill="f79646"/>
      </w:tcPr>
    </w:tblStylePr>
    <w:tblStylePr w:type="lastRow">
      <w:pPr>
        <w:spacing w:before="0" w:after="0" w:lineRule="auto" w:line="240"/>
      </w:pPr>
      <w:rPr>
        <w:b/>
        <w:bCs/>
      </w:rPr>
      <w:tblPr/>
      <w:tcPr>
        <w:tcBorders>
          <w:top w:val="double" w:sz="6" w:space="0" w:color="f79646"/>
          <w:left w:val="single" w:sz="8" w:space="0" w:color="f79646"/>
          <w:bottom w:val="single" w:sz="8" w:space="0" w:color="f79646"/>
          <w:right w:val="single" w:sz="8" w:space="0" w:color="f79646"/>
        </w:tcBorders>
      </w:tcPr>
    </w:tblStylePr>
    <w:tblStylePr w:type="band1Horz">
      <w:pPr/>
      <w:tblPr/>
      <w:tcPr>
        <w:tcBorders>
          <w:top w:val="single" w:sz="8" w:space="0" w:color="f79646"/>
          <w:left w:val="single" w:sz="8" w:space="0" w:color="f79646"/>
          <w:bottom w:val="single" w:sz="8" w:space="0" w:color="f79646"/>
          <w:right w:val="single" w:sz="8" w:space="0" w:color="f79646"/>
        </w:tcBorders>
      </w:tcPr>
    </w:tblStylePr>
    <w:tblStylePr w:type="firstCol">
      <w:pPr/>
      <w:rPr>
        <w:b/>
        <w:bCs/>
      </w:rPr>
      <w:tcPr>
        <w:tcBorders/>
      </w:tcPr>
    </w:tblStylePr>
    <w:tblStylePr w:type="lastCol">
      <w:pPr/>
      <w:rPr>
        <w:b/>
        <w:bCs/>
      </w:rPr>
      <w:tcPr>
        <w:tcBorders/>
      </w:tcPr>
    </w:tblStylePr>
    <w:tblStylePr w:type="band1Vert">
      <w:pPr/>
      <w:tblPr/>
      <w:tcPr>
        <w:tcBorders>
          <w:top w:val="single" w:sz="8" w:space="0" w:color="f79646"/>
          <w:left w:val="single" w:sz="8" w:space="0" w:color="f79646"/>
          <w:bottom w:val="single" w:sz="8" w:space="0" w:color="f79646"/>
          <w:right w:val="single" w:sz="8" w:space="0" w:color="f79646"/>
        </w:tcBorders>
      </w:tcPr>
    </w:tblStylePr>
    <w:tcPr>
      <w:tcBorders/>
    </w:tcPr>
  </w:style>
  <w:style w:type="table" w:styleId="style160">
    <w:name w:val="Light Grid"/>
    <w:basedOn w:val="style105"/>
    <w:next w:val="style160"/>
    <w:uiPriority w:val="62"/>
    <w:pPr>
      <w:spacing w:after="0" w:lineRule="auto" w:line="240"/>
    </w:pP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Rule="auto" w:line="240"/>
      </w:pPr>
      <w:rPr>
        <w:rFonts w:ascii="Calibri" w:cs="宋体" w:eastAsia="ＭＳ ゴシック" w:hAnsi="Calibri"/>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Rule="auto" w:line="240"/>
      </w:pPr>
      <w:rPr>
        <w:rFonts w:ascii="Calibri" w:cs="宋体" w:eastAsia="ＭＳ ゴシック" w:hAnsi="Calibri"/>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band1Horz">
      <w:pPr/>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pPr/>
      <w:tblPr/>
      <w:tcPr>
        <w:tcBorders>
          <w:top w:val="single" w:sz="8" w:space="0" w:color="000000"/>
          <w:left w:val="single" w:sz="8" w:space="0" w:color="000000"/>
          <w:bottom w:val="single" w:sz="8" w:space="0" w:color="000000"/>
          <w:right w:val="single" w:sz="8" w:space="0" w:color="000000"/>
          <w:insideV w:val="single" w:sz="8" w:space="0" w:color="000000"/>
        </w:tcBorders>
      </w:tcPr>
    </w:tblStylePr>
    <w:tblStylePr w:type="firstCol">
      <w:pPr/>
      <w:rPr>
        <w:rFonts w:ascii="Calibri" w:cs="宋体" w:eastAsia="ＭＳ ゴシック" w:hAnsi="Calibri"/>
        <w:b/>
        <w:bCs/>
      </w:rPr>
      <w:tcPr>
        <w:tcBorders/>
      </w:tcPr>
    </w:tblStylePr>
    <w:tblStylePr w:type="lastCol">
      <w:pPr/>
      <w:rPr>
        <w:rFonts w:ascii="Calibri" w:cs="宋体" w:eastAsia="ＭＳ ゴシック" w:hAnsi="Calibri"/>
        <w:b/>
        <w:bCs/>
      </w:rPr>
      <w:tblPr/>
      <w:tcPr>
        <w:tcBorders>
          <w:top w:val="single" w:sz="8" w:space="0" w:color="000000"/>
          <w:left w:val="single" w:sz="8" w:space="0" w:color="000000"/>
          <w:bottom w:val="single" w:sz="8" w:space="0" w:color="000000"/>
          <w:right w:val="single" w:sz="8" w:space="0" w:color="000000"/>
        </w:tcBorders>
      </w:tcPr>
    </w:tblStylePr>
    <w:tblStylePr w:type="band1Vert">
      <w:pPr/>
      <w:tblPr/>
      <w:tcPr>
        <w:tcBorders>
          <w:top w:val="single" w:sz="8" w:space="0" w:color="000000"/>
          <w:left w:val="single" w:sz="8" w:space="0" w:color="000000"/>
          <w:bottom w:val="single" w:sz="8" w:space="0" w:color="000000"/>
          <w:right w:val="single" w:sz="8" w:space="0" w:color="000000"/>
        </w:tcBorders>
        <w:shd w:val="clear" w:color="auto" w:fill="c0c0c0"/>
      </w:tcPr>
    </w:tblStylePr>
    <w:tcPr>
      <w:tcBorders/>
    </w:tcPr>
  </w:style>
  <w:style w:type="table" w:styleId="style174">
    <w:name w:val="Light Grid Accent 1"/>
    <w:basedOn w:val="style105"/>
    <w:next w:val="style174"/>
    <w:uiPriority w:val="62"/>
    <w:pPr>
      <w:spacing w:after="0" w:lineRule="auto" w:line="240"/>
    </w:pPr>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Rule="auto" w:line="240"/>
      </w:pPr>
      <w:rPr>
        <w:rFonts w:ascii="Calibri" w:cs="宋体" w:eastAsia="ＭＳ ゴシック" w:hAnsi="Calibri"/>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Rule="auto" w:line="240"/>
      </w:pPr>
      <w:rPr>
        <w:rFonts w:ascii="Calibri" w:cs="宋体" w:eastAsia="ＭＳ ゴシック" w:hAnsi="Calibri"/>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band1Horz">
      <w:pPr/>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pPr/>
      <w:tblPr/>
      <w:tcPr>
        <w:tcBorders>
          <w:top w:val="single" w:sz="8" w:space="0" w:color="4f81bd"/>
          <w:left w:val="single" w:sz="8" w:space="0" w:color="4f81bd"/>
          <w:bottom w:val="single" w:sz="8" w:space="0" w:color="4f81bd"/>
          <w:right w:val="single" w:sz="8" w:space="0" w:color="4f81bd"/>
          <w:insideV w:val="single" w:sz="8" w:space="0" w:color="4f81bd"/>
        </w:tcBorders>
      </w:tcPr>
    </w:tblStylePr>
    <w:tblStylePr w:type="firstCol">
      <w:pPr/>
      <w:rPr>
        <w:rFonts w:ascii="Calibri" w:cs="宋体" w:eastAsia="ＭＳ ゴシック" w:hAnsi="Calibri"/>
        <w:b/>
        <w:bCs/>
      </w:rPr>
      <w:tcPr>
        <w:tcBorders/>
      </w:tcPr>
    </w:tblStylePr>
    <w:tblStylePr w:type="lastCol">
      <w:pPr/>
      <w:rPr>
        <w:rFonts w:ascii="Calibri" w:cs="宋体" w:eastAsia="ＭＳ ゴシック" w:hAnsi="Calibri"/>
        <w:b/>
        <w:bCs/>
      </w:rPr>
      <w:tblPr/>
      <w:tcPr>
        <w:tcBorders>
          <w:top w:val="single" w:sz="8" w:space="0" w:color="4f81bd"/>
          <w:left w:val="single" w:sz="8" w:space="0" w:color="4f81bd"/>
          <w:bottom w:val="single" w:sz="8" w:space="0" w:color="4f81bd"/>
          <w:right w:val="single" w:sz="8" w:space="0" w:color="4f81bd"/>
        </w:tcBorders>
      </w:tcPr>
    </w:tblStylePr>
    <w:tblStylePr w:type="band1Vert">
      <w:pPr/>
      <w:tblPr/>
      <w:tcPr>
        <w:tcBorders>
          <w:top w:val="single" w:sz="8" w:space="0" w:color="4f81bd"/>
          <w:left w:val="single" w:sz="8" w:space="0" w:color="4f81bd"/>
          <w:bottom w:val="single" w:sz="8" w:space="0" w:color="4f81bd"/>
          <w:right w:val="single" w:sz="8" w:space="0" w:color="4f81bd"/>
        </w:tcBorders>
        <w:shd w:val="clear" w:color="auto" w:fill="d3dfee"/>
      </w:tcPr>
    </w:tblStylePr>
    <w:tcPr>
      <w:tcBorders/>
    </w:tcPr>
  </w:style>
  <w:style w:type="table" w:styleId="style192">
    <w:name w:val="Light Grid Accent 2"/>
    <w:basedOn w:val="style105"/>
    <w:next w:val="style192"/>
    <w:uiPriority w:val="62"/>
    <w:pPr>
      <w:spacing w:after="0" w:lineRule="auto" w:line="240"/>
    </w:pPr>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Rule="auto" w:line="240"/>
      </w:pPr>
      <w:rPr>
        <w:rFonts w:ascii="Calibri" w:cs="宋体" w:eastAsia="ＭＳ ゴシック" w:hAnsi="Calibri"/>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Rule="auto" w:line="240"/>
      </w:pPr>
      <w:rPr>
        <w:rFonts w:ascii="Calibri" w:cs="宋体" w:eastAsia="ＭＳ ゴシック" w:hAnsi="Calibri"/>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band1Horz">
      <w:pPr/>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pPr/>
      <w:tblPr/>
      <w:tcPr>
        <w:tcBorders>
          <w:top w:val="single" w:sz="8" w:space="0" w:color="c0504d"/>
          <w:left w:val="single" w:sz="8" w:space="0" w:color="c0504d"/>
          <w:bottom w:val="single" w:sz="8" w:space="0" w:color="c0504d"/>
          <w:right w:val="single" w:sz="8" w:space="0" w:color="c0504d"/>
          <w:insideV w:val="single" w:sz="8" w:space="0" w:color="c0504d"/>
        </w:tcBorders>
      </w:tcPr>
    </w:tblStylePr>
    <w:tblStylePr w:type="firstCol">
      <w:pPr/>
      <w:rPr>
        <w:rFonts w:ascii="Calibri" w:cs="宋体" w:eastAsia="ＭＳ ゴシック" w:hAnsi="Calibri"/>
        <w:b/>
        <w:bCs/>
      </w:rPr>
      <w:tcPr>
        <w:tcBorders/>
      </w:tcPr>
    </w:tblStylePr>
    <w:tblStylePr w:type="lastCol">
      <w:pPr/>
      <w:rPr>
        <w:rFonts w:ascii="Calibri" w:cs="宋体" w:eastAsia="ＭＳ ゴシック" w:hAnsi="Calibri"/>
        <w:b/>
        <w:bCs/>
      </w:rPr>
      <w:tblPr/>
      <w:tcPr>
        <w:tcBorders>
          <w:top w:val="single" w:sz="8" w:space="0" w:color="c0504d"/>
          <w:left w:val="single" w:sz="8" w:space="0" w:color="c0504d"/>
          <w:bottom w:val="single" w:sz="8" w:space="0" w:color="c0504d"/>
          <w:right w:val="single" w:sz="8" w:space="0" w:color="c0504d"/>
        </w:tcBorders>
      </w:tcPr>
    </w:tblStylePr>
    <w:tblStylePr w:type="band1Vert">
      <w:pPr/>
      <w:tblPr/>
      <w:tcPr>
        <w:tcBorders>
          <w:top w:val="single" w:sz="8" w:space="0" w:color="c0504d"/>
          <w:left w:val="single" w:sz="8" w:space="0" w:color="c0504d"/>
          <w:bottom w:val="single" w:sz="8" w:space="0" w:color="c0504d"/>
          <w:right w:val="single" w:sz="8" w:space="0" w:color="c0504d"/>
        </w:tcBorders>
        <w:shd w:val="clear" w:color="auto" w:fill="efd3d2"/>
      </w:tcPr>
    </w:tblStylePr>
    <w:tcPr>
      <w:tcBorders/>
    </w:tcPr>
  </w:style>
  <w:style w:type="table" w:styleId="style206">
    <w:name w:val="Light Grid Accent 3"/>
    <w:basedOn w:val="style105"/>
    <w:next w:val="style206"/>
    <w:uiPriority w:val="62"/>
    <w:pPr>
      <w:spacing w:after="0" w:lineRule="auto" w:line="240"/>
    </w:pPr>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Rule="auto" w:line="240"/>
      </w:pPr>
      <w:rPr>
        <w:rFonts w:ascii="Calibri" w:cs="宋体" w:eastAsia="ＭＳ ゴシック" w:hAnsi="Calibri"/>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Rule="auto" w:line="240"/>
      </w:pPr>
      <w:rPr>
        <w:rFonts w:ascii="Calibri" w:cs="宋体" w:eastAsia="ＭＳ ゴシック" w:hAnsi="Calibri"/>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band1Horz">
      <w:pPr/>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pPr/>
      <w:tblPr/>
      <w:tcPr>
        <w:tcBorders>
          <w:top w:val="single" w:sz="8" w:space="0" w:color="9bbb59"/>
          <w:left w:val="single" w:sz="8" w:space="0" w:color="9bbb59"/>
          <w:bottom w:val="single" w:sz="8" w:space="0" w:color="9bbb59"/>
          <w:right w:val="single" w:sz="8" w:space="0" w:color="9bbb59"/>
          <w:insideV w:val="single" w:sz="8" w:space="0" w:color="9bbb59"/>
        </w:tcBorders>
      </w:tcPr>
    </w:tblStylePr>
    <w:tblStylePr w:type="firstCol">
      <w:pPr/>
      <w:rPr>
        <w:rFonts w:ascii="Calibri" w:cs="宋体" w:eastAsia="ＭＳ ゴシック" w:hAnsi="Calibri"/>
        <w:b/>
        <w:bCs/>
      </w:rPr>
      <w:tcPr>
        <w:tcBorders/>
      </w:tcPr>
    </w:tblStylePr>
    <w:tblStylePr w:type="lastCol">
      <w:pPr/>
      <w:rPr>
        <w:rFonts w:ascii="Calibri" w:cs="宋体" w:eastAsia="ＭＳ ゴシック" w:hAnsi="Calibri"/>
        <w:b/>
        <w:bCs/>
      </w:rPr>
      <w:tblPr/>
      <w:tcPr>
        <w:tcBorders>
          <w:top w:val="single" w:sz="8" w:space="0" w:color="9bbb59"/>
          <w:left w:val="single" w:sz="8" w:space="0" w:color="9bbb59"/>
          <w:bottom w:val="single" w:sz="8" w:space="0" w:color="9bbb59"/>
          <w:right w:val="single" w:sz="8" w:space="0" w:color="9bbb59"/>
        </w:tcBorders>
      </w:tcPr>
    </w:tblStylePr>
    <w:tblStylePr w:type="band1Vert">
      <w:pPr/>
      <w:tblPr/>
      <w:tcPr>
        <w:tcBorders>
          <w:top w:val="single" w:sz="8" w:space="0" w:color="9bbb59"/>
          <w:left w:val="single" w:sz="8" w:space="0" w:color="9bbb59"/>
          <w:bottom w:val="single" w:sz="8" w:space="0" w:color="9bbb59"/>
          <w:right w:val="single" w:sz="8" w:space="0" w:color="9bbb59"/>
        </w:tcBorders>
        <w:shd w:val="clear" w:color="auto" w:fill="e6eed5"/>
      </w:tcPr>
    </w:tblStylePr>
    <w:tcPr>
      <w:tcBorders/>
    </w:tcPr>
  </w:style>
  <w:style w:type="table" w:styleId="style220">
    <w:name w:val="Light Grid Accent 4"/>
    <w:basedOn w:val="style105"/>
    <w:next w:val="style220"/>
    <w:uiPriority w:val="62"/>
    <w:pPr>
      <w:spacing w:after="0" w:lineRule="auto" w:line="240"/>
    </w:pPr>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Rule="auto" w:line="240"/>
      </w:pPr>
      <w:rPr>
        <w:rFonts w:ascii="Calibri" w:cs="宋体" w:eastAsia="ＭＳ ゴシック" w:hAnsi="Calibri"/>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Rule="auto" w:line="240"/>
      </w:pPr>
      <w:rPr>
        <w:rFonts w:ascii="Calibri" w:cs="宋体" w:eastAsia="ＭＳ ゴシック" w:hAnsi="Calibri"/>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band1Horz">
      <w:pPr/>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pPr/>
      <w:tblPr/>
      <w:tcPr>
        <w:tcBorders>
          <w:top w:val="single" w:sz="8" w:space="0" w:color="8064a2"/>
          <w:left w:val="single" w:sz="8" w:space="0" w:color="8064a2"/>
          <w:bottom w:val="single" w:sz="8" w:space="0" w:color="8064a2"/>
          <w:right w:val="single" w:sz="8" w:space="0" w:color="8064a2"/>
          <w:insideV w:val="single" w:sz="8" w:space="0" w:color="8064a2"/>
        </w:tcBorders>
      </w:tcPr>
    </w:tblStylePr>
    <w:tblStylePr w:type="firstCol">
      <w:pPr/>
      <w:rPr>
        <w:rFonts w:ascii="Calibri" w:cs="宋体" w:eastAsia="ＭＳ ゴシック" w:hAnsi="Calibri"/>
        <w:b/>
        <w:bCs/>
      </w:rPr>
      <w:tcPr>
        <w:tcBorders/>
      </w:tcPr>
    </w:tblStylePr>
    <w:tblStylePr w:type="lastCol">
      <w:pPr/>
      <w:rPr>
        <w:rFonts w:ascii="Calibri" w:cs="宋体" w:eastAsia="ＭＳ ゴシック" w:hAnsi="Calibri"/>
        <w:b/>
        <w:bCs/>
      </w:rPr>
      <w:tblPr/>
      <w:tcPr>
        <w:tcBorders>
          <w:top w:val="single" w:sz="8" w:space="0" w:color="8064a2"/>
          <w:left w:val="single" w:sz="8" w:space="0" w:color="8064a2"/>
          <w:bottom w:val="single" w:sz="8" w:space="0" w:color="8064a2"/>
          <w:right w:val="single" w:sz="8" w:space="0" w:color="8064a2"/>
        </w:tcBorders>
      </w:tcPr>
    </w:tblStylePr>
    <w:tblStylePr w:type="band1Vert">
      <w:pPr/>
      <w:tblPr/>
      <w:tcPr>
        <w:tcBorders>
          <w:top w:val="single" w:sz="8" w:space="0" w:color="8064a2"/>
          <w:left w:val="single" w:sz="8" w:space="0" w:color="8064a2"/>
          <w:bottom w:val="single" w:sz="8" w:space="0" w:color="8064a2"/>
          <w:right w:val="single" w:sz="8" w:space="0" w:color="8064a2"/>
        </w:tcBorders>
        <w:shd w:val="clear" w:color="auto" w:fill="dfd8e8"/>
      </w:tcPr>
    </w:tblStylePr>
    <w:tcPr>
      <w:tcBorders/>
    </w:tcPr>
  </w:style>
  <w:style w:type="table" w:styleId="style234">
    <w:name w:val="Light Grid Accent 5"/>
    <w:basedOn w:val="style105"/>
    <w:next w:val="style234"/>
    <w:uiPriority w:val="62"/>
    <w:pPr>
      <w:spacing w:after="0" w:lineRule="auto" w:line="240"/>
    </w:pPr>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Rule="auto" w:line="240"/>
      </w:pPr>
      <w:rPr>
        <w:rFonts w:ascii="Calibri" w:cs="宋体" w:eastAsia="ＭＳ ゴシック" w:hAnsi="Calibri"/>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Rule="auto" w:line="240"/>
      </w:pPr>
      <w:rPr>
        <w:rFonts w:ascii="Calibri" w:cs="宋体" w:eastAsia="ＭＳ ゴシック" w:hAnsi="Calibri"/>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band1Horz">
      <w:pPr/>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pPr/>
      <w:tblPr/>
      <w:tcPr>
        <w:tcBorders>
          <w:top w:val="single" w:sz="8" w:space="0" w:color="4bacc6"/>
          <w:left w:val="single" w:sz="8" w:space="0" w:color="4bacc6"/>
          <w:bottom w:val="single" w:sz="8" w:space="0" w:color="4bacc6"/>
          <w:right w:val="single" w:sz="8" w:space="0" w:color="4bacc6"/>
          <w:insideV w:val="single" w:sz="8" w:space="0" w:color="4bacc6"/>
        </w:tcBorders>
      </w:tcPr>
    </w:tblStylePr>
    <w:tblStylePr w:type="firstCol">
      <w:pPr/>
      <w:rPr>
        <w:rFonts w:ascii="Calibri" w:cs="宋体" w:eastAsia="ＭＳ ゴシック" w:hAnsi="Calibri"/>
        <w:b/>
        <w:bCs/>
      </w:rPr>
      <w:tcPr>
        <w:tcBorders/>
      </w:tcPr>
    </w:tblStylePr>
    <w:tblStylePr w:type="lastCol">
      <w:pPr/>
      <w:rPr>
        <w:rFonts w:ascii="Calibri" w:cs="宋体" w:eastAsia="ＭＳ ゴシック" w:hAnsi="Calibri"/>
        <w:b/>
        <w:bCs/>
      </w:rPr>
      <w:tblPr/>
      <w:tcPr>
        <w:tcBorders>
          <w:top w:val="single" w:sz="8" w:space="0" w:color="4bacc6"/>
          <w:left w:val="single" w:sz="8" w:space="0" w:color="4bacc6"/>
          <w:bottom w:val="single" w:sz="8" w:space="0" w:color="4bacc6"/>
          <w:right w:val="single" w:sz="8" w:space="0" w:color="4bacc6"/>
        </w:tcBorders>
      </w:tcPr>
    </w:tblStylePr>
    <w:tblStylePr w:type="band1Vert">
      <w:pPr/>
      <w:tblPr/>
      <w:tcPr>
        <w:tcBorders>
          <w:top w:val="single" w:sz="8" w:space="0" w:color="4bacc6"/>
          <w:left w:val="single" w:sz="8" w:space="0" w:color="4bacc6"/>
          <w:bottom w:val="single" w:sz="8" w:space="0" w:color="4bacc6"/>
          <w:right w:val="single" w:sz="8" w:space="0" w:color="4bacc6"/>
        </w:tcBorders>
        <w:shd w:val="clear" w:color="auto" w:fill="d2eaf1"/>
      </w:tcPr>
    </w:tblStylePr>
    <w:tcPr>
      <w:tcBorders/>
    </w:tcPr>
  </w:style>
  <w:style w:type="table" w:styleId="style248">
    <w:name w:val="Light Grid Accent 6"/>
    <w:basedOn w:val="style105"/>
    <w:next w:val="style248"/>
    <w:uiPriority w:val="62"/>
    <w:pPr>
      <w:spacing w:after="0" w:lineRule="auto" w:line="240"/>
    </w:pPr>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Rule="auto" w:line="240"/>
      </w:pPr>
      <w:rPr>
        <w:rFonts w:ascii="Calibri" w:cs="宋体" w:eastAsia="ＭＳ ゴシック" w:hAnsi="Calibri"/>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Rule="auto" w:line="240"/>
      </w:pPr>
      <w:rPr>
        <w:rFonts w:ascii="Calibri" w:cs="宋体" w:eastAsia="ＭＳ ゴシック" w:hAnsi="Calibri"/>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band1Horz">
      <w:pPr/>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pPr/>
      <w:tblPr/>
      <w:tcPr>
        <w:tcBorders>
          <w:top w:val="single" w:sz="8" w:space="0" w:color="f79646"/>
          <w:left w:val="single" w:sz="8" w:space="0" w:color="f79646"/>
          <w:bottom w:val="single" w:sz="8" w:space="0" w:color="f79646"/>
          <w:right w:val="single" w:sz="8" w:space="0" w:color="f79646"/>
          <w:insideV w:val="single" w:sz="8" w:space="0" w:color="f79646"/>
        </w:tcBorders>
      </w:tcPr>
    </w:tblStylePr>
    <w:tblStylePr w:type="firstCol">
      <w:pPr/>
      <w:rPr>
        <w:rFonts w:ascii="Calibri" w:cs="宋体" w:eastAsia="ＭＳ ゴシック" w:hAnsi="Calibri"/>
        <w:b/>
        <w:bCs/>
      </w:rPr>
      <w:tcPr>
        <w:tcBorders/>
      </w:tcPr>
    </w:tblStylePr>
    <w:tblStylePr w:type="lastCol">
      <w:pPr/>
      <w:rPr>
        <w:rFonts w:ascii="Calibri" w:cs="宋体" w:eastAsia="ＭＳ ゴシック" w:hAnsi="Calibri"/>
        <w:b/>
        <w:bCs/>
      </w:rPr>
      <w:tblPr/>
      <w:tcPr>
        <w:tcBorders>
          <w:top w:val="single" w:sz="8" w:space="0" w:color="f79646"/>
          <w:left w:val="single" w:sz="8" w:space="0" w:color="f79646"/>
          <w:bottom w:val="single" w:sz="8" w:space="0" w:color="f79646"/>
          <w:right w:val="single" w:sz="8" w:space="0" w:color="f79646"/>
        </w:tcBorders>
      </w:tcPr>
    </w:tblStylePr>
    <w:tblStylePr w:type="band1Vert">
      <w:pPr/>
      <w:tblPr/>
      <w:tcPr>
        <w:tcBorders>
          <w:top w:val="single" w:sz="8" w:space="0" w:color="f79646"/>
          <w:left w:val="single" w:sz="8" w:space="0" w:color="f79646"/>
          <w:bottom w:val="single" w:sz="8" w:space="0" w:color="f79646"/>
          <w:right w:val="single" w:sz="8" w:space="0" w:color="f79646"/>
        </w:tcBorders>
        <w:shd w:val="clear" w:color="auto" w:fill="fde4d0"/>
      </w:tcPr>
    </w:tblStylePr>
    <w:tcPr>
      <w:tcBorders/>
    </w:tcPr>
  </w:style>
  <w:style w:type="table" w:styleId="style161">
    <w:name w:val="Medium Shading 1"/>
    <w:basedOn w:val="style105"/>
    <w:next w:val="style161"/>
    <w:uiPriority w:val="63"/>
    <w:pPr>
      <w:spacing w:after="0" w:lineRule="auto" w:line="240"/>
    </w:pPr>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Rule="auto" w:line="240"/>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Rule="auto" w:line="240"/>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band1Horz">
      <w:pPr/>
      <w:tblPr/>
      <w:tcPr>
        <w:tcBorders>
          <w:insideH w:val="nil"/>
          <w:insideV w:val="nil"/>
        </w:tcBorders>
        <w:shd w:val="clear" w:color="auto" w:fill="c0c0c0"/>
      </w:tcPr>
    </w:tblStylePr>
    <w:tblStylePr w:type="band2Horz">
      <w:pPr/>
      <w:tblPr/>
      <w:tcPr>
        <w:tcBorders>
          <w:insideH w:val="nil"/>
          <w:insideV w:val="nil"/>
        </w:tcBorders>
      </w:tcPr>
    </w:tblStylePr>
    <w:tblStylePr w:type="firstCol">
      <w:pPr/>
      <w:rPr>
        <w:b/>
        <w:bCs/>
      </w:rPr>
      <w:tcPr>
        <w:tcBorders/>
      </w:tcPr>
    </w:tblStylePr>
    <w:tblStylePr w:type="lastCol">
      <w:pPr/>
      <w:rPr>
        <w:b/>
        <w:bCs/>
      </w:rPr>
      <w:tcPr>
        <w:tcBorders/>
      </w:tcPr>
    </w:tblStylePr>
    <w:tblStylePr w:type="band1Vert">
      <w:pPr/>
      <w:tblPr/>
      <w:tcPr>
        <w:tcBorders/>
        <w:shd w:val="clear" w:color="auto" w:fill="c0c0c0"/>
      </w:tcPr>
    </w:tblStylePr>
    <w:tcPr>
      <w:tcBorders/>
    </w:tcPr>
  </w:style>
  <w:style w:type="table" w:styleId="style175">
    <w:name w:val="Medium Shading 1 Accent 1"/>
    <w:basedOn w:val="style105"/>
    <w:next w:val="style175"/>
    <w:uiPriority w:val="63"/>
    <w:pPr>
      <w:spacing w:after="0" w:lineRule="auto" w:line="240"/>
    </w:pPr>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Rule="auto" w:line="240"/>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Rule="auto" w:line="240"/>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band1Horz">
      <w:pPr/>
      <w:tblPr/>
      <w:tcPr>
        <w:tcBorders>
          <w:insideH w:val="nil"/>
          <w:insideV w:val="nil"/>
        </w:tcBorders>
        <w:shd w:val="clear" w:color="auto" w:fill="d3dfee"/>
      </w:tcPr>
    </w:tblStylePr>
    <w:tblStylePr w:type="band2Horz">
      <w:pPr/>
      <w:tblPr/>
      <w:tcPr>
        <w:tcBorders>
          <w:insideH w:val="nil"/>
          <w:insideV w:val="nil"/>
        </w:tcBorders>
      </w:tcPr>
    </w:tblStylePr>
    <w:tblStylePr w:type="firstCol">
      <w:pPr/>
      <w:rPr>
        <w:b/>
        <w:bCs/>
      </w:rPr>
      <w:tcPr>
        <w:tcBorders/>
      </w:tcPr>
    </w:tblStylePr>
    <w:tblStylePr w:type="lastCol">
      <w:pPr/>
      <w:rPr>
        <w:b/>
        <w:bCs/>
      </w:rPr>
      <w:tcPr>
        <w:tcBorders/>
      </w:tcPr>
    </w:tblStylePr>
    <w:tblStylePr w:type="band1Vert">
      <w:pPr/>
      <w:tblPr/>
      <w:tcPr>
        <w:tcBorders/>
        <w:shd w:val="clear" w:color="auto" w:fill="d3dfee"/>
      </w:tcPr>
    </w:tblStylePr>
    <w:tcPr>
      <w:tcBorders/>
    </w:tcPr>
  </w:style>
  <w:style w:type="table" w:styleId="style193">
    <w:name w:val="Medium Shading 1 Accent 2"/>
    <w:basedOn w:val="style105"/>
    <w:next w:val="style193"/>
    <w:uiPriority w:val="63"/>
    <w:pPr>
      <w:spacing w:after="0" w:lineRule="auto" w:line="240"/>
    </w:pPr>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Rule="auto" w:line="240"/>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Rule="auto" w:line="240"/>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band1Horz">
      <w:pPr/>
      <w:tblPr/>
      <w:tcPr>
        <w:tcBorders>
          <w:insideH w:val="nil"/>
          <w:insideV w:val="nil"/>
        </w:tcBorders>
        <w:shd w:val="clear" w:color="auto" w:fill="efd3d2"/>
      </w:tcPr>
    </w:tblStylePr>
    <w:tblStylePr w:type="band2Horz">
      <w:pPr/>
      <w:tblPr/>
      <w:tcPr>
        <w:tcBorders>
          <w:insideH w:val="nil"/>
          <w:insideV w:val="nil"/>
        </w:tcBorders>
      </w:tcPr>
    </w:tblStylePr>
    <w:tblStylePr w:type="firstCol">
      <w:pPr/>
      <w:rPr>
        <w:b/>
        <w:bCs/>
      </w:rPr>
      <w:tcPr>
        <w:tcBorders/>
      </w:tcPr>
    </w:tblStylePr>
    <w:tblStylePr w:type="lastCol">
      <w:pPr/>
      <w:rPr>
        <w:b/>
        <w:bCs/>
      </w:rPr>
      <w:tcPr>
        <w:tcBorders/>
      </w:tcPr>
    </w:tblStylePr>
    <w:tblStylePr w:type="band1Vert">
      <w:pPr/>
      <w:tblPr/>
      <w:tcPr>
        <w:tcBorders/>
        <w:shd w:val="clear" w:color="auto" w:fill="efd3d2"/>
      </w:tcPr>
    </w:tblStylePr>
    <w:tcPr>
      <w:tcBorders/>
    </w:tcPr>
  </w:style>
  <w:style w:type="table" w:styleId="style207">
    <w:name w:val="Medium Shading 1 Accent 3"/>
    <w:basedOn w:val="style105"/>
    <w:next w:val="style207"/>
    <w:uiPriority w:val="63"/>
    <w:pPr>
      <w:spacing w:after="0" w:lineRule="auto" w:line="240"/>
    </w:pPr>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Rule="auto" w:line="240"/>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Rule="auto" w:line="240"/>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band1Horz">
      <w:pPr/>
      <w:tblPr/>
      <w:tcPr>
        <w:tcBorders>
          <w:insideH w:val="nil"/>
          <w:insideV w:val="nil"/>
        </w:tcBorders>
        <w:shd w:val="clear" w:color="auto" w:fill="e6eed5"/>
      </w:tcPr>
    </w:tblStylePr>
    <w:tblStylePr w:type="band2Horz">
      <w:pPr/>
      <w:tblPr/>
      <w:tcPr>
        <w:tcBorders>
          <w:insideH w:val="nil"/>
          <w:insideV w:val="nil"/>
        </w:tcBorders>
      </w:tcPr>
    </w:tblStylePr>
    <w:tblStylePr w:type="firstCol">
      <w:pPr/>
      <w:rPr>
        <w:b/>
        <w:bCs/>
      </w:rPr>
      <w:tcPr>
        <w:tcBorders/>
      </w:tcPr>
    </w:tblStylePr>
    <w:tblStylePr w:type="lastCol">
      <w:pPr/>
      <w:rPr>
        <w:b/>
        <w:bCs/>
      </w:rPr>
      <w:tcPr>
        <w:tcBorders/>
      </w:tcPr>
    </w:tblStylePr>
    <w:tblStylePr w:type="band1Vert">
      <w:pPr/>
      <w:tblPr/>
      <w:tcPr>
        <w:tcBorders/>
        <w:shd w:val="clear" w:color="auto" w:fill="e6eed5"/>
      </w:tcPr>
    </w:tblStylePr>
    <w:tcPr>
      <w:tcBorders/>
    </w:tcPr>
  </w:style>
  <w:style w:type="table" w:styleId="style221">
    <w:name w:val="Medium Shading 1 Accent 4"/>
    <w:basedOn w:val="style105"/>
    <w:next w:val="style221"/>
    <w:uiPriority w:val="63"/>
    <w:pPr>
      <w:spacing w:after="0" w:lineRule="auto" w:line="240"/>
    </w:pPr>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Rule="auto" w:line="240"/>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Rule="auto" w:line="240"/>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band1Horz">
      <w:pPr/>
      <w:tblPr/>
      <w:tcPr>
        <w:tcBorders>
          <w:insideH w:val="nil"/>
          <w:insideV w:val="nil"/>
        </w:tcBorders>
        <w:shd w:val="clear" w:color="auto" w:fill="dfd8e8"/>
      </w:tcPr>
    </w:tblStylePr>
    <w:tblStylePr w:type="band2Horz">
      <w:pPr/>
      <w:tblPr/>
      <w:tcPr>
        <w:tcBorders>
          <w:insideH w:val="nil"/>
          <w:insideV w:val="nil"/>
        </w:tcBorders>
      </w:tcPr>
    </w:tblStylePr>
    <w:tblStylePr w:type="firstCol">
      <w:pPr/>
      <w:rPr>
        <w:b/>
        <w:bCs/>
      </w:rPr>
      <w:tcPr>
        <w:tcBorders/>
      </w:tcPr>
    </w:tblStylePr>
    <w:tblStylePr w:type="lastCol">
      <w:pPr/>
      <w:rPr>
        <w:b/>
        <w:bCs/>
      </w:rPr>
      <w:tcPr>
        <w:tcBorders/>
      </w:tcPr>
    </w:tblStylePr>
    <w:tblStylePr w:type="band1Vert">
      <w:pPr/>
      <w:tblPr/>
      <w:tcPr>
        <w:tcBorders/>
        <w:shd w:val="clear" w:color="auto" w:fill="dfd8e8"/>
      </w:tcPr>
    </w:tblStylePr>
    <w:tcPr>
      <w:tcBorders/>
    </w:tcPr>
  </w:style>
  <w:style w:type="table" w:styleId="style235">
    <w:name w:val="Medium Shading 1 Accent 5"/>
    <w:basedOn w:val="style105"/>
    <w:next w:val="style235"/>
    <w:uiPriority w:val="63"/>
    <w:pPr>
      <w:spacing w:after="0" w:lineRule="auto" w:line="240"/>
    </w:pPr>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Rule="auto" w:line="240"/>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Rule="auto" w:line="240"/>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band1Horz">
      <w:pPr/>
      <w:tblPr/>
      <w:tcPr>
        <w:tcBorders>
          <w:insideH w:val="nil"/>
          <w:insideV w:val="nil"/>
        </w:tcBorders>
        <w:shd w:val="clear" w:color="auto" w:fill="d2eaf1"/>
      </w:tcPr>
    </w:tblStylePr>
    <w:tblStylePr w:type="band2Horz">
      <w:pPr/>
      <w:tblPr/>
      <w:tcPr>
        <w:tcBorders>
          <w:insideH w:val="nil"/>
          <w:insideV w:val="nil"/>
        </w:tcBorders>
      </w:tcPr>
    </w:tblStylePr>
    <w:tblStylePr w:type="firstCol">
      <w:pPr/>
      <w:rPr>
        <w:b/>
        <w:bCs/>
      </w:rPr>
      <w:tcPr>
        <w:tcBorders/>
      </w:tcPr>
    </w:tblStylePr>
    <w:tblStylePr w:type="lastCol">
      <w:pPr/>
      <w:rPr>
        <w:b/>
        <w:bCs/>
      </w:rPr>
      <w:tcPr>
        <w:tcBorders/>
      </w:tcPr>
    </w:tblStylePr>
    <w:tblStylePr w:type="band1Vert">
      <w:pPr/>
      <w:tblPr/>
      <w:tcPr>
        <w:tcBorders/>
        <w:shd w:val="clear" w:color="auto" w:fill="d2eaf1"/>
      </w:tcPr>
    </w:tblStylePr>
    <w:tcPr>
      <w:tcBorders/>
    </w:tcPr>
  </w:style>
  <w:style w:type="table" w:styleId="style249">
    <w:name w:val="Medium Shading 1 Accent 6"/>
    <w:basedOn w:val="style105"/>
    <w:next w:val="style249"/>
    <w:uiPriority w:val="63"/>
    <w:pPr>
      <w:spacing w:after="0" w:lineRule="auto" w:line="240"/>
    </w:pPr>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Rule="auto" w:line="240"/>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Rule="auto" w:line="240"/>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band1Horz">
      <w:pPr/>
      <w:tblPr/>
      <w:tcPr>
        <w:tcBorders>
          <w:insideH w:val="nil"/>
          <w:insideV w:val="nil"/>
        </w:tcBorders>
        <w:shd w:val="clear" w:color="auto" w:fill="fde4d0"/>
      </w:tcPr>
    </w:tblStylePr>
    <w:tblStylePr w:type="band2Horz">
      <w:pPr/>
      <w:tblPr/>
      <w:tcPr>
        <w:tcBorders>
          <w:insideH w:val="nil"/>
          <w:insideV w:val="nil"/>
        </w:tcBorders>
      </w:tcPr>
    </w:tblStylePr>
    <w:tblStylePr w:type="firstCol">
      <w:pPr/>
      <w:rPr>
        <w:b/>
        <w:bCs/>
      </w:rPr>
      <w:tcPr>
        <w:tcBorders/>
      </w:tcPr>
    </w:tblStylePr>
    <w:tblStylePr w:type="lastCol">
      <w:pPr/>
      <w:rPr>
        <w:b/>
        <w:bCs/>
      </w:rPr>
      <w:tcPr>
        <w:tcBorders/>
      </w:tcPr>
    </w:tblStylePr>
    <w:tblStylePr w:type="band1Vert">
      <w:pPr/>
      <w:tblPr/>
      <w:tcPr>
        <w:tcBorders/>
        <w:shd w:val="clear" w:color="auto" w:fill="fde4d0"/>
      </w:tcPr>
    </w:tblStylePr>
    <w:tcPr>
      <w:tcBorders/>
    </w:tcPr>
  </w:style>
  <w:style w:type="table" w:styleId="style162">
    <w:name w:val="Medium Shading 2"/>
    <w:basedOn w:val="style105"/>
    <w:next w:val="style162"/>
    <w:uiPriority w:val="64"/>
    <w:pPr>
      <w:spacing w:after="0" w:lineRule="auto" w:line="240"/>
    </w:pPr>
    <w:rPr/>
    <w:tblPr>
      <w:tblStyleRowBandSize w:val="1"/>
      <w:tblStyleColBandSize w:val="1"/>
      <w:tblBorders>
        <w:top w:val="single" w:sz="18" w:space="0" w:color="auto"/>
        <w:bottom w:val="single" w:sz="18" w:space="0" w:color="auto"/>
      </w:tblBorders>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000000"/>
      </w:tcPr>
    </w:tblStylePr>
    <w:tblStylePr w:type="lastCol">
      <w:pPr/>
      <w:rPr>
        <w:b/>
        <w:bCs/>
        <w:color w:val="ffffff"/>
      </w:rPr>
      <w:tblPr/>
      <w:tcPr>
        <w:tcBorders>
          <w:left w:val="nil"/>
          <w:right w:val="nil"/>
          <w:insideH w:val="nil"/>
          <w:insideV w:val="nil"/>
        </w:tcBorders>
        <w:shd w:val="clear" w:color="auto" w:fill="000000"/>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table" w:styleId="style176">
    <w:name w:val="Medium Shading 2 Accent 1"/>
    <w:basedOn w:val="style105"/>
    <w:next w:val="style176"/>
    <w:uiPriority w:val="64"/>
    <w:pPr>
      <w:spacing w:after="0" w:lineRule="auto" w:line="240"/>
    </w:pPr>
    <w:rPr/>
    <w:tblPr>
      <w:tblStyleRowBandSize w:val="1"/>
      <w:tblStyleColBandSize w:val="1"/>
      <w:tblBorders>
        <w:top w:val="single" w:sz="18" w:space="0" w:color="auto"/>
        <w:bottom w:val="single" w:sz="18" w:space="0" w:color="auto"/>
      </w:tblBorders>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4f81bd"/>
      </w:tcPr>
    </w:tblStylePr>
    <w:tblStylePr w:type="lastCol">
      <w:pPr/>
      <w:rPr>
        <w:b/>
        <w:bCs/>
        <w:color w:val="ffffff"/>
      </w:rPr>
      <w:tblPr/>
      <w:tcPr>
        <w:tcBorders>
          <w:left w:val="nil"/>
          <w:right w:val="nil"/>
          <w:insideH w:val="nil"/>
          <w:insideV w:val="nil"/>
        </w:tcBorders>
        <w:shd w:val="clear" w:color="auto" w:fill="4f81bd"/>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table" w:styleId="style194">
    <w:name w:val="Medium Shading 2 Accent 2"/>
    <w:basedOn w:val="style105"/>
    <w:next w:val="style194"/>
    <w:uiPriority w:val="64"/>
    <w:pPr>
      <w:spacing w:after="0" w:lineRule="auto" w:line="240"/>
    </w:pPr>
    <w:rPr/>
    <w:tblPr>
      <w:tblStyleRowBandSize w:val="1"/>
      <w:tblStyleColBandSize w:val="1"/>
      <w:tblBorders>
        <w:top w:val="single" w:sz="18" w:space="0" w:color="auto"/>
        <w:bottom w:val="single" w:sz="18" w:space="0" w:color="auto"/>
      </w:tblBorders>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c0504d"/>
      </w:tcPr>
    </w:tblStylePr>
    <w:tblStylePr w:type="lastCol">
      <w:pPr/>
      <w:rPr>
        <w:b/>
        <w:bCs/>
        <w:color w:val="ffffff"/>
      </w:rPr>
      <w:tblPr/>
      <w:tcPr>
        <w:tcBorders>
          <w:left w:val="nil"/>
          <w:right w:val="nil"/>
          <w:insideH w:val="nil"/>
          <w:insideV w:val="nil"/>
        </w:tcBorders>
        <w:shd w:val="clear" w:color="auto" w:fill="c0504d"/>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table" w:styleId="style208">
    <w:name w:val="Medium Shading 2 Accent 3"/>
    <w:basedOn w:val="style105"/>
    <w:next w:val="style208"/>
    <w:uiPriority w:val="64"/>
    <w:pPr>
      <w:spacing w:after="0" w:lineRule="auto" w:line="240"/>
    </w:pPr>
    <w:rPr/>
    <w:tblPr>
      <w:tblStyleRowBandSize w:val="1"/>
      <w:tblStyleColBandSize w:val="1"/>
      <w:tblBorders>
        <w:top w:val="single" w:sz="18" w:space="0" w:color="auto"/>
        <w:bottom w:val="single" w:sz="18" w:space="0" w:color="auto"/>
      </w:tblBorders>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9bbb59"/>
      </w:tcPr>
    </w:tblStylePr>
    <w:tblStylePr w:type="lastCol">
      <w:pPr/>
      <w:rPr>
        <w:b/>
        <w:bCs/>
        <w:color w:val="ffffff"/>
      </w:rPr>
      <w:tblPr/>
      <w:tcPr>
        <w:tcBorders>
          <w:left w:val="nil"/>
          <w:right w:val="nil"/>
          <w:insideH w:val="nil"/>
          <w:insideV w:val="nil"/>
        </w:tcBorders>
        <w:shd w:val="clear" w:color="auto" w:fill="9bbb59"/>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table" w:styleId="style222">
    <w:name w:val="Medium Shading 2 Accent 4"/>
    <w:basedOn w:val="style105"/>
    <w:next w:val="style222"/>
    <w:uiPriority w:val="64"/>
    <w:pPr>
      <w:spacing w:after="0" w:lineRule="auto" w:line="240"/>
    </w:pPr>
    <w:rPr/>
    <w:tblPr>
      <w:tblStyleRowBandSize w:val="1"/>
      <w:tblStyleColBandSize w:val="1"/>
      <w:tblBorders>
        <w:top w:val="single" w:sz="18" w:space="0" w:color="auto"/>
        <w:bottom w:val="single" w:sz="18" w:space="0" w:color="auto"/>
      </w:tblBorders>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8064a2"/>
      </w:tcPr>
    </w:tblStylePr>
    <w:tblStylePr w:type="lastCol">
      <w:pPr/>
      <w:rPr>
        <w:b/>
        <w:bCs/>
        <w:color w:val="ffffff"/>
      </w:rPr>
      <w:tblPr/>
      <w:tcPr>
        <w:tcBorders>
          <w:left w:val="nil"/>
          <w:right w:val="nil"/>
          <w:insideH w:val="nil"/>
          <w:insideV w:val="nil"/>
        </w:tcBorders>
        <w:shd w:val="clear" w:color="auto" w:fill="8064a2"/>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table" w:styleId="style236">
    <w:name w:val="Medium Shading 2 Accent 5"/>
    <w:basedOn w:val="style105"/>
    <w:next w:val="style236"/>
    <w:uiPriority w:val="64"/>
    <w:pPr>
      <w:spacing w:after="0" w:lineRule="auto" w:line="240"/>
    </w:pPr>
    <w:rPr/>
    <w:tblPr>
      <w:tblStyleRowBandSize w:val="1"/>
      <w:tblStyleColBandSize w:val="1"/>
      <w:tblBorders>
        <w:top w:val="single" w:sz="18" w:space="0" w:color="auto"/>
        <w:bottom w:val="single" w:sz="18" w:space="0" w:color="auto"/>
      </w:tblBorders>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4bacc6"/>
      </w:tcPr>
    </w:tblStylePr>
    <w:tblStylePr w:type="lastCol">
      <w:pPr/>
      <w:rPr>
        <w:b/>
        <w:bCs/>
        <w:color w:val="ffffff"/>
      </w:rPr>
      <w:tblPr/>
      <w:tcPr>
        <w:tcBorders>
          <w:left w:val="nil"/>
          <w:right w:val="nil"/>
          <w:insideH w:val="nil"/>
          <w:insideV w:val="nil"/>
        </w:tcBorders>
        <w:shd w:val="clear" w:color="auto" w:fill="4bacc6"/>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table" w:styleId="style250">
    <w:name w:val="Medium Shading 2 Accent 6"/>
    <w:basedOn w:val="style105"/>
    <w:next w:val="style250"/>
    <w:uiPriority w:val="64"/>
    <w:pPr>
      <w:spacing w:after="0" w:lineRule="auto" w:line="240"/>
    </w:pPr>
    <w:rPr/>
    <w:tblPr>
      <w:tblStyleRowBandSize w:val="1"/>
      <w:tblStyleColBandSize w:val="1"/>
      <w:tblBorders>
        <w:top w:val="single" w:sz="18" w:space="0" w:color="auto"/>
        <w:bottom w:val="single" w:sz="18" w:space="0" w:color="auto"/>
      </w:tblBorders>
    </w:tblPr>
    <w:tblStylePr w:type="firstRow">
      <w:pPr>
        <w:spacing w:before="0" w:after="0" w:lineRule="auto" w:line="240"/>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Rule="auto" w:line="240"/>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band1Horz">
      <w:pPr/>
      <w:tblPr/>
      <w:tcPr>
        <w:tcBorders/>
        <w:shd w:val="clear" w:color="auto" w:fill="d8d8d8"/>
      </w:tcPr>
    </w:tblStylePr>
    <w:tblStylePr w:type="firstCol">
      <w:pPr/>
      <w:rPr>
        <w:b/>
        <w:bCs/>
        <w:color w:val="ffffff"/>
      </w:rPr>
      <w:tblPr/>
      <w:tcPr>
        <w:tcBorders>
          <w:top w:val="nil"/>
          <w:left w:val="nil"/>
          <w:bottom w:val="single" w:sz="18" w:space="0" w:color="auto"/>
          <w:right w:val="nil"/>
          <w:insideH w:val="nil"/>
          <w:insideV w:val="nil"/>
        </w:tcBorders>
        <w:shd w:val="clear" w:color="auto" w:fill="f79646"/>
      </w:tcPr>
    </w:tblStylePr>
    <w:tblStylePr w:type="lastCol">
      <w:pPr/>
      <w:rPr>
        <w:b/>
        <w:bCs/>
        <w:color w:val="ffffff"/>
      </w:rPr>
      <w:tblPr/>
      <w:tcPr>
        <w:tcBorders>
          <w:left w:val="nil"/>
          <w:right w:val="nil"/>
          <w:insideH w:val="nil"/>
          <w:insideV w:val="nil"/>
        </w:tcBorders>
        <w:shd w:val="clear" w:color="auto" w:fill="f79646"/>
      </w:tcPr>
    </w:tblStylePr>
    <w:tblStylePr w:type="band1Vert">
      <w:pPr/>
      <w:tblPr/>
      <w:tcPr>
        <w:tcBorders>
          <w:left w:val="nil"/>
          <w:right w:val="nil"/>
          <w:insideH w:val="nil"/>
          <w:insideV w:val="nil"/>
        </w:tcBorders>
        <w:shd w:val="clear" w:color="auto" w:fill="d8d8d8"/>
      </w:tcPr>
    </w:tblStylePr>
    <w:tblStylePr w:type="neCell">
      <w:pPr/>
      <w:tblPr/>
      <w:tcPr>
        <w:tcBorders>
          <w:top w:val="single" w:sz="18" w:space="0" w:color="auto"/>
          <w:left w:val="nil"/>
          <w:bottom w:val="single" w:sz="18" w:space="0" w:color="auto"/>
          <w:right w:val="nil"/>
          <w:insideH w:val="nil"/>
          <w:insideV w:val="nil"/>
        </w:tcBorders>
      </w:tcPr>
    </w:tblStylePr>
    <w:tblStylePr w:type="nwCell">
      <w:pPr/>
      <w:rPr>
        <w:color w:val="ffffff"/>
      </w:rPr>
      <w:tblPr/>
      <w:tcPr>
        <w:tcBorders>
          <w:top w:val="single" w:sz="18" w:space="0" w:color="auto"/>
          <w:left w:val="nil"/>
          <w:bottom w:val="single" w:sz="18" w:space="0" w:color="auto"/>
          <w:right w:val="nil"/>
          <w:insideH w:val="nil"/>
          <w:insideV w:val="nil"/>
        </w:tcBorders>
      </w:tcPr>
    </w:tblStylePr>
    <w:tcPr>
      <w:tcBorders/>
    </w:tcPr>
  </w:style>
  <w:style w:type="table" w:styleId="style163">
    <w:name w:val="Medium List 1"/>
    <w:basedOn w:val="style105"/>
    <w:next w:val="style163"/>
    <w:uiPriority w:val="65"/>
    <w:pPr>
      <w:spacing w:after="0" w:lineRule="auto" w:line="240"/>
    </w:pPr>
    <w:rPr>
      <w:color w:val="000000"/>
    </w:rPr>
    <w:tblPr>
      <w:tblStyleRowBandSize w:val="1"/>
      <w:tblStyleColBandSize w:val="1"/>
      <w:tblBorders>
        <w:top w:val="single" w:sz="8" w:space="0" w:color="000000"/>
        <w:bottom w:val="single" w:sz="8" w:space="0" w:color="000000"/>
      </w:tblBorders>
    </w:tblPr>
    <w:tblStylePr w:type="firstRow">
      <w:pPr/>
      <w:rPr>
        <w:rFonts w:ascii="Calibri" w:cs="宋体" w:eastAsia="ＭＳ ゴシック" w:hAnsi="Calibri"/>
      </w:rPr>
      <w:tblPr/>
      <w:tcPr>
        <w:tcBorders>
          <w:top w:val="nil"/>
          <w:bottom w:val="single" w:sz="8" w:space="0" w:color="000000"/>
        </w:tcBorders>
      </w:tcPr>
    </w:tblStylePr>
    <w:tblStylePr w:type="lastRow">
      <w:pPr/>
      <w:rPr>
        <w:b/>
        <w:bCs/>
        <w:color w:val="1f497d"/>
      </w:rPr>
      <w:tblPr/>
      <w:tcPr>
        <w:tcBorders>
          <w:top w:val="single" w:sz="8" w:space="0" w:color="000000"/>
          <w:bottom w:val="single" w:sz="8" w:space="0" w:color="000000"/>
        </w:tcBorders>
      </w:tcPr>
    </w:tblStylePr>
    <w:tblStylePr w:type="band1Horz">
      <w:pPr/>
      <w:tblPr/>
      <w:tcPr>
        <w:tcBorders/>
        <w:shd w:val="clear" w:color="auto" w:fill="c0c0c0"/>
      </w:tcPr>
    </w:tblStylePr>
    <w:tblStylePr w:type="firstCol">
      <w:pPr/>
      <w:rPr>
        <w:b/>
        <w:bCs/>
      </w:rPr>
      <w:tcPr>
        <w:tcBorders/>
      </w:tcPr>
    </w:tblStylePr>
    <w:tblStylePr w:type="lastCol">
      <w:pPr/>
      <w:rPr>
        <w:b/>
        <w:bCs/>
      </w:rPr>
      <w:tblPr/>
      <w:tcPr>
        <w:tcBorders>
          <w:top w:val="single" w:sz="8" w:space="0" w:color="000000"/>
          <w:bottom w:val="single" w:sz="8" w:space="0" w:color="000000"/>
        </w:tcBorders>
      </w:tcPr>
    </w:tblStylePr>
    <w:tblStylePr w:type="band1Vert">
      <w:pPr/>
      <w:tblPr/>
      <w:tcPr>
        <w:tcBorders/>
        <w:shd w:val="clear" w:color="auto" w:fill="c0c0c0"/>
      </w:tcPr>
    </w:tblStylePr>
    <w:tcPr>
      <w:tcBorders/>
    </w:tcPr>
  </w:style>
  <w:style w:type="table" w:styleId="style177">
    <w:name w:val="Medium List 1 Accent 1"/>
    <w:basedOn w:val="style105"/>
    <w:next w:val="style177"/>
    <w:uiPriority w:val="65"/>
    <w:pPr>
      <w:spacing w:after="0" w:lineRule="auto" w:line="240"/>
    </w:pPr>
    <w:rPr>
      <w:color w:val="000000"/>
    </w:rPr>
    <w:tblPr>
      <w:tblStyleRowBandSize w:val="1"/>
      <w:tblStyleColBandSize w:val="1"/>
      <w:tblBorders>
        <w:top w:val="single" w:sz="8" w:space="0" w:color="4f81bd"/>
        <w:bottom w:val="single" w:sz="8" w:space="0" w:color="4f81bd"/>
      </w:tblBorders>
    </w:tblPr>
    <w:tblStylePr w:type="firstRow">
      <w:pPr/>
      <w:rPr>
        <w:rFonts w:ascii="Calibri" w:cs="宋体" w:eastAsia="ＭＳ ゴシック" w:hAnsi="Calibri"/>
      </w:rPr>
      <w:tblPr/>
      <w:tcPr>
        <w:tcBorders>
          <w:top w:val="nil"/>
          <w:bottom w:val="single" w:sz="8" w:space="0" w:color="4f81bd"/>
        </w:tcBorders>
      </w:tcPr>
    </w:tblStylePr>
    <w:tblStylePr w:type="lastRow">
      <w:pPr/>
      <w:rPr>
        <w:b/>
        <w:bCs/>
        <w:color w:val="1f497d"/>
      </w:rPr>
      <w:tblPr/>
      <w:tcPr>
        <w:tcBorders>
          <w:top w:val="single" w:sz="8" w:space="0" w:color="4f81bd"/>
          <w:bottom w:val="single" w:sz="8" w:space="0" w:color="4f81bd"/>
        </w:tcBorders>
      </w:tcPr>
    </w:tblStylePr>
    <w:tblStylePr w:type="band1Horz">
      <w:pPr/>
      <w:tblPr/>
      <w:tcPr>
        <w:tcBorders/>
        <w:shd w:val="clear" w:color="auto" w:fill="d3dfee"/>
      </w:tcPr>
    </w:tblStylePr>
    <w:tblStylePr w:type="firstCol">
      <w:pPr/>
      <w:rPr>
        <w:b/>
        <w:bCs/>
      </w:rPr>
      <w:tcPr>
        <w:tcBorders/>
      </w:tcPr>
    </w:tblStylePr>
    <w:tblStylePr w:type="lastCol">
      <w:pPr/>
      <w:rPr>
        <w:b/>
        <w:bCs/>
      </w:rPr>
      <w:tblPr/>
      <w:tcPr>
        <w:tcBorders>
          <w:top w:val="single" w:sz="8" w:space="0" w:color="4f81bd"/>
          <w:bottom w:val="single" w:sz="8" w:space="0" w:color="4f81bd"/>
        </w:tcBorders>
      </w:tcPr>
    </w:tblStylePr>
    <w:tblStylePr w:type="band1Vert">
      <w:pPr/>
      <w:tblPr/>
      <w:tcPr>
        <w:tcBorders/>
        <w:shd w:val="clear" w:color="auto" w:fill="d3dfee"/>
      </w:tcPr>
    </w:tblStylePr>
    <w:tcPr>
      <w:tcBorders/>
    </w:tcPr>
  </w:style>
  <w:style w:type="table" w:styleId="style195">
    <w:name w:val="Medium List 1 Accent 2"/>
    <w:basedOn w:val="style105"/>
    <w:next w:val="style195"/>
    <w:uiPriority w:val="65"/>
    <w:pPr>
      <w:spacing w:after="0" w:lineRule="auto" w:line="240"/>
    </w:pPr>
    <w:rPr>
      <w:color w:val="000000"/>
    </w:rPr>
    <w:tblPr>
      <w:tblStyleRowBandSize w:val="1"/>
      <w:tblStyleColBandSize w:val="1"/>
      <w:tblBorders>
        <w:top w:val="single" w:sz="8" w:space="0" w:color="c0504d"/>
        <w:bottom w:val="single" w:sz="8" w:space="0" w:color="c0504d"/>
      </w:tblBorders>
    </w:tblPr>
    <w:tblStylePr w:type="firstRow">
      <w:pPr/>
      <w:rPr>
        <w:rFonts w:ascii="Calibri" w:cs="宋体" w:eastAsia="ＭＳ ゴシック" w:hAnsi="Calibri"/>
      </w:rPr>
      <w:tblPr/>
      <w:tcPr>
        <w:tcBorders>
          <w:top w:val="nil"/>
          <w:bottom w:val="single" w:sz="8" w:space="0" w:color="c0504d"/>
        </w:tcBorders>
      </w:tcPr>
    </w:tblStylePr>
    <w:tblStylePr w:type="lastRow">
      <w:pPr/>
      <w:rPr>
        <w:b/>
        <w:bCs/>
        <w:color w:val="1f497d"/>
      </w:rPr>
      <w:tblPr/>
      <w:tcPr>
        <w:tcBorders>
          <w:top w:val="single" w:sz="8" w:space="0" w:color="c0504d"/>
          <w:bottom w:val="single" w:sz="8" w:space="0" w:color="c0504d"/>
        </w:tcBorders>
      </w:tcPr>
    </w:tblStylePr>
    <w:tblStylePr w:type="band1Horz">
      <w:pPr/>
      <w:tblPr/>
      <w:tcPr>
        <w:tcBorders/>
        <w:shd w:val="clear" w:color="auto" w:fill="efd3d2"/>
      </w:tcPr>
    </w:tblStylePr>
    <w:tblStylePr w:type="firstCol">
      <w:pPr/>
      <w:rPr>
        <w:b/>
        <w:bCs/>
      </w:rPr>
      <w:tcPr>
        <w:tcBorders/>
      </w:tcPr>
    </w:tblStylePr>
    <w:tblStylePr w:type="lastCol">
      <w:pPr/>
      <w:rPr>
        <w:b/>
        <w:bCs/>
      </w:rPr>
      <w:tblPr/>
      <w:tcPr>
        <w:tcBorders>
          <w:top w:val="single" w:sz="8" w:space="0" w:color="c0504d"/>
          <w:bottom w:val="single" w:sz="8" w:space="0" w:color="c0504d"/>
        </w:tcBorders>
      </w:tcPr>
    </w:tblStylePr>
    <w:tblStylePr w:type="band1Vert">
      <w:pPr/>
      <w:tblPr/>
      <w:tcPr>
        <w:tcBorders/>
        <w:shd w:val="clear" w:color="auto" w:fill="efd3d2"/>
      </w:tcPr>
    </w:tblStylePr>
    <w:tcPr>
      <w:tcBorders/>
    </w:tcPr>
  </w:style>
  <w:style w:type="table" w:styleId="style209">
    <w:name w:val="Medium List 1 Accent 3"/>
    <w:basedOn w:val="style105"/>
    <w:next w:val="style209"/>
    <w:uiPriority w:val="65"/>
    <w:pPr>
      <w:spacing w:after="0" w:lineRule="auto" w:line="240"/>
    </w:pPr>
    <w:rPr>
      <w:color w:val="000000"/>
    </w:rPr>
    <w:tblPr>
      <w:tblStyleRowBandSize w:val="1"/>
      <w:tblStyleColBandSize w:val="1"/>
      <w:tblBorders>
        <w:top w:val="single" w:sz="8" w:space="0" w:color="9bbb59"/>
        <w:bottom w:val="single" w:sz="8" w:space="0" w:color="9bbb59"/>
      </w:tblBorders>
    </w:tblPr>
    <w:tblStylePr w:type="firstRow">
      <w:pPr/>
      <w:rPr>
        <w:rFonts w:ascii="Calibri" w:cs="宋体" w:eastAsia="ＭＳ ゴシック" w:hAnsi="Calibri"/>
      </w:rPr>
      <w:tblPr/>
      <w:tcPr>
        <w:tcBorders>
          <w:top w:val="nil"/>
          <w:bottom w:val="single" w:sz="8" w:space="0" w:color="9bbb59"/>
        </w:tcBorders>
      </w:tcPr>
    </w:tblStylePr>
    <w:tblStylePr w:type="lastRow">
      <w:pPr/>
      <w:rPr>
        <w:b/>
        <w:bCs/>
        <w:color w:val="1f497d"/>
      </w:rPr>
      <w:tblPr/>
      <w:tcPr>
        <w:tcBorders>
          <w:top w:val="single" w:sz="8" w:space="0" w:color="9bbb59"/>
          <w:bottom w:val="single" w:sz="8" w:space="0" w:color="9bbb59"/>
        </w:tcBorders>
      </w:tcPr>
    </w:tblStylePr>
    <w:tblStylePr w:type="band1Horz">
      <w:pPr/>
      <w:tblPr/>
      <w:tcPr>
        <w:tcBorders/>
        <w:shd w:val="clear" w:color="auto" w:fill="e6eed5"/>
      </w:tcPr>
    </w:tblStylePr>
    <w:tblStylePr w:type="firstCol">
      <w:pPr/>
      <w:rPr>
        <w:b/>
        <w:bCs/>
      </w:rPr>
      <w:tcPr>
        <w:tcBorders/>
      </w:tcPr>
    </w:tblStylePr>
    <w:tblStylePr w:type="lastCol">
      <w:pPr/>
      <w:rPr>
        <w:b/>
        <w:bCs/>
      </w:rPr>
      <w:tblPr/>
      <w:tcPr>
        <w:tcBorders>
          <w:top w:val="single" w:sz="8" w:space="0" w:color="9bbb59"/>
          <w:bottom w:val="single" w:sz="8" w:space="0" w:color="9bbb59"/>
        </w:tcBorders>
      </w:tcPr>
    </w:tblStylePr>
    <w:tblStylePr w:type="band1Vert">
      <w:pPr/>
      <w:tblPr/>
      <w:tcPr>
        <w:tcBorders/>
        <w:shd w:val="clear" w:color="auto" w:fill="e6eed5"/>
      </w:tcPr>
    </w:tblStylePr>
    <w:tcPr>
      <w:tcBorders/>
    </w:tcPr>
  </w:style>
  <w:style w:type="table" w:styleId="style223">
    <w:name w:val="Medium List 1 Accent 4"/>
    <w:basedOn w:val="style105"/>
    <w:next w:val="style223"/>
    <w:uiPriority w:val="65"/>
    <w:pPr>
      <w:spacing w:after="0" w:lineRule="auto" w:line="240"/>
    </w:pPr>
    <w:rPr>
      <w:color w:val="000000"/>
    </w:rPr>
    <w:tblPr>
      <w:tblStyleRowBandSize w:val="1"/>
      <w:tblStyleColBandSize w:val="1"/>
      <w:tblBorders>
        <w:top w:val="single" w:sz="8" w:space="0" w:color="8064a2"/>
        <w:bottom w:val="single" w:sz="8" w:space="0" w:color="8064a2"/>
      </w:tblBorders>
    </w:tblPr>
    <w:tblStylePr w:type="firstRow">
      <w:pPr/>
      <w:rPr>
        <w:rFonts w:ascii="Calibri" w:cs="宋体" w:eastAsia="ＭＳ ゴシック" w:hAnsi="Calibri"/>
      </w:rPr>
      <w:tblPr/>
      <w:tcPr>
        <w:tcBorders>
          <w:top w:val="nil"/>
          <w:bottom w:val="single" w:sz="8" w:space="0" w:color="8064a2"/>
        </w:tcBorders>
      </w:tcPr>
    </w:tblStylePr>
    <w:tblStylePr w:type="lastRow">
      <w:pPr/>
      <w:rPr>
        <w:b/>
        <w:bCs/>
        <w:color w:val="1f497d"/>
      </w:rPr>
      <w:tblPr/>
      <w:tcPr>
        <w:tcBorders>
          <w:top w:val="single" w:sz="8" w:space="0" w:color="8064a2"/>
          <w:bottom w:val="single" w:sz="8" w:space="0" w:color="8064a2"/>
        </w:tcBorders>
      </w:tcPr>
    </w:tblStylePr>
    <w:tblStylePr w:type="band1Horz">
      <w:pPr/>
      <w:tblPr/>
      <w:tcPr>
        <w:tcBorders/>
        <w:shd w:val="clear" w:color="auto" w:fill="dfd8e8"/>
      </w:tcPr>
    </w:tblStylePr>
    <w:tblStylePr w:type="firstCol">
      <w:pPr/>
      <w:rPr>
        <w:b/>
        <w:bCs/>
      </w:rPr>
      <w:tcPr>
        <w:tcBorders/>
      </w:tcPr>
    </w:tblStylePr>
    <w:tblStylePr w:type="lastCol">
      <w:pPr/>
      <w:rPr>
        <w:b/>
        <w:bCs/>
      </w:rPr>
      <w:tblPr/>
      <w:tcPr>
        <w:tcBorders>
          <w:top w:val="single" w:sz="8" w:space="0" w:color="8064a2"/>
          <w:bottom w:val="single" w:sz="8" w:space="0" w:color="8064a2"/>
        </w:tcBorders>
      </w:tcPr>
    </w:tblStylePr>
    <w:tblStylePr w:type="band1Vert">
      <w:pPr/>
      <w:tblPr/>
      <w:tcPr>
        <w:tcBorders/>
        <w:shd w:val="clear" w:color="auto" w:fill="dfd8e8"/>
      </w:tcPr>
    </w:tblStylePr>
    <w:tcPr>
      <w:tcBorders/>
    </w:tcPr>
  </w:style>
  <w:style w:type="table" w:styleId="style237">
    <w:name w:val="Medium List 1 Accent 5"/>
    <w:basedOn w:val="style105"/>
    <w:next w:val="style237"/>
    <w:uiPriority w:val="65"/>
    <w:pPr>
      <w:spacing w:after="0" w:lineRule="auto" w:line="240"/>
    </w:pPr>
    <w:rPr>
      <w:color w:val="000000"/>
    </w:rPr>
    <w:tblPr>
      <w:tblStyleRowBandSize w:val="1"/>
      <w:tblStyleColBandSize w:val="1"/>
      <w:tblBorders>
        <w:top w:val="single" w:sz="8" w:space="0" w:color="4bacc6"/>
        <w:bottom w:val="single" w:sz="8" w:space="0" w:color="4bacc6"/>
      </w:tblBorders>
    </w:tblPr>
    <w:tblStylePr w:type="firstRow">
      <w:pPr/>
      <w:rPr>
        <w:rFonts w:ascii="Calibri" w:cs="宋体" w:eastAsia="ＭＳ ゴシック" w:hAnsi="Calibri"/>
      </w:rPr>
      <w:tblPr/>
      <w:tcPr>
        <w:tcBorders>
          <w:top w:val="nil"/>
          <w:bottom w:val="single" w:sz="8" w:space="0" w:color="4bacc6"/>
        </w:tcBorders>
      </w:tcPr>
    </w:tblStylePr>
    <w:tblStylePr w:type="lastRow">
      <w:pPr/>
      <w:rPr>
        <w:b/>
        <w:bCs/>
        <w:color w:val="1f497d"/>
      </w:rPr>
      <w:tblPr/>
      <w:tcPr>
        <w:tcBorders>
          <w:top w:val="single" w:sz="8" w:space="0" w:color="4bacc6"/>
          <w:bottom w:val="single" w:sz="8" w:space="0" w:color="4bacc6"/>
        </w:tcBorders>
      </w:tcPr>
    </w:tblStylePr>
    <w:tblStylePr w:type="band1Horz">
      <w:pPr/>
      <w:tblPr/>
      <w:tcPr>
        <w:tcBorders/>
        <w:shd w:val="clear" w:color="auto" w:fill="d2eaf1"/>
      </w:tcPr>
    </w:tblStylePr>
    <w:tblStylePr w:type="firstCol">
      <w:pPr/>
      <w:rPr>
        <w:b/>
        <w:bCs/>
      </w:rPr>
      <w:tcPr>
        <w:tcBorders/>
      </w:tcPr>
    </w:tblStylePr>
    <w:tblStylePr w:type="lastCol">
      <w:pPr/>
      <w:rPr>
        <w:b/>
        <w:bCs/>
      </w:rPr>
      <w:tblPr/>
      <w:tcPr>
        <w:tcBorders>
          <w:top w:val="single" w:sz="8" w:space="0" w:color="4bacc6"/>
          <w:bottom w:val="single" w:sz="8" w:space="0" w:color="4bacc6"/>
        </w:tcBorders>
      </w:tcPr>
    </w:tblStylePr>
    <w:tblStylePr w:type="band1Vert">
      <w:pPr/>
      <w:tblPr/>
      <w:tcPr>
        <w:tcBorders/>
        <w:shd w:val="clear" w:color="auto" w:fill="d2eaf1"/>
      </w:tcPr>
    </w:tblStylePr>
    <w:tcPr>
      <w:tcBorders/>
    </w:tcPr>
  </w:style>
  <w:style w:type="table" w:styleId="style251">
    <w:name w:val="Medium List 1 Accent 6"/>
    <w:basedOn w:val="style105"/>
    <w:next w:val="style251"/>
    <w:uiPriority w:val="65"/>
    <w:pPr>
      <w:spacing w:after="0" w:lineRule="auto" w:line="240"/>
    </w:pPr>
    <w:rPr>
      <w:color w:val="000000"/>
    </w:rPr>
    <w:tblPr>
      <w:tblStyleRowBandSize w:val="1"/>
      <w:tblStyleColBandSize w:val="1"/>
      <w:tblBorders>
        <w:top w:val="single" w:sz="8" w:space="0" w:color="f79646"/>
        <w:bottom w:val="single" w:sz="8" w:space="0" w:color="f79646"/>
      </w:tblBorders>
    </w:tblPr>
    <w:tblStylePr w:type="firstRow">
      <w:pPr/>
      <w:rPr>
        <w:rFonts w:ascii="Calibri" w:cs="宋体" w:eastAsia="ＭＳ ゴシック" w:hAnsi="Calibri"/>
      </w:rPr>
      <w:tblPr/>
      <w:tcPr>
        <w:tcBorders>
          <w:top w:val="nil"/>
          <w:bottom w:val="single" w:sz="8" w:space="0" w:color="f79646"/>
        </w:tcBorders>
      </w:tcPr>
    </w:tblStylePr>
    <w:tblStylePr w:type="lastRow">
      <w:pPr/>
      <w:rPr>
        <w:b/>
        <w:bCs/>
        <w:color w:val="1f497d"/>
      </w:rPr>
      <w:tblPr/>
      <w:tcPr>
        <w:tcBorders>
          <w:top w:val="single" w:sz="8" w:space="0" w:color="f79646"/>
          <w:bottom w:val="single" w:sz="8" w:space="0" w:color="f79646"/>
        </w:tcBorders>
      </w:tcPr>
    </w:tblStylePr>
    <w:tblStylePr w:type="band1Horz">
      <w:pPr/>
      <w:tblPr/>
      <w:tcPr>
        <w:tcBorders/>
        <w:shd w:val="clear" w:color="auto" w:fill="fde4d0"/>
      </w:tcPr>
    </w:tblStylePr>
    <w:tblStylePr w:type="firstCol">
      <w:pPr/>
      <w:rPr>
        <w:b/>
        <w:bCs/>
      </w:rPr>
      <w:tcPr>
        <w:tcBorders/>
      </w:tcPr>
    </w:tblStylePr>
    <w:tblStylePr w:type="lastCol">
      <w:pPr/>
      <w:rPr>
        <w:b/>
        <w:bCs/>
      </w:rPr>
      <w:tblPr/>
      <w:tcPr>
        <w:tcBorders>
          <w:top w:val="single" w:sz="8" w:space="0" w:color="f79646"/>
          <w:bottom w:val="single" w:sz="8" w:space="0" w:color="f79646"/>
        </w:tcBorders>
      </w:tcPr>
    </w:tblStylePr>
    <w:tblStylePr w:type="band1Vert">
      <w:pPr/>
      <w:tblPr/>
      <w:tcPr>
        <w:tcBorders/>
        <w:shd w:val="clear" w:color="auto" w:fill="fde4d0"/>
      </w:tcPr>
    </w:tblStylePr>
    <w:tcPr>
      <w:tcBorders/>
    </w:tcPr>
  </w:style>
  <w:style w:type="table" w:styleId="style164">
    <w:name w:val="Medium List 2"/>
    <w:basedOn w:val="style105"/>
    <w:next w:val="style164"/>
    <w:uiPriority w:val="66"/>
    <w:pPr>
      <w:spacing w:after="0" w:lineRule="auto" w:line="240"/>
    </w:pPr>
    <w:rPr>
      <w:rFonts w:ascii="Calibri" w:cs="宋体" w:eastAsia="ＭＳ ゴシック" w:hAnsi="Calibri"/>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rPr>
        <w:sz w:val="24"/>
        <w:szCs w:val="24"/>
      </w:rPr>
      <w:tblPr/>
      <w:tcPr>
        <w:tcBorders>
          <w:top w:val="nil"/>
          <w:left w:val="nil"/>
          <w:bottom w:val="single" w:sz="24" w:space="0" w:color="000000"/>
          <w:right w:val="nil"/>
          <w:insideH w:val="nil"/>
          <w:insideV w:val="nil"/>
        </w:tcBorders>
        <w:shd w:val="clear" w:color="auto" w:fill="ffffff"/>
      </w:tcPr>
    </w:tblStylePr>
    <w:tblStylePr w:type="lastRow">
      <w:pPr/>
      <w:tblPr/>
      <w:tcPr>
        <w:tcBorders>
          <w:top w:val="single" w:sz="8" w:space="0" w:color="000000"/>
          <w:left w:val="nil"/>
          <w:bottom w:val="nil"/>
          <w:right w:val="nil"/>
          <w:insideH w:val="nil"/>
          <w:insideV w:val="nil"/>
        </w:tcBorders>
        <w:shd w:val="clear" w:color="auto" w:fill="ffffff"/>
      </w:tcPr>
    </w:tblStylePr>
    <w:tblStylePr w:type="band1Horz">
      <w:pPr/>
      <w:tblPr/>
      <w:tcPr>
        <w:tcBorders>
          <w:top w:val="nil"/>
          <w:bottom w:val="nil"/>
          <w:insideH w:val="nil"/>
          <w:insideV w:val="nil"/>
        </w:tcBorders>
        <w:shd w:val="clear" w:color="auto" w:fill="c0c0c0"/>
      </w:tcPr>
    </w:tblStylePr>
    <w:tblStylePr w:type="firstCol">
      <w:pPr/>
      <w:tblPr/>
      <w:tcPr>
        <w:tcBorders>
          <w:top w:val="nil"/>
          <w:left w:val="nil"/>
          <w:bottom w:val="nil"/>
          <w:right w:val="single" w:sz="8" w:space="0" w:color="000000"/>
          <w:insideH w:val="nil"/>
          <w:insideV w:val="nil"/>
        </w:tcBorders>
        <w:shd w:val="clear" w:color="auto" w:fill="ffffff"/>
      </w:tcPr>
    </w:tblStylePr>
    <w:tblStylePr w:type="lastCol">
      <w:pPr/>
      <w:tblPr/>
      <w:tcPr>
        <w:tcBorders>
          <w:top w:val="nil"/>
          <w:left w:val="single" w:sz="8" w:space="0" w:color="000000"/>
          <w:bottom w:val="nil"/>
          <w:right w:val="nil"/>
          <w:insideH w:val="nil"/>
          <w:insideV w:val="nil"/>
        </w:tcBorders>
        <w:shd w:val="clear" w:color="auto" w:fill="ffffff"/>
      </w:tcPr>
    </w:tblStylePr>
    <w:tblStylePr w:type="band1Vert">
      <w:pPr/>
      <w:tblPr/>
      <w:tcPr>
        <w:tcBorders>
          <w:left w:val="nil"/>
          <w:right w:val="nil"/>
          <w:insideH w:val="nil"/>
          <w:insideV w:val="nil"/>
        </w:tcBorders>
        <w:shd w:val="clear" w:color="auto" w:fill="c0c0c0"/>
      </w:tcPr>
    </w:tblStylePr>
    <w:tblStylePr w:type="nwCell">
      <w:pPr/>
      <w:tblPr/>
      <w:tcPr>
        <w:tcBorders/>
        <w:shd w:val="clear" w:color="auto" w:fill="ffffff"/>
      </w:tcPr>
    </w:tblStylePr>
    <w:tblStylePr w:type="swCell">
      <w:pPr/>
      <w:tblPr/>
      <w:tcPr>
        <w:tcBorders>
          <w:top w:val="nil"/>
        </w:tcBorders>
      </w:tcPr>
    </w:tblStylePr>
    <w:tcPr>
      <w:tcBorders/>
    </w:tcPr>
  </w:style>
  <w:style w:type="table" w:styleId="style182">
    <w:name w:val="Medium List 2 Accent 1"/>
    <w:basedOn w:val="style105"/>
    <w:next w:val="style182"/>
    <w:uiPriority w:val="66"/>
    <w:pPr>
      <w:spacing w:after="0" w:lineRule="auto" w:line="240"/>
    </w:pPr>
    <w:rPr>
      <w:rFonts w:ascii="Calibri" w:cs="宋体" w:eastAsia="ＭＳ ゴシック" w:hAnsi="Calibri"/>
      <w:color w:val="00000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rPr>
        <w:sz w:val="24"/>
        <w:szCs w:val="24"/>
      </w:rPr>
      <w:tblPr/>
      <w:tcPr>
        <w:tcBorders>
          <w:top w:val="nil"/>
          <w:left w:val="nil"/>
          <w:bottom w:val="single" w:sz="24" w:space="0" w:color="4f81bd"/>
          <w:right w:val="nil"/>
          <w:insideH w:val="nil"/>
          <w:insideV w:val="nil"/>
        </w:tcBorders>
        <w:shd w:val="clear" w:color="auto" w:fill="ffffff"/>
      </w:tcPr>
    </w:tblStylePr>
    <w:tblStylePr w:type="lastRow">
      <w:pPr/>
      <w:tblPr/>
      <w:tcPr>
        <w:tcBorders>
          <w:top w:val="single" w:sz="8" w:space="0" w:color="4f81bd"/>
          <w:left w:val="nil"/>
          <w:bottom w:val="nil"/>
          <w:right w:val="nil"/>
          <w:insideH w:val="nil"/>
          <w:insideV w:val="nil"/>
        </w:tcBorders>
        <w:shd w:val="clear" w:color="auto" w:fill="ffffff"/>
      </w:tcPr>
    </w:tblStylePr>
    <w:tblStylePr w:type="band1Horz">
      <w:pPr/>
      <w:tblPr/>
      <w:tcPr>
        <w:tcBorders>
          <w:top w:val="nil"/>
          <w:bottom w:val="nil"/>
          <w:insideH w:val="nil"/>
          <w:insideV w:val="nil"/>
        </w:tcBorders>
        <w:shd w:val="clear" w:color="auto" w:fill="d3dfee"/>
      </w:tcPr>
    </w:tblStylePr>
    <w:tblStylePr w:type="firstCol">
      <w:pPr/>
      <w:tblPr/>
      <w:tcPr>
        <w:tcBorders>
          <w:top w:val="nil"/>
          <w:left w:val="nil"/>
          <w:bottom w:val="nil"/>
          <w:right w:val="single" w:sz="8" w:space="0" w:color="4f81bd"/>
          <w:insideH w:val="nil"/>
          <w:insideV w:val="nil"/>
        </w:tcBorders>
        <w:shd w:val="clear" w:color="auto" w:fill="ffffff"/>
      </w:tcPr>
    </w:tblStylePr>
    <w:tblStylePr w:type="lastCol">
      <w:pPr/>
      <w:tblPr/>
      <w:tcPr>
        <w:tcBorders>
          <w:top w:val="nil"/>
          <w:left w:val="single" w:sz="8" w:space="0" w:color="4f81bd"/>
          <w:bottom w:val="nil"/>
          <w:right w:val="nil"/>
          <w:insideH w:val="nil"/>
          <w:insideV w:val="nil"/>
        </w:tcBorders>
        <w:shd w:val="clear" w:color="auto" w:fill="ffffff"/>
      </w:tcPr>
    </w:tblStylePr>
    <w:tblStylePr w:type="band1Vert">
      <w:pPr/>
      <w:tblPr/>
      <w:tcPr>
        <w:tcBorders>
          <w:left w:val="nil"/>
          <w:right w:val="nil"/>
          <w:insideH w:val="nil"/>
          <w:insideV w:val="nil"/>
        </w:tcBorders>
        <w:shd w:val="clear" w:color="auto" w:fill="d3dfee"/>
      </w:tcPr>
    </w:tblStylePr>
    <w:tblStylePr w:type="nwCell">
      <w:pPr/>
      <w:tblPr/>
      <w:tcPr>
        <w:tcBorders/>
        <w:shd w:val="clear" w:color="auto" w:fill="ffffff"/>
      </w:tcPr>
    </w:tblStylePr>
    <w:tblStylePr w:type="swCell">
      <w:pPr/>
      <w:tblPr/>
      <w:tcPr>
        <w:tcBorders>
          <w:top w:val="nil"/>
        </w:tcBorders>
      </w:tcPr>
    </w:tblStylePr>
    <w:tcPr>
      <w:tcBorders/>
    </w:tcPr>
  </w:style>
  <w:style w:type="table" w:styleId="style196">
    <w:name w:val="Medium List 2 Accent 2"/>
    <w:basedOn w:val="style105"/>
    <w:next w:val="style196"/>
    <w:uiPriority w:val="66"/>
    <w:pPr>
      <w:spacing w:after="0" w:lineRule="auto" w:line="240"/>
    </w:pPr>
    <w:rPr>
      <w:rFonts w:ascii="Calibri" w:cs="宋体" w:eastAsia="ＭＳ ゴシック" w:hAnsi="Calibri"/>
      <w:color w:val="00000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rPr>
        <w:sz w:val="24"/>
        <w:szCs w:val="24"/>
      </w:rPr>
      <w:tblPr/>
      <w:tcPr>
        <w:tcBorders>
          <w:top w:val="nil"/>
          <w:left w:val="nil"/>
          <w:bottom w:val="single" w:sz="24" w:space="0" w:color="c0504d"/>
          <w:right w:val="nil"/>
          <w:insideH w:val="nil"/>
          <w:insideV w:val="nil"/>
        </w:tcBorders>
        <w:shd w:val="clear" w:color="auto" w:fill="ffffff"/>
      </w:tcPr>
    </w:tblStylePr>
    <w:tblStylePr w:type="lastRow">
      <w:pPr/>
      <w:tblPr/>
      <w:tcPr>
        <w:tcBorders>
          <w:top w:val="single" w:sz="8" w:space="0" w:color="c0504d"/>
          <w:left w:val="nil"/>
          <w:bottom w:val="nil"/>
          <w:right w:val="nil"/>
          <w:insideH w:val="nil"/>
          <w:insideV w:val="nil"/>
        </w:tcBorders>
        <w:shd w:val="clear" w:color="auto" w:fill="ffffff"/>
      </w:tcPr>
    </w:tblStylePr>
    <w:tblStylePr w:type="band1Horz">
      <w:pPr/>
      <w:tblPr/>
      <w:tcPr>
        <w:tcBorders>
          <w:top w:val="nil"/>
          <w:bottom w:val="nil"/>
          <w:insideH w:val="nil"/>
          <w:insideV w:val="nil"/>
        </w:tcBorders>
        <w:shd w:val="clear" w:color="auto" w:fill="efd3d2"/>
      </w:tcPr>
    </w:tblStylePr>
    <w:tblStylePr w:type="firstCol">
      <w:pPr/>
      <w:tblPr/>
      <w:tcPr>
        <w:tcBorders>
          <w:top w:val="nil"/>
          <w:left w:val="nil"/>
          <w:bottom w:val="nil"/>
          <w:right w:val="single" w:sz="8" w:space="0" w:color="c0504d"/>
          <w:insideH w:val="nil"/>
          <w:insideV w:val="nil"/>
        </w:tcBorders>
        <w:shd w:val="clear" w:color="auto" w:fill="ffffff"/>
      </w:tcPr>
    </w:tblStylePr>
    <w:tblStylePr w:type="lastCol">
      <w:pPr/>
      <w:tblPr/>
      <w:tcPr>
        <w:tcBorders>
          <w:top w:val="nil"/>
          <w:left w:val="single" w:sz="8" w:space="0" w:color="c0504d"/>
          <w:bottom w:val="nil"/>
          <w:right w:val="nil"/>
          <w:insideH w:val="nil"/>
          <w:insideV w:val="nil"/>
        </w:tcBorders>
        <w:shd w:val="clear" w:color="auto" w:fill="ffffff"/>
      </w:tcPr>
    </w:tblStylePr>
    <w:tblStylePr w:type="band1Vert">
      <w:pPr/>
      <w:tblPr/>
      <w:tcPr>
        <w:tcBorders>
          <w:left w:val="nil"/>
          <w:right w:val="nil"/>
          <w:insideH w:val="nil"/>
          <w:insideV w:val="nil"/>
        </w:tcBorders>
        <w:shd w:val="clear" w:color="auto" w:fill="efd3d2"/>
      </w:tcPr>
    </w:tblStylePr>
    <w:tblStylePr w:type="nwCell">
      <w:pPr/>
      <w:tblPr/>
      <w:tcPr>
        <w:tcBorders/>
        <w:shd w:val="clear" w:color="auto" w:fill="ffffff"/>
      </w:tcPr>
    </w:tblStylePr>
    <w:tblStylePr w:type="swCell">
      <w:pPr/>
      <w:tblPr/>
      <w:tcPr>
        <w:tcBorders>
          <w:top w:val="nil"/>
        </w:tcBorders>
      </w:tcPr>
    </w:tblStylePr>
    <w:tcPr>
      <w:tcBorders/>
    </w:tcPr>
  </w:style>
  <w:style w:type="table" w:styleId="style210">
    <w:name w:val="Medium List 2 Accent 3"/>
    <w:basedOn w:val="style105"/>
    <w:next w:val="style210"/>
    <w:uiPriority w:val="66"/>
    <w:pPr>
      <w:spacing w:after="0" w:lineRule="auto" w:line="240"/>
    </w:pPr>
    <w:rPr>
      <w:rFonts w:ascii="Calibri" w:cs="宋体" w:eastAsia="ＭＳ ゴシック" w:hAnsi="Calibri"/>
      <w:color w:val="000000"/>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rPr>
        <w:sz w:val="24"/>
        <w:szCs w:val="24"/>
      </w:rPr>
      <w:tblPr/>
      <w:tcPr>
        <w:tcBorders>
          <w:top w:val="nil"/>
          <w:left w:val="nil"/>
          <w:bottom w:val="single" w:sz="24" w:space="0" w:color="9bbb59"/>
          <w:right w:val="nil"/>
          <w:insideH w:val="nil"/>
          <w:insideV w:val="nil"/>
        </w:tcBorders>
        <w:shd w:val="clear" w:color="auto" w:fill="ffffff"/>
      </w:tcPr>
    </w:tblStylePr>
    <w:tblStylePr w:type="lastRow">
      <w:pPr/>
      <w:tblPr/>
      <w:tcPr>
        <w:tcBorders>
          <w:top w:val="single" w:sz="8" w:space="0" w:color="9bbb59"/>
          <w:left w:val="nil"/>
          <w:bottom w:val="nil"/>
          <w:right w:val="nil"/>
          <w:insideH w:val="nil"/>
          <w:insideV w:val="nil"/>
        </w:tcBorders>
        <w:shd w:val="clear" w:color="auto" w:fill="ffffff"/>
      </w:tcPr>
    </w:tblStylePr>
    <w:tblStylePr w:type="band1Horz">
      <w:pPr/>
      <w:tblPr/>
      <w:tcPr>
        <w:tcBorders>
          <w:top w:val="nil"/>
          <w:bottom w:val="nil"/>
          <w:insideH w:val="nil"/>
          <w:insideV w:val="nil"/>
        </w:tcBorders>
        <w:shd w:val="clear" w:color="auto" w:fill="e6eed5"/>
      </w:tcPr>
    </w:tblStylePr>
    <w:tblStylePr w:type="firstCol">
      <w:pPr/>
      <w:tblPr/>
      <w:tcPr>
        <w:tcBorders>
          <w:top w:val="nil"/>
          <w:left w:val="nil"/>
          <w:bottom w:val="nil"/>
          <w:right w:val="single" w:sz="8" w:space="0" w:color="9bbb59"/>
          <w:insideH w:val="nil"/>
          <w:insideV w:val="nil"/>
        </w:tcBorders>
        <w:shd w:val="clear" w:color="auto" w:fill="ffffff"/>
      </w:tcPr>
    </w:tblStylePr>
    <w:tblStylePr w:type="lastCol">
      <w:pPr/>
      <w:tblPr/>
      <w:tcPr>
        <w:tcBorders>
          <w:top w:val="nil"/>
          <w:left w:val="single" w:sz="8" w:space="0" w:color="9bbb59"/>
          <w:bottom w:val="nil"/>
          <w:right w:val="nil"/>
          <w:insideH w:val="nil"/>
          <w:insideV w:val="nil"/>
        </w:tcBorders>
        <w:shd w:val="clear" w:color="auto" w:fill="ffffff"/>
      </w:tcPr>
    </w:tblStylePr>
    <w:tblStylePr w:type="band1Vert">
      <w:pPr/>
      <w:tblPr/>
      <w:tcPr>
        <w:tcBorders>
          <w:left w:val="nil"/>
          <w:right w:val="nil"/>
          <w:insideH w:val="nil"/>
          <w:insideV w:val="nil"/>
        </w:tcBorders>
        <w:shd w:val="clear" w:color="auto" w:fill="e6eed5"/>
      </w:tcPr>
    </w:tblStylePr>
    <w:tblStylePr w:type="nwCell">
      <w:pPr/>
      <w:tblPr/>
      <w:tcPr>
        <w:tcBorders/>
        <w:shd w:val="clear" w:color="auto" w:fill="ffffff"/>
      </w:tcPr>
    </w:tblStylePr>
    <w:tblStylePr w:type="swCell">
      <w:pPr/>
      <w:tblPr/>
      <w:tcPr>
        <w:tcBorders>
          <w:top w:val="nil"/>
        </w:tcBorders>
      </w:tcPr>
    </w:tblStylePr>
    <w:tcPr>
      <w:tcBorders/>
    </w:tcPr>
  </w:style>
  <w:style w:type="table" w:styleId="style224">
    <w:name w:val="Medium List 2 Accent 4"/>
    <w:basedOn w:val="style105"/>
    <w:next w:val="style224"/>
    <w:uiPriority w:val="66"/>
    <w:pPr>
      <w:spacing w:after="0" w:lineRule="auto" w:line="240"/>
    </w:pPr>
    <w:rPr>
      <w:rFonts w:ascii="Calibri" w:cs="宋体" w:eastAsia="ＭＳ ゴシック" w:hAnsi="Calibri"/>
      <w:color w:val="000000"/>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rPr>
        <w:sz w:val="24"/>
        <w:szCs w:val="24"/>
      </w:rPr>
      <w:tblPr/>
      <w:tcPr>
        <w:tcBorders>
          <w:top w:val="nil"/>
          <w:left w:val="nil"/>
          <w:bottom w:val="single" w:sz="24" w:space="0" w:color="8064a2"/>
          <w:right w:val="nil"/>
          <w:insideH w:val="nil"/>
          <w:insideV w:val="nil"/>
        </w:tcBorders>
        <w:shd w:val="clear" w:color="auto" w:fill="ffffff"/>
      </w:tcPr>
    </w:tblStylePr>
    <w:tblStylePr w:type="lastRow">
      <w:pPr/>
      <w:tblPr/>
      <w:tcPr>
        <w:tcBorders>
          <w:top w:val="single" w:sz="8" w:space="0" w:color="8064a2"/>
          <w:left w:val="nil"/>
          <w:bottom w:val="nil"/>
          <w:right w:val="nil"/>
          <w:insideH w:val="nil"/>
          <w:insideV w:val="nil"/>
        </w:tcBorders>
        <w:shd w:val="clear" w:color="auto" w:fill="ffffff"/>
      </w:tcPr>
    </w:tblStylePr>
    <w:tblStylePr w:type="band1Horz">
      <w:pPr/>
      <w:tblPr/>
      <w:tcPr>
        <w:tcBorders>
          <w:top w:val="nil"/>
          <w:bottom w:val="nil"/>
          <w:insideH w:val="nil"/>
          <w:insideV w:val="nil"/>
        </w:tcBorders>
        <w:shd w:val="clear" w:color="auto" w:fill="dfd8e8"/>
      </w:tcPr>
    </w:tblStylePr>
    <w:tblStylePr w:type="firstCol">
      <w:pPr/>
      <w:tblPr/>
      <w:tcPr>
        <w:tcBorders>
          <w:top w:val="nil"/>
          <w:left w:val="nil"/>
          <w:bottom w:val="nil"/>
          <w:right w:val="single" w:sz="8" w:space="0" w:color="8064a2"/>
          <w:insideH w:val="nil"/>
          <w:insideV w:val="nil"/>
        </w:tcBorders>
        <w:shd w:val="clear" w:color="auto" w:fill="ffffff"/>
      </w:tcPr>
    </w:tblStylePr>
    <w:tblStylePr w:type="lastCol">
      <w:pPr/>
      <w:tblPr/>
      <w:tcPr>
        <w:tcBorders>
          <w:top w:val="nil"/>
          <w:left w:val="single" w:sz="8" w:space="0" w:color="8064a2"/>
          <w:bottom w:val="nil"/>
          <w:right w:val="nil"/>
          <w:insideH w:val="nil"/>
          <w:insideV w:val="nil"/>
        </w:tcBorders>
        <w:shd w:val="clear" w:color="auto" w:fill="ffffff"/>
      </w:tcPr>
    </w:tblStylePr>
    <w:tblStylePr w:type="band1Vert">
      <w:pPr/>
      <w:tblPr/>
      <w:tcPr>
        <w:tcBorders>
          <w:left w:val="nil"/>
          <w:right w:val="nil"/>
          <w:insideH w:val="nil"/>
          <w:insideV w:val="nil"/>
        </w:tcBorders>
        <w:shd w:val="clear" w:color="auto" w:fill="dfd8e8"/>
      </w:tcPr>
    </w:tblStylePr>
    <w:tblStylePr w:type="nwCell">
      <w:pPr/>
      <w:tblPr/>
      <w:tcPr>
        <w:tcBorders/>
        <w:shd w:val="clear" w:color="auto" w:fill="ffffff"/>
      </w:tcPr>
    </w:tblStylePr>
    <w:tblStylePr w:type="swCell">
      <w:pPr/>
      <w:tblPr/>
      <w:tcPr>
        <w:tcBorders>
          <w:top w:val="nil"/>
        </w:tcBorders>
      </w:tcPr>
    </w:tblStylePr>
    <w:tcPr>
      <w:tcBorders/>
    </w:tcPr>
  </w:style>
  <w:style w:type="table" w:styleId="style238">
    <w:name w:val="Medium List 2 Accent 5"/>
    <w:basedOn w:val="style105"/>
    <w:next w:val="style238"/>
    <w:uiPriority w:val="66"/>
    <w:pPr>
      <w:spacing w:after="0" w:lineRule="auto" w:line="240"/>
    </w:pPr>
    <w:rPr>
      <w:rFonts w:ascii="Calibri" w:cs="宋体" w:eastAsia="ＭＳ ゴシック" w:hAnsi="Calibri"/>
      <w:color w:val="00000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rPr>
        <w:sz w:val="24"/>
        <w:szCs w:val="24"/>
      </w:rPr>
      <w:tblPr/>
      <w:tcPr>
        <w:tcBorders>
          <w:top w:val="nil"/>
          <w:left w:val="nil"/>
          <w:bottom w:val="single" w:sz="24" w:space="0" w:color="4bacc6"/>
          <w:right w:val="nil"/>
          <w:insideH w:val="nil"/>
          <w:insideV w:val="nil"/>
        </w:tcBorders>
        <w:shd w:val="clear" w:color="auto" w:fill="ffffff"/>
      </w:tcPr>
    </w:tblStylePr>
    <w:tblStylePr w:type="lastRow">
      <w:pPr/>
      <w:tblPr/>
      <w:tcPr>
        <w:tcBorders>
          <w:top w:val="single" w:sz="8" w:space="0" w:color="4bacc6"/>
          <w:left w:val="nil"/>
          <w:bottom w:val="nil"/>
          <w:right w:val="nil"/>
          <w:insideH w:val="nil"/>
          <w:insideV w:val="nil"/>
        </w:tcBorders>
        <w:shd w:val="clear" w:color="auto" w:fill="ffffff"/>
      </w:tcPr>
    </w:tblStylePr>
    <w:tblStylePr w:type="band1Horz">
      <w:pPr/>
      <w:tblPr/>
      <w:tcPr>
        <w:tcBorders>
          <w:top w:val="nil"/>
          <w:bottom w:val="nil"/>
          <w:insideH w:val="nil"/>
          <w:insideV w:val="nil"/>
        </w:tcBorders>
        <w:shd w:val="clear" w:color="auto" w:fill="d2eaf1"/>
      </w:tcPr>
    </w:tblStylePr>
    <w:tblStylePr w:type="firstCol">
      <w:pPr/>
      <w:tblPr/>
      <w:tcPr>
        <w:tcBorders>
          <w:top w:val="nil"/>
          <w:left w:val="nil"/>
          <w:bottom w:val="nil"/>
          <w:right w:val="single" w:sz="8" w:space="0" w:color="4bacc6"/>
          <w:insideH w:val="nil"/>
          <w:insideV w:val="nil"/>
        </w:tcBorders>
        <w:shd w:val="clear" w:color="auto" w:fill="ffffff"/>
      </w:tcPr>
    </w:tblStylePr>
    <w:tblStylePr w:type="lastCol">
      <w:pPr/>
      <w:tblPr/>
      <w:tcPr>
        <w:tcBorders>
          <w:top w:val="nil"/>
          <w:left w:val="single" w:sz="8" w:space="0" w:color="4bacc6"/>
          <w:bottom w:val="nil"/>
          <w:right w:val="nil"/>
          <w:insideH w:val="nil"/>
          <w:insideV w:val="nil"/>
        </w:tcBorders>
        <w:shd w:val="clear" w:color="auto" w:fill="ffffff"/>
      </w:tcPr>
    </w:tblStylePr>
    <w:tblStylePr w:type="band1Vert">
      <w:pPr/>
      <w:tblPr/>
      <w:tcPr>
        <w:tcBorders>
          <w:left w:val="nil"/>
          <w:right w:val="nil"/>
          <w:insideH w:val="nil"/>
          <w:insideV w:val="nil"/>
        </w:tcBorders>
        <w:shd w:val="clear" w:color="auto" w:fill="d2eaf1"/>
      </w:tcPr>
    </w:tblStylePr>
    <w:tblStylePr w:type="nwCell">
      <w:pPr/>
      <w:tblPr/>
      <w:tcPr>
        <w:tcBorders/>
        <w:shd w:val="clear" w:color="auto" w:fill="ffffff"/>
      </w:tcPr>
    </w:tblStylePr>
    <w:tblStylePr w:type="swCell">
      <w:pPr/>
      <w:tblPr/>
      <w:tcPr>
        <w:tcBorders>
          <w:top w:val="nil"/>
        </w:tcBorders>
      </w:tcPr>
    </w:tblStylePr>
    <w:tcPr>
      <w:tcBorders/>
    </w:tcPr>
  </w:style>
  <w:style w:type="table" w:styleId="style252">
    <w:name w:val="Medium List 2 Accent 6"/>
    <w:basedOn w:val="style105"/>
    <w:next w:val="style252"/>
    <w:uiPriority w:val="66"/>
    <w:pPr>
      <w:spacing w:after="0" w:lineRule="auto" w:line="240"/>
    </w:pPr>
    <w:rPr>
      <w:rFonts w:ascii="Calibri" w:cs="宋体" w:eastAsia="ＭＳ ゴシック" w:hAnsi="Calibri"/>
      <w:color w:val="000000"/>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rPr>
        <w:sz w:val="24"/>
        <w:szCs w:val="24"/>
      </w:rPr>
      <w:tblPr/>
      <w:tcPr>
        <w:tcBorders>
          <w:top w:val="nil"/>
          <w:left w:val="nil"/>
          <w:bottom w:val="single" w:sz="24" w:space="0" w:color="f79646"/>
          <w:right w:val="nil"/>
          <w:insideH w:val="nil"/>
          <w:insideV w:val="nil"/>
        </w:tcBorders>
        <w:shd w:val="clear" w:color="auto" w:fill="ffffff"/>
      </w:tcPr>
    </w:tblStylePr>
    <w:tblStylePr w:type="lastRow">
      <w:pPr/>
      <w:tblPr/>
      <w:tcPr>
        <w:tcBorders>
          <w:top w:val="single" w:sz="8" w:space="0" w:color="f79646"/>
          <w:left w:val="nil"/>
          <w:bottom w:val="nil"/>
          <w:right w:val="nil"/>
          <w:insideH w:val="nil"/>
          <w:insideV w:val="nil"/>
        </w:tcBorders>
        <w:shd w:val="clear" w:color="auto" w:fill="ffffff"/>
      </w:tcPr>
    </w:tblStylePr>
    <w:tblStylePr w:type="band1Horz">
      <w:pPr/>
      <w:tblPr/>
      <w:tcPr>
        <w:tcBorders>
          <w:top w:val="nil"/>
          <w:bottom w:val="nil"/>
          <w:insideH w:val="nil"/>
          <w:insideV w:val="nil"/>
        </w:tcBorders>
        <w:shd w:val="clear" w:color="auto" w:fill="fde4d0"/>
      </w:tcPr>
    </w:tblStylePr>
    <w:tblStylePr w:type="firstCol">
      <w:pPr/>
      <w:tblPr/>
      <w:tcPr>
        <w:tcBorders>
          <w:top w:val="nil"/>
          <w:left w:val="nil"/>
          <w:bottom w:val="nil"/>
          <w:right w:val="single" w:sz="8" w:space="0" w:color="f79646"/>
          <w:insideH w:val="nil"/>
          <w:insideV w:val="nil"/>
        </w:tcBorders>
        <w:shd w:val="clear" w:color="auto" w:fill="ffffff"/>
      </w:tcPr>
    </w:tblStylePr>
    <w:tblStylePr w:type="lastCol">
      <w:pPr/>
      <w:tblPr/>
      <w:tcPr>
        <w:tcBorders>
          <w:top w:val="nil"/>
          <w:left w:val="single" w:sz="8" w:space="0" w:color="f79646"/>
          <w:bottom w:val="nil"/>
          <w:right w:val="nil"/>
          <w:insideH w:val="nil"/>
          <w:insideV w:val="nil"/>
        </w:tcBorders>
        <w:shd w:val="clear" w:color="auto" w:fill="ffffff"/>
      </w:tcPr>
    </w:tblStylePr>
    <w:tblStylePr w:type="band1Vert">
      <w:pPr/>
      <w:tblPr/>
      <w:tcPr>
        <w:tcBorders>
          <w:left w:val="nil"/>
          <w:right w:val="nil"/>
          <w:insideH w:val="nil"/>
          <w:insideV w:val="nil"/>
        </w:tcBorders>
        <w:shd w:val="clear" w:color="auto" w:fill="fde4d0"/>
      </w:tcPr>
    </w:tblStylePr>
    <w:tblStylePr w:type="nwCell">
      <w:pPr/>
      <w:tblPr/>
      <w:tcPr>
        <w:tcBorders/>
        <w:shd w:val="clear" w:color="auto" w:fill="ffffff"/>
      </w:tcPr>
    </w:tblStylePr>
    <w:tblStylePr w:type="swCell">
      <w:pPr/>
      <w:tblPr/>
      <w:tcPr>
        <w:tcBorders>
          <w:top w:val="nil"/>
        </w:tcBorders>
      </w:tcPr>
    </w:tblStylePr>
    <w:tcPr>
      <w:tcBorders/>
    </w:tcPr>
  </w:style>
  <w:style w:type="table" w:styleId="style165">
    <w:name w:val="Medium Grid 1"/>
    <w:basedOn w:val="style105"/>
    <w:next w:val="style165"/>
    <w:uiPriority w:val="67"/>
    <w:pPr>
      <w:spacing w:after="0" w:lineRule="auto" w:line="240"/>
    </w:pPr>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shd w:val="clear" w:color="auto" w:fill="c0c0c0"/>
    </w:tblPr>
    <w:tblStylePr w:type="firstRow">
      <w:pPr/>
      <w:rPr>
        <w:b/>
        <w:bCs/>
      </w:rPr>
      <w:tcPr>
        <w:tcBorders/>
      </w:tcPr>
    </w:tblStylePr>
    <w:tblStylePr w:type="lastRow">
      <w:pPr/>
      <w:rPr>
        <w:b/>
        <w:bCs/>
      </w:rPr>
      <w:tblPr/>
      <w:tcPr>
        <w:tcBorders>
          <w:top w:val="single" w:sz="18" w:space="0" w:color="404040"/>
        </w:tcBorders>
      </w:tcPr>
    </w:tblStylePr>
    <w:tblStylePr w:type="band1Horz">
      <w:pPr/>
      <w:tblPr/>
      <w:tcPr>
        <w:tcBorders/>
        <w:shd w:val="clear" w:color="auto" w:fill="808080"/>
      </w:tcPr>
    </w:tblStylePr>
    <w:tblStylePr w:type="firstCol">
      <w:pPr/>
      <w:rPr>
        <w:b/>
        <w:bCs/>
      </w:rPr>
      <w:tcPr>
        <w:tcBorders/>
      </w:tcPr>
    </w:tblStylePr>
    <w:tblStylePr w:type="lastCol">
      <w:pPr/>
      <w:rPr>
        <w:b/>
        <w:bCs/>
      </w:rPr>
      <w:tcPr>
        <w:tcBorders/>
      </w:tcPr>
    </w:tblStylePr>
    <w:tblStylePr w:type="band1Vert">
      <w:pPr/>
      <w:tblPr/>
      <w:tcPr>
        <w:tcBorders/>
        <w:shd w:val="clear" w:color="auto" w:fill="808080"/>
      </w:tcPr>
    </w:tblStylePr>
    <w:tcPr>
      <w:tcBorders/>
      <w:shd w:val="clear" w:color="auto" w:fill="c0c0c0"/>
    </w:tcPr>
  </w:style>
  <w:style w:type="table" w:styleId="style183">
    <w:name w:val="Medium Grid 1 Accent 1"/>
    <w:basedOn w:val="style105"/>
    <w:next w:val="style183"/>
    <w:uiPriority w:val="67"/>
    <w:pPr>
      <w:spacing w:after="0" w:lineRule="auto" w:line="240"/>
    </w:pPr>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shd w:val="clear" w:color="auto" w:fill="d3dfee"/>
    </w:tblPr>
    <w:tblStylePr w:type="firstRow">
      <w:pPr/>
      <w:rPr>
        <w:b/>
        <w:bCs/>
      </w:rPr>
      <w:tcPr>
        <w:tcBorders/>
      </w:tcPr>
    </w:tblStylePr>
    <w:tblStylePr w:type="lastRow">
      <w:pPr/>
      <w:rPr>
        <w:b/>
        <w:bCs/>
      </w:rPr>
      <w:tblPr/>
      <w:tcPr>
        <w:tcBorders>
          <w:top w:val="single" w:sz="18" w:space="0" w:color="7ba0cd"/>
        </w:tcBorders>
      </w:tcPr>
    </w:tblStylePr>
    <w:tblStylePr w:type="band1Horz">
      <w:pPr/>
      <w:tblPr/>
      <w:tcPr>
        <w:tcBorders/>
        <w:shd w:val="clear" w:color="auto" w:fill="a7bfde"/>
      </w:tcPr>
    </w:tblStylePr>
    <w:tblStylePr w:type="firstCol">
      <w:pPr/>
      <w:rPr>
        <w:b/>
        <w:bCs/>
      </w:rPr>
      <w:tcPr>
        <w:tcBorders/>
      </w:tcPr>
    </w:tblStylePr>
    <w:tblStylePr w:type="lastCol">
      <w:pPr/>
      <w:rPr>
        <w:b/>
        <w:bCs/>
      </w:rPr>
      <w:tcPr>
        <w:tcBorders/>
      </w:tcPr>
    </w:tblStylePr>
    <w:tblStylePr w:type="band1Vert">
      <w:pPr/>
      <w:tblPr/>
      <w:tcPr>
        <w:tcBorders/>
        <w:shd w:val="clear" w:color="auto" w:fill="a7bfde"/>
      </w:tcPr>
    </w:tblStylePr>
    <w:tcPr>
      <w:tcBorders/>
      <w:shd w:val="clear" w:color="auto" w:fill="d3dfee"/>
    </w:tcPr>
  </w:style>
  <w:style w:type="table" w:styleId="style197">
    <w:name w:val="Medium Grid 1 Accent 2"/>
    <w:basedOn w:val="style105"/>
    <w:next w:val="style197"/>
    <w:uiPriority w:val="67"/>
    <w:pPr>
      <w:spacing w:after="0" w:lineRule="auto" w:line="240"/>
    </w:pPr>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shd w:val="clear" w:color="auto" w:fill="efd3d2"/>
    </w:tblPr>
    <w:tblStylePr w:type="firstRow">
      <w:pPr/>
      <w:rPr>
        <w:b/>
        <w:bCs/>
      </w:rPr>
      <w:tcPr>
        <w:tcBorders/>
      </w:tcPr>
    </w:tblStylePr>
    <w:tblStylePr w:type="lastRow">
      <w:pPr/>
      <w:rPr>
        <w:b/>
        <w:bCs/>
      </w:rPr>
      <w:tblPr/>
      <w:tcPr>
        <w:tcBorders>
          <w:top w:val="single" w:sz="18" w:space="0" w:color="cf7b79"/>
        </w:tcBorders>
      </w:tcPr>
    </w:tblStylePr>
    <w:tblStylePr w:type="band1Horz">
      <w:pPr/>
      <w:tblPr/>
      <w:tcPr>
        <w:tcBorders/>
        <w:shd w:val="clear" w:color="auto" w:fill="dfa7a6"/>
      </w:tcPr>
    </w:tblStylePr>
    <w:tblStylePr w:type="firstCol">
      <w:pPr/>
      <w:rPr>
        <w:b/>
        <w:bCs/>
      </w:rPr>
      <w:tcPr>
        <w:tcBorders/>
      </w:tcPr>
    </w:tblStylePr>
    <w:tblStylePr w:type="lastCol">
      <w:pPr/>
      <w:rPr>
        <w:b/>
        <w:bCs/>
      </w:rPr>
      <w:tcPr>
        <w:tcBorders/>
      </w:tcPr>
    </w:tblStylePr>
    <w:tblStylePr w:type="band1Vert">
      <w:pPr/>
      <w:tblPr/>
      <w:tcPr>
        <w:tcBorders/>
        <w:shd w:val="clear" w:color="auto" w:fill="dfa7a6"/>
      </w:tcPr>
    </w:tblStylePr>
    <w:tcPr>
      <w:tcBorders/>
      <w:shd w:val="clear" w:color="auto" w:fill="efd3d2"/>
    </w:tcPr>
  </w:style>
  <w:style w:type="table" w:styleId="style211">
    <w:name w:val="Medium Grid 1 Accent 3"/>
    <w:basedOn w:val="style105"/>
    <w:next w:val="style211"/>
    <w:uiPriority w:val="67"/>
    <w:pPr>
      <w:spacing w:after="0" w:lineRule="auto" w:line="240"/>
    </w:pPr>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shd w:val="clear" w:color="auto" w:fill="e6eed5"/>
    </w:tblPr>
    <w:tblStylePr w:type="firstRow">
      <w:pPr/>
      <w:rPr>
        <w:b/>
        <w:bCs/>
      </w:rPr>
      <w:tcPr>
        <w:tcBorders/>
      </w:tcPr>
    </w:tblStylePr>
    <w:tblStylePr w:type="lastRow">
      <w:pPr/>
      <w:rPr>
        <w:b/>
        <w:bCs/>
      </w:rPr>
      <w:tblPr/>
      <w:tcPr>
        <w:tcBorders>
          <w:top w:val="single" w:sz="18" w:space="0" w:color="b3cc82"/>
        </w:tcBorders>
      </w:tcPr>
    </w:tblStylePr>
    <w:tblStylePr w:type="band1Horz">
      <w:pPr/>
      <w:tblPr/>
      <w:tcPr>
        <w:tcBorders/>
        <w:shd w:val="clear" w:color="auto" w:fill="cdddac"/>
      </w:tcPr>
    </w:tblStylePr>
    <w:tblStylePr w:type="firstCol">
      <w:pPr/>
      <w:rPr>
        <w:b/>
        <w:bCs/>
      </w:rPr>
      <w:tcPr>
        <w:tcBorders/>
      </w:tcPr>
    </w:tblStylePr>
    <w:tblStylePr w:type="lastCol">
      <w:pPr/>
      <w:rPr>
        <w:b/>
        <w:bCs/>
      </w:rPr>
      <w:tcPr>
        <w:tcBorders/>
      </w:tcPr>
    </w:tblStylePr>
    <w:tblStylePr w:type="band1Vert">
      <w:pPr/>
      <w:tblPr/>
      <w:tcPr>
        <w:tcBorders/>
        <w:shd w:val="clear" w:color="auto" w:fill="cdddac"/>
      </w:tcPr>
    </w:tblStylePr>
    <w:tcPr>
      <w:tcBorders/>
      <w:shd w:val="clear" w:color="auto" w:fill="e6eed5"/>
    </w:tcPr>
  </w:style>
  <w:style w:type="table" w:styleId="style225">
    <w:name w:val="Medium Grid 1 Accent 4"/>
    <w:basedOn w:val="style105"/>
    <w:next w:val="style225"/>
    <w:uiPriority w:val="67"/>
    <w:pPr>
      <w:spacing w:after="0" w:lineRule="auto" w:line="240"/>
    </w:pPr>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shd w:val="clear" w:color="auto" w:fill="dfd8e8"/>
    </w:tblPr>
    <w:tblStylePr w:type="firstRow">
      <w:pPr/>
      <w:rPr>
        <w:b/>
        <w:bCs/>
      </w:rPr>
      <w:tcPr>
        <w:tcBorders/>
      </w:tcPr>
    </w:tblStylePr>
    <w:tblStylePr w:type="lastRow">
      <w:pPr/>
      <w:rPr>
        <w:b/>
        <w:bCs/>
      </w:rPr>
      <w:tblPr/>
      <w:tcPr>
        <w:tcBorders>
          <w:top w:val="single" w:sz="18" w:space="0" w:color="9f8ab9"/>
        </w:tcBorders>
      </w:tcPr>
    </w:tblStylePr>
    <w:tblStylePr w:type="band1Horz">
      <w:pPr/>
      <w:tblPr/>
      <w:tcPr>
        <w:tcBorders/>
        <w:shd w:val="clear" w:color="auto" w:fill="bfb1d0"/>
      </w:tcPr>
    </w:tblStylePr>
    <w:tblStylePr w:type="firstCol">
      <w:pPr/>
      <w:rPr>
        <w:b/>
        <w:bCs/>
      </w:rPr>
      <w:tcPr>
        <w:tcBorders/>
      </w:tcPr>
    </w:tblStylePr>
    <w:tblStylePr w:type="lastCol">
      <w:pPr/>
      <w:rPr>
        <w:b/>
        <w:bCs/>
      </w:rPr>
      <w:tcPr>
        <w:tcBorders/>
      </w:tcPr>
    </w:tblStylePr>
    <w:tblStylePr w:type="band1Vert">
      <w:pPr/>
      <w:tblPr/>
      <w:tcPr>
        <w:tcBorders/>
        <w:shd w:val="clear" w:color="auto" w:fill="bfb1d0"/>
      </w:tcPr>
    </w:tblStylePr>
    <w:tcPr>
      <w:tcBorders/>
      <w:shd w:val="clear" w:color="auto" w:fill="dfd8e8"/>
    </w:tcPr>
  </w:style>
  <w:style w:type="table" w:styleId="style239">
    <w:name w:val="Medium Grid 1 Accent 5"/>
    <w:basedOn w:val="style105"/>
    <w:next w:val="style239"/>
    <w:uiPriority w:val="67"/>
    <w:pPr>
      <w:spacing w:after="0" w:lineRule="auto" w:line="240"/>
    </w:pPr>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shd w:val="clear" w:color="auto" w:fill="d2eaf1"/>
    </w:tblPr>
    <w:tblStylePr w:type="firstRow">
      <w:pPr/>
      <w:rPr>
        <w:b/>
        <w:bCs/>
      </w:rPr>
      <w:tcPr>
        <w:tcBorders/>
      </w:tcPr>
    </w:tblStylePr>
    <w:tblStylePr w:type="lastRow">
      <w:pPr/>
      <w:rPr>
        <w:b/>
        <w:bCs/>
      </w:rPr>
      <w:tblPr/>
      <w:tcPr>
        <w:tcBorders>
          <w:top w:val="single" w:sz="18" w:space="0" w:color="78c0d4"/>
        </w:tcBorders>
      </w:tcPr>
    </w:tblStylePr>
    <w:tblStylePr w:type="band1Horz">
      <w:pPr/>
      <w:tblPr/>
      <w:tcPr>
        <w:tcBorders/>
        <w:shd w:val="clear" w:color="auto" w:fill="a5d5e2"/>
      </w:tcPr>
    </w:tblStylePr>
    <w:tblStylePr w:type="firstCol">
      <w:pPr/>
      <w:rPr>
        <w:b/>
        <w:bCs/>
      </w:rPr>
      <w:tcPr>
        <w:tcBorders/>
      </w:tcPr>
    </w:tblStylePr>
    <w:tblStylePr w:type="lastCol">
      <w:pPr/>
      <w:rPr>
        <w:b/>
        <w:bCs/>
      </w:rPr>
      <w:tcPr>
        <w:tcBorders/>
      </w:tcPr>
    </w:tblStylePr>
    <w:tblStylePr w:type="band1Vert">
      <w:pPr/>
      <w:tblPr/>
      <w:tcPr>
        <w:tcBorders/>
        <w:shd w:val="clear" w:color="auto" w:fill="a5d5e2"/>
      </w:tcPr>
    </w:tblStylePr>
    <w:tcPr>
      <w:tcBorders/>
      <w:shd w:val="clear" w:color="auto" w:fill="d2eaf1"/>
    </w:tcPr>
  </w:style>
  <w:style w:type="table" w:styleId="style253">
    <w:name w:val="Medium Grid 1 Accent 6"/>
    <w:basedOn w:val="style105"/>
    <w:next w:val="style253"/>
    <w:uiPriority w:val="67"/>
    <w:pPr>
      <w:spacing w:after="0" w:lineRule="auto" w:line="240"/>
    </w:pPr>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shd w:val="clear" w:color="auto" w:fill="fde4d0"/>
    </w:tblPr>
    <w:tblStylePr w:type="firstRow">
      <w:pPr/>
      <w:rPr>
        <w:b/>
        <w:bCs/>
      </w:rPr>
      <w:tcPr>
        <w:tcBorders/>
      </w:tcPr>
    </w:tblStylePr>
    <w:tblStylePr w:type="lastRow">
      <w:pPr/>
      <w:rPr>
        <w:b/>
        <w:bCs/>
      </w:rPr>
      <w:tblPr/>
      <w:tcPr>
        <w:tcBorders>
          <w:top w:val="single" w:sz="18" w:space="0" w:color="f9b074"/>
        </w:tcBorders>
      </w:tcPr>
    </w:tblStylePr>
    <w:tblStylePr w:type="band1Horz">
      <w:pPr/>
      <w:tblPr/>
      <w:tcPr>
        <w:tcBorders/>
        <w:shd w:val="clear" w:color="auto" w:fill="fbcaa2"/>
      </w:tcPr>
    </w:tblStylePr>
    <w:tblStylePr w:type="firstCol">
      <w:pPr/>
      <w:rPr>
        <w:b/>
        <w:bCs/>
      </w:rPr>
      <w:tcPr>
        <w:tcBorders/>
      </w:tcPr>
    </w:tblStylePr>
    <w:tblStylePr w:type="lastCol">
      <w:pPr/>
      <w:rPr>
        <w:b/>
        <w:bCs/>
      </w:rPr>
      <w:tcPr>
        <w:tcBorders/>
      </w:tcPr>
    </w:tblStylePr>
    <w:tblStylePr w:type="band1Vert">
      <w:pPr/>
      <w:tblPr/>
      <w:tcPr>
        <w:tcBorders/>
        <w:shd w:val="clear" w:color="auto" w:fill="fbcaa2"/>
      </w:tcPr>
    </w:tblStylePr>
    <w:tcPr>
      <w:tcBorders/>
      <w:shd w:val="clear" w:color="auto" w:fill="fde4d0"/>
    </w:tcPr>
  </w:style>
  <w:style w:type="table" w:styleId="style166">
    <w:name w:val="Medium Grid 2"/>
    <w:basedOn w:val="style105"/>
    <w:next w:val="style166"/>
    <w:uiPriority w:val="68"/>
    <w:pPr>
      <w:spacing w:after="0" w:lineRule="auto" w:line="240"/>
    </w:pPr>
    <w:rPr>
      <w:rFonts w:ascii="Calibri" w:cs="宋体" w:eastAsia="ＭＳ ゴシック" w:hAnsi="Calibri"/>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c0c0c0"/>
    </w:tblPr>
    <w:tblStylePr w:type="firstRow">
      <w:pPr/>
      <w:rPr>
        <w:b/>
        <w:bCs/>
        <w:color w:val="000000"/>
      </w:rPr>
      <w:tblPr/>
      <w:tcPr>
        <w:tcBorders/>
        <w:shd w:val="clear" w:color="auto" w:fill="e6e6e6"/>
      </w:tcPr>
    </w:tblStylePr>
    <w:tblStylePr w:type="lastRow">
      <w:pPr/>
      <w:rPr>
        <w:b/>
        <w:bCs/>
        <w:color w:val="000000"/>
      </w:rPr>
      <w:tblPr/>
      <w:tcPr>
        <w:tcBorders>
          <w:top w:val="single" w:sz="12" w:space="0" w:color="000000"/>
          <w:left w:val="nil"/>
          <w:bottom w:val="nil"/>
          <w:right w:val="nil"/>
          <w:insideH w:val="nil"/>
          <w:insideV w:val="nil"/>
        </w:tcBorders>
        <w:shd w:val="clear" w:color="auto" w:fill="ffffff"/>
      </w:tcPr>
    </w:tblStylePr>
    <w:tblStylePr w:type="band1Horz">
      <w:pPr/>
      <w:tblPr/>
      <w:tcPr>
        <w:tcBorders>
          <w:insideH w:val="single" w:sz="6" w:space="0" w:color="000000"/>
          <w:insideV w:val="single" w:sz="6" w:space="0" w:color="000000"/>
        </w:tcBorders>
        <w:shd w:val="clear" w:color="auto" w:fill="808080"/>
      </w:tcPr>
    </w:tblStylePr>
    <w:tblStylePr w:type="firstCol">
      <w:pPr/>
      <w:rPr>
        <w:b/>
        <w:bCs/>
        <w:color w:val="000000"/>
      </w:rPr>
      <w:tblPr/>
      <w:tcPr>
        <w:tcBorders>
          <w:top w:val="nil"/>
          <w:left w:val="nil"/>
          <w:bottom w:val="nil"/>
          <w:right w:val="nil"/>
          <w:insideH w:val="nil"/>
          <w:insideV w:val="nil"/>
        </w:tcBorders>
        <w:shd w:val="clear" w:color="auto" w:fill="ffffff"/>
      </w:tcPr>
    </w:tblStylePr>
    <w:tblStylePr w:type="lastCol">
      <w:pPr/>
      <w:rPr>
        <w:b w:val="false"/>
        <w:bCs w:val="false"/>
        <w:color w:val="000000"/>
      </w:rPr>
      <w:tblPr/>
      <w:tcPr>
        <w:tcBorders>
          <w:top w:val="nil"/>
          <w:left w:val="nil"/>
          <w:bottom w:val="nil"/>
          <w:right w:val="nil"/>
          <w:insideH w:val="nil"/>
          <w:insideV w:val="nil"/>
        </w:tcBorders>
        <w:shd w:val="clear" w:color="auto" w:fill="cccccc"/>
      </w:tcPr>
    </w:tblStylePr>
    <w:tblStylePr w:type="band1Vert">
      <w:pPr/>
      <w:tblPr/>
      <w:tcPr>
        <w:tcBorders/>
        <w:shd w:val="clear" w:color="auto" w:fill="808080"/>
      </w:tcPr>
    </w:tblStylePr>
    <w:tblStylePr w:type="nwCell">
      <w:pPr/>
      <w:tblPr/>
      <w:tcPr>
        <w:tcBorders/>
        <w:shd w:val="clear" w:color="auto" w:fill="ffffff"/>
      </w:tcPr>
    </w:tblStylePr>
    <w:tcPr>
      <w:tcBorders/>
      <w:shd w:val="clear" w:color="auto" w:fill="c0c0c0"/>
    </w:tcPr>
  </w:style>
  <w:style w:type="table" w:styleId="style184">
    <w:name w:val="Medium Grid 2 Accent 1"/>
    <w:basedOn w:val="style105"/>
    <w:next w:val="style184"/>
    <w:uiPriority w:val="68"/>
    <w:pPr>
      <w:spacing w:after="0" w:lineRule="auto" w:line="240"/>
    </w:pPr>
    <w:rPr>
      <w:rFonts w:ascii="Calibri" w:cs="宋体" w:eastAsia="ＭＳ ゴシック" w:hAnsi="Calibri"/>
      <w:color w:val="00000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shd w:val="clear" w:color="auto" w:fill="d3dfee"/>
    </w:tblPr>
    <w:tblStylePr w:type="firstRow">
      <w:pPr/>
      <w:rPr>
        <w:b/>
        <w:bCs/>
        <w:color w:val="000000"/>
      </w:rPr>
      <w:tblPr/>
      <w:tcPr>
        <w:tcBorders/>
        <w:shd w:val="clear" w:color="auto" w:fill="edf2f8"/>
      </w:tcPr>
    </w:tblStylePr>
    <w:tblStylePr w:type="lastRow">
      <w:pPr/>
      <w:rPr>
        <w:b/>
        <w:bCs/>
        <w:color w:val="000000"/>
      </w:rPr>
      <w:tblPr/>
      <w:tcPr>
        <w:tcBorders>
          <w:top w:val="single" w:sz="12" w:space="0" w:color="000000"/>
          <w:left w:val="nil"/>
          <w:bottom w:val="nil"/>
          <w:right w:val="nil"/>
          <w:insideH w:val="nil"/>
          <w:insideV w:val="nil"/>
        </w:tcBorders>
        <w:shd w:val="clear" w:color="auto" w:fill="ffffff"/>
      </w:tcPr>
    </w:tblStylePr>
    <w:tblStylePr w:type="band1Horz">
      <w:pPr/>
      <w:tblPr/>
      <w:tcPr>
        <w:tcBorders>
          <w:insideH w:val="single" w:sz="6" w:space="0" w:color="4f81bd"/>
          <w:insideV w:val="single" w:sz="6" w:space="0" w:color="4f81bd"/>
        </w:tcBorders>
        <w:shd w:val="clear" w:color="auto" w:fill="a7bfde"/>
      </w:tcPr>
    </w:tblStylePr>
    <w:tblStylePr w:type="firstCol">
      <w:pPr/>
      <w:rPr>
        <w:b/>
        <w:bCs/>
        <w:color w:val="000000"/>
      </w:rPr>
      <w:tblPr/>
      <w:tcPr>
        <w:tcBorders>
          <w:top w:val="nil"/>
          <w:left w:val="nil"/>
          <w:bottom w:val="nil"/>
          <w:right w:val="nil"/>
          <w:insideH w:val="nil"/>
          <w:insideV w:val="nil"/>
        </w:tcBorders>
        <w:shd w:val="clear" w:color="auto" w:fill="ffffff"/>
      </w:tcPr>
    </w:tblStylePr>
    <w:tblStylePr w:type="lastCol">
      <w:pPr/>
      <w:rPr>
        <w:b w:val="false"/>
        <w:bCs w:val="false"/>
        <w:color w:val="000000"/>
      </w:rPr>
      <w:tblPr/>
      <w:tcPr>
        <w:tcBorders>
          <w:top w:val="nil"/>
          <w:left w:val="nil"/>
          <w:bottom w:val="nil"/>
          <w:right w:val="nil"/>
          <w:insideH w:val="nil"/>
          <w:insideV w:val="nil"/>
        </w:tcBorders>
        <w:shd w:val="clear" w:color="auto" w:fill="dbe5f1"/>
      </w:tcPr>
    </w:tblStylePr>
    <w:tblStylePr w:type="band1Vert">
      <w:pPr/>
      <w:tblPr/>
      <w:tcPr>
        <w:tcBorders/>
        <w:shd w:val="clear" w:color="auto" w:fill="a7bfde"/>
      </w:tcPr>
    </w:tblStylePr>
    <w:tblStylePr w:type="nwCell">
      <w:pPr/>
      <w:tblPr/>
      <w:tcPr>
        <w:tcBorders/>
        <w:shd w:val="clear" w:color="auto" w:fill="ffffff"/>
      </w:tcPr>
    </w:tblStylePr>
    <w:tcPr>
      <w:tcBorders/>
      <w:shd w:val="clear" w:color="auto" w:fill="d3dfee"/>
    </w:tcPr>
  </w:style>
  <w:style w:type="table" w:styleId="style198">
    <w:name w:val="Medium Grid 2 Accent 2"/>
    <w:basedOn w:val="style105"/>
    <w:next w:val="style198"/>
    <w:uiPriority w:val="68"/>
    <w:pPr>
      <w:spacing w:after="0" w:lineRule="auto" w:line="240"/>
    </w:pPr>
    <w:rPr>
      <w:rFonts w:ascii="Calibri" w:cs="宋体" w:eastAsia="ＭＳ ゴシック" w:hAnsi="Calibri"/>
      <w:color w:val="00000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shd w:val="clear" w:color="auto" w:fill="efd3d2"/>
    </w:tblPr>
    <w:tblStylePr w:type="firstRow">
      <w:pPr/>
      <w:rPr>
        <w:b/>
        <w:bCs/>
        <w:color w:val="000000"/>
      </w:rPr>
      <w:tblPr/>
      <w:tcPr>
        <w:tcBorders/>
        <w:shd w:val="clear" w:color="auto" w:fill="f8eded"/>
      </w:tcPr>
    </w:tblStylePr>
    <w:tblStylePr w:type="lastRow">
      <w:pPr/>
      <w:rPr>
        <w:b/>
        <w:bCs/>
        <w:color w:val="000000"/>
      </w:rPr>
      <w:tblPr/>
      <w:tcPr>
        <w:tcBorders>
          <w:top w:val="single" w:sz="12" w:space="0" w:color="000000"/>
          <w:left w:val="nil"/>
          <w:bottom w:val="nil"/>
          <w:right w:val="nil"/>
          <w:insideH w:val="nil"/>
          <w:insideV w:val="nil"/>
        </w:tcBorders>
        <w:shd w:val="clear" w:color="auto" w:fill="ffffff"/>
      </w:tcPr>
    </w:tblStylePr>
    <w:tblStylePr w:type="band1Horz">
      <w:pPr/>
      <w:tblPr/>
      <w:tcPr>
        <w:tcBorders>
          <w:insideH w:val="single" w:sz="6" w:space="0" w:color="c0504d"/>
          <w:insideV w:val="single" w:sz="6" w:space="0" w:color="c0504d"/>
        </w:tcBorders>
        <w:shd w:val="clear" w:color="auto" w:fill="dfa7a6"/>
      </w:tcPr>
    </w:tblStylePr>
    <w:tblStylePr w:type="firstCol">
      <w:pPr/>
      <w:rPr>
        <w:b/>
        <w:bCs/>
        <w:color w:val="000000"/>
      </w:rPr>
      <w:tblPr/>
      <w:tcPr>
        <w:tcBorders>
          <w:top w:val="nil"/>
          <w:left w:val="nil"/>
          <w:bottom w:val="nil"/>
          <w:right w:val="nil"/>
          <w:insideH w:val="nil"/>
          <w:insideV w:val="nil"/>
        </w:tcBorders>
        <w:shd w:val="clear" w:color="auto" w:fill="ffffff"/>
      </w:tcPr>
    </w:tblStylePr>
    <w:tblStylePr w:type="lastCol">
      <w:pPr/>
      <w:rPr>
        <w:b w:val="false"/>
        <w:bCs w:val="false"/>
        <w:color w:val="000000"/>
      </w:rPr>
      <w:tblPr/>
      <w:tcPr>
        <w:tcBorders>
          <w:top w:val="nil"/>
          <w:left w:val="nil"/>
          <w:bottom w:val="nil"/>
          <w:right w:val="nil"/>
          <w:insideH w:val="nil"/>
          <w:insideV w:val="nil"/>
        </w:tcBorders>
        <w:shd w:val="clear" w:color="auto" w:fill="f2dbdb"/>
      </w:tcPr>
    </w:tblStylePr>
    <w:tblStylePr w:type="band1Vert">
      <w:pPr/>
      <w:tblPr/>
      <w:tcPr>
        <w:tcBorders/>
        <w:shd w:val="clear" w:color="auto" w:fill="dfa7a6"/>
      </w:tcPr>
    </w:tblStylePr>
    <w:tblStylePr w:type="nwCell">
      <w:pPr/>
      <w:tblPr/>
      <w:tcPr>
        <w:tcBorders/>
        <w:shd w:val="clear" w:color="auto" w:fill="ffffff"/>
      </w:tcPr>
    </w:tblStylePr>
    <w:tcPr>
      <w:tcBorders/>
      <w:shd w:val="clear" w:color="auto" w:fill="efd3d2"/>
    </w:tcPr>
  </w:style>
  <w:style w:type="table" w:styleId="style212">
    <w:name w:val="Medium Grid 2 Accent 3"/>
    <w:basedOn w:val="style105"/>
    <w:next w:val="style212"/>
    <w:uiPriority w:val="68"/>
    <w:pPr>
      <w:spacing w:after="0" w:lineRule="auto" w:line="240"/>
    </w:pPr>
    <w:rPr>
      <w:rFonts w:ascii="Calibri" w:cs="宋体" w:eastAsia="ＭＳ ゴシック" w:hAnsi="Calibri"/>
      <w:color w:val="00000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shd w:val="clear" w:color="auto" w:fill="e6eed5"/>
    </w:tblPr>
    <w:tblStylePr w:type="firstRow">
      <w:pPr/>
      <w:rPr>
        <w:b/>
        <w:bCs/>
        <w:color w:val="000000"/>
      </w:rPr>
      <w:tblPr/>
      <w:tcPr>
        <w:tcBorders/>
        <w:shd w:val="clear" w:color="auto" w:fill="f5f8ee"/>
      </w:tcPr>
    </w:tblStylePr>
    <w:tblStylePr w:type="lastRow">
      <w:pPr/>
      <w:rPr>
        <w:b/>
        <w:bCs/>
        <w:color w:val="000000"/>
      </w:rPr>
      <w:tblPr/>
      <w:tcPr>
        <w:tcBorders>
          <w:top w:val="single" w:sz="12" w:space="0" w:color="000000"/>
          <w:left w:val="nil"/>
          <w:bottom w:val="nil"/>
          <w:right w:val="nil"/>
          <w:insideH w:val="nil"/>
          <w:insideV w:val="nil"/>
        </w:tcBorders>
        <w:shd w:val="clear" w:color="auto" w:fill="ffffff"/>
      </w:tcPr>
    </w:tblStylePr>
    <w:tblStylePr w:type="band1Horz">
      <w:pPr/>
      <w:tblPr/>
      <w:tcPr>
        <w:tcBorders>
          <w:insideH w:val="single" w:sz="6" w:space="0" w:color="9bbb59"/>
          <w:insideV w:val="single" w:sz="6" w:space="0" w:color="9bbb59"/>
        </w:tcBorders>
        <w:shd w:val="clear" w:color="auto" w:fill="cdddac"/>
      </w:tcPr>
    </w:tblStylePr>
    <w:tblStylePr w:type="firstCol">
      <w:pPr/>
      <w:rPr>
        <w:b/>
        <w:bCs/>
        <w:color w:val="000000"/>
      </w:rPr>
      <w:tblPr/>
      <w:tcPr>
        <w:tcBorders>
          <w:top w:val="nil"/>
          <w:left w:val="nil"/>
          <w:bottom w:val="nil"/>
          <w:right w:val="nil"/>
          <w:insideH w:val="nil"/>
          <w:insideV w:val="nil"/>
        </w:tcBorders>
        <w:shd w:val="clear" w:color="auto" w:fill="ffffff"/>
      </w:tcPr>
    </w:tblStylePr>
    <w:tblStylePr w:type="lastCol">
      <w:pPr/>
      <w:rPr>
        <w:b w:val="false"/>
        <w:bCs w:val="false"/>
        <w:color w:val="000000"/>
      </w:rPr>
      <w:tblPr/>
      <w:tcPr>
        <w:tcBorders>
          <w:top w:val="nil"/>
          <w:left w:val="nil"/>
          <w:bottom w:val="nil"/>
          <w:right w:val="nil"/>
          <w:insideH w:val="nil"/>
          <w:insideV w:val="nil"/>
        </w:tcBorders>
        <w:shd w:val="clear" w:color="auto" w:fill="eaf1dd"/>
      </w:tcPr>
    </w:tblStylePr>
    <w:tblStylePr w:type="band1Vert">
      <w:pPr/>
      <w:tblPr/>
      <w:tcPr>
        <w:tcBorders/>
        <w:shd w:val="clear" w:color="auto" w:fill="cdddac"/>
      </w:tcPr>
    </w:tblStylePr>
    <w:tblStylePr w:type="nwCell">
      <w:pPr/>
      <w:tblPr/>
      <w:tcPr>
        <w:tcBorders/>
        <w:shd w:val="clear" w:color="auto" w:fill="ffffff"/>
      </w:tcPr>
    </w:tblStylePr>
    <w:tcPr>
      <w:tcBorders/>
      <w:shd w:val="clear" w:color="auto" w:fill="e6eed5"/>
    </w:tcPr>
  </w:style>
  <w:style w:type="table" w:styleId="style226">
    <w:name w:val="Medium Grid 2 Accent 4"/>
    <w:basedOn w:val="style105"/>
    <w:next w:val="style226"/>
    <w:uiPriority w:val="68"/>
    <w:pPr>
      <w:spacing w:after="0" w:lineRule="auto" w:line="240"/>
    </w:pPr>
    <w:rPr>
      <w:rFonts w:ascii="Calibri" w:cs="宋体" w:eastAsia="ＭＳ ゴシック" w:hAnsi="Calibri"/>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shd w:val="clear" w:color="auto" w:fill="dfd8e8"/>
    </w:tblPr>
    <w:tblStylePr w:type="firstRow">
      <w:pPr/>
      <w:rPr>
        <w:b/>
        <w:bCs/>
        <w:color w:val="000000"/>
      </w:rPr>
      <w:tblPr/>
      <w:tcPr>
        <w:tcBorders/>
        <w:shd w:val="clear" w:color="auto" w:fill="f2eff6"/>
      </w:tcPr>
    </w:tblStylePr>
    <w:tblStylePr w:type="lastRow">
      <w:pPr/>
      <w:rPr>
        <w:b/>
        <w:bCs/>
        <w:color w:val="000000"/>
      </w:rPr>
      <w:tblPr/>
      <w:tcPr>
        <w:tcBorders>
          <w:top w:val="single" w:sz="12" w:space="0" w:color="000000"/>
          <w:left w:val="nil"/>
          <w:bottom w:val="nil"/>
          <w:right w:val="nil"/>
          <w:insideH w:val="nil"/>
          <w:insideV w:val="nil"/>
        </w:tcBorders>
        <w:shd w:val="clear" w:color="auto" w:fill="ffffff"/>
      </w:tcPr>
    </w:tblStylePr>
    <w:tblStylePr w:type="band1Horz">
      <w:pPr/>
      <w:tblPr/>
      <w:tcPr>
        <w:tcBorders>
          <w:insideH w:val="single" w:sz="6" w:space="0" w:color="8064a2"/>
          <w:insideV w:val="single" w:sz="6" w:space="0" w:color="8064a2"/>
        </w:tcBorders>
        <w:shd w:val="clear" w:color="auto" w:fill="bfb1d0"/>
      </w:tcPr>
    </w:tblStylePr>
    <w:tblStylePr w:type="firstCol">
      <w:pPr/>
      <w:rPr>
        <w:b/>
        <w:bCs/>
        <w:color w:val="000000"/>
      </w:rPr>
      <w:tblPr/>
      <w:tcPr>
        <w:tcBorders>
          <w:top w:val="nil"/>
          <w:left w:val="nil"/>
          <w:bottom w:val="nil"/>
          <w:right w:val="nil"/>
          <w:insideH w:val="nil"/>
          <w:insideV w:val="nil"/>
        </w:tcBorders>
        <w:shd w:val="clear" w:color="auto" w:fill="ffffff"/>
      </w:tcPr>
    </w:tblStylePr>
    <w:tblStylePr w:type="lastCol">
      <w:pPr/>
      <w:rPr>
        <w:b w:val="false"/>
        <w:bCs w:val="false"/>
        <w:color w:val="000000"/>
      </w:rPr>
      <w:tblPr/>
      <w:tcPr>
        <w:tcBorders>
          <w:top w:val="nil"/>
          <w:left w:val="nil"/>
          <w:bottom w:val="nil"/>
          <w:right w:val="nil"/>
          <w:insideH w:val="nil"/>
          <w:insideV w:val="nil"/>
        </w:tcBorders>
        <w:shd w:val="clear" w:color="auto" w:fill="e5dfec"/>
      </w:tcPr>
    </w:tblStylePr>
    <w:tblStylePr w:type="band1Vert">
      <w:pPr/>
      <w:tblPr/>
      <w:tcPr>
        <w:tcBorders/>
        <w:shd w:val="clear" w:color="auto" w:fill="bfb1d0"/>
      </w:tcPr>
    </w:tblStylePr>
    <w:tblStylePr w:type="nwCell">
      <w:pPr/>
      <w:tblPr/>
      <w:tcPr>
        <w:tcBorders/>
        <w:shd w:val="clear" w:color="auto" w:fill="ffffff"/>
      </w:tcPr>
    </w:tblStylePr>
    <w:tcPr>
      <w:tcBorders/>
      <w:shd w:val="clear" w:color="auto" w:fill="dfd8e8"/>
    </w:tcPr>
  </w:style>
  <w:style w:type="table" w:styleId="style240">
    <w:name w:val="Medium Grid 2 Accent 5"/>
    <w:basedOn w:val="style105"/>
    <w:next w:val="style240"/>
    <w:uiPriority w:val="68"/>
    <w:pPr>
      <w:spacing w:after="0" w:lineRule="auto" w:line="240"/>
    </w:pPr>
    <w:rPr>
      <w:rFonts w:ascii="Calibri" w:cs="宋体" w:eastAsia="ＭＳ ゴシック" w:hAnsi="Calibri"/>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shd w:val="clear" w:color="auto" w:fill="d2eaf1"/>
    </w:tblPr>
    <w:tblStylePr w:type="firstRow">
      <w:pPr/>
      <w:rPr>
        <w:b/>
        <w:bCs/>
        <w:color w:val="000000"/>
      </w:rPr>
      <w:tblPr/>
      <w:tcPr>
        <w:tcBorders/>
        <w:shd w:val="clear" w:color="auto" w:fill="edf6f9"/>
      </w:tcPr>
    </w:tblStylePr>
    <w:tblStylePr w:type="lastRow">
      <w:pPr/>
      <w:rPr>
        <w:b/>
        <w:bCs/>
        <w:color w:val="000000"/>
      </w:rPr>
      <w:tblPr/>
      <w:tcPr>
        <w:tcBorders>
          <w:top w:val="single" w:sz="12" w:space="0" w:color="000000"/>
          <w:left w:val="nil"/>
          <w:bottom w:val="nil"/>
          <w:right w:val="nil"/>
          <w:insideH w:val="nil"/>
          <w:insideV w:val="nil"/>
        </w:tcBorders>
        <w:shd w:val="clear" w:color="auto" w:fill="ffffff"/>
      </w:tcPr>
    </w:tblStylePr>
    <w:tblStylePr w:type="band1Horz">
      <w:pPr/>
      <w:tblPr/>
      <w:tcPr>
        <w:tcBorders>
          <w:insideH w:val="single" w:sz="6" w:space="0" w:color="4bacc6"/>
          <w:insideV w:val="single" w:sz="6" w:space="0" w:color="4bacc6"/>
        </w:tcBorders>
        <w:shd w:val="clear" w:color="auto" w:fill="a5d5e2"/>
      </w:tcPr>
    </w:tblStylePr>
    <w:tblStylePr w:type="firstCol">
      <w:pPr/>
      <w:rPr>
        <w:b/>
        <w:bCs/>
        <w:color w:val="000000"/>
      </w:rPr>
      <w:tblPr/>
      <w:tcPr>
        <w:tcBorders>
          <w:top w:val="nil"/>
          <w:left w:val="nil"/>
          <w:bottom w:val="nil"/>
          <w:right w:val="nil"/>
          <w:insideH w:val="nil"/>
          <w:insideV w:val="nil"/>
        </w:tcBorders>
        <w:shd w:val="clear" w:color="auto" w:fill="ffffff"/>
      </w:tcPr>
    </w:tblStylePr>
    <w:tblStylePr w:type="lastCol">
      <w:pPr/>
      <w:rPr>
        <w:b w:val="false"/>
        <w:bCs w:val="false"/>
        <w:color w:val="000000"/>
      </w:rPr>
      <w:tblPr/>
      <w:tcPr>
        <w:tcBorders>
          <w:top w:val="nil"/>
          <w:left w:val="nil"/>
          <w:bottom w:val="nil"/>
          <w:right w:val="nil"/>
          <w:insideH w:val="nil"/>
          <w:insideV w:val="nil"/>
        </w:tcBorders>
        <w:shd w:val="clear" w:color="auto" w:fill="daeef3"/>
      </w:tcPr>
    </w:tblStylePr>
    <w:tblStylePr w:type="band1Vert">
      <w:pPr/>
      <w:tblPr/>
      <w:tcPr>
        <w:tcBorders/>
        <w:shd w:val="clear" w:color="auto" w:fill="a5d5e2"/>
      </w:tcPr>
    </w:tblStylePr>
    <w:tblStylePr w:type="nwCell">
      <w:pPr/>
      <w:tblPr/>
      <w:tcPr>
        <w:tcBorders/>
        <w:shd w:val="clear" w:color="auto" w:fill="ffffff"/>
      </w:tcPr>
    </w:tblStylePr>
    <w:tcPr>
      <w:tcBorders/>
      <w:shd w:val="clear" w:color="auto" w:fill="d2eaf1"/>
    </w:tcPr>
  </w:style>
  <w:style w:type="table" w:styleId="style254">
    <w:name w:val="Medium Grid 2 Accent 6"/>
    <w:basedOn w:val="style105"/>
    <w:next w:val="style254"/>
    <w:uiPriority w:val="68"/>
    <w:pPr>
      <w:spacing w:after="0" w:lineRule="auto" w:line="240"/>
    </w:pPr>
    <w:rPr>
      <w:rFonts w:ascii="Calibri" w:cs="宋体" w:eastAsia="ＭＳ ゴシック" w:hAnsi="Calibri"/>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shd w:val="clear" w:color="auto" w:fill="fde4d0"/>
    </w:tblPr>
    <w:tblStylePr w:type="firstRow">
      <w:pPr/>
      <w:rPr>
        <w:b/>
        <w:bCs/>
        <w:color w:val="000000"/>
      </w:rPr>
      <w:tblPr/>
      <w:tcPr>
        <w:tcBorders/>
        <w:shd w:val="clear" w:color="auto" w:fill="fef4ec"/>
      </w:tcPr>
    </w:tblStylePr>
    <w:tblStylePr w:type="lastRow">
      <w:pPr/>
      <w:rPr>
        <w:b/>
        <w:bCs/>
        <w:color w:val="000000"/>
      </w:rPr>
      <w:tblPr/>
      <w:tcPr>
        <w:tcBorders>
          <w:top w:val="single" w:sz="12" w:space="0" w:color="000000"/>
          <w:left w:val="nil"/>
          <w:bottom w:val="nil"/>
          <w:right w:val="nil"/>
          <w:insideH w:val="nil"/>
          <w:insideV w:val="nil"/>
        </w:tcBorders>
        <w:shd w:val="clear" w:color="auto" w:fill="ffffff"/>
      </w:tcPr>
    </w:tblStylePr>
    <w:tblStylePr w:type="band1Horz">
      <w:pPr/>
      <w:tblPr/>
      <w:tcPr>
        <w:tcBorders>
          <w:insideH w:val="single" w:sz="6" w:space="0" w:color="f79646"/>
          <w:insideV w:val="single" w:sz="6" w:space="0" w:color="f79646"/>
        </w:tcBorders>
        <w:shd w:val="clear" w:color="auto" w:fill="fbcaa2"/>
      </w:tcPr>
    </w:tblStylePr>
    <w:tblStylePr w:type="firstCol">
      <w:pPr/>
      <w:rPr>
        <w:b/>
        <w:bCs/>
        <w:color w:val="000000"/>
      </w:rPr>
      <w:tblPr/>
      <w:tcPr>
        <w:tcBorders>
          <w:top w:val="nil"/>
          <w:left w:val="nil"/>
          <w:bottom w:val="nil"/>
          <w:right w:val="nil"/>
          <w:insideH w:val="nil"/>
          <w:insideV w:val="nil"/>
        </w:tcBorders>
        <w:shd w:val="clear" w:color="auto" w:fill="ffffff"/>
      </w:tcPr>
    </w:tblStylePr>
    <w:tblStylePr w:type="lastCol">
      <w:pPr/>
      <w:rPr>
        <w:b w:val="false"/>
        <w:bCs w:val="false"/>
        <w:color w:val="000000"/>
      </w:rPr>
      <w:tblPr/>
      <w:tcPr>
        <w:tcBorders>
          <w:top w:val="nil"/>
          <w:left w:val="nil"/>
          <w:bottom w:val="nil"/>
          <w:right w:val="nil"/>
          <w:insideH w:val="nil"/>
          <w:insideV w:val="nil"/>
        </w:tcBorders>
        <w:shd w:val="clear" w:color="auto" w:fill="fde9d9"/>
      </w:tcPr>
    </w:tblStylePr>
    <w:tblStylePr w:type="band1Vert">
      <w:pPr/>
      <w:tblPr/>
      <w:tcPr>
        <w:tcBorders/>
        <w:shd w:val="clear" w:color="auto" w:fill="fbcaa2"/>
      </w:tcPr>
    </w:tblStylePr>
    <w:tblStylePr w:type="nwCell">
      <w:pPr/>
      <w:tblPr/>
      <w:tcPr>
        <w:tcBorders/>
        <w:shd w:val="clear" w:color="auto" w:fill="ffffff"/>
      </w:tcPr>
    </w:tblStylePr>
    <w:tcPr>
      <w:tcBorders/>
      <w:shd w:val="clear" w:color="auto" w:fill="fde4d0"/>
    </w:tcPr>
  </w:style>
  <w:style w:type="table" w:styleId="style167">
    <w:name w:val="Medium Grid 3"/>
    <w:basedOn w:val="style105"/>
    <w:next w:val="style167"/>
    <w:uiPriority w:val="69"/>
    <w:pPr>
      <w:spacing w:after="0" w:lineRule="auto" w:line="240"/>
    </w:pPr>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c0c0c0"/>
    </w:tblPr>
    <w:tblStylePr w:type="firstRow">
      <w:pPr/>
      <w:rPr>
        <w:b/>
        <w:bCs/>
        <w:i w:val="false"/>
        <w:iCs w:val="false"/>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pPr/>
      <w:rPr>
        <w:b/>
        <w:bCs/>
        <w:i w:val="false"/>
        <w:iCs w:val="false"/>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band1Horz">
      <w:p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tblStylePr w:type="firstCol">
      <w:pPr/>
      <w:rPr>
        <w:b/>
        <w:bCs/>
        <w:i w:val="false"/>
        <w:iCs w:val="false"/>
        <w:color w:val="ffffff"/>
      </w:rPr>
      <w:tblPr/>
      <w:tcPr>
        <w:tcBorders>
          <w:left w:val="single" w:sz="8" w:space="0" w:color="ffffff"/>
          <w:right w:val="single" w:sz="24" w:space="0" w:color="ffffff"/>
          <w:insideH w:val="nil"/>
          <w:insideV w:val="nil"/>
        </w:tcBorders>
        <w:shd w:val="clear" w:color="auto" w:fill="000000"/>
      </w:tcPr>
    </w:tblStylePr>
    <w:tblStylePr w:type="lastCol">
      <w:pPr/>
      <w:rPr>
        <w:b/>
        <w:bCs/>
        <w:i w:val="false"/>
        <w:iCs w:val="false"/>
        <w:color w:val="ffffff"/>
      </w:rPr>
      <w:tblPr/>
      <w:tcPr>
        <w:tcBorders>
          <w:top w:val="nil"/>
          <w:left w:val="single" w:sz="24" w:space="0" w:color="ffffff"/>
          <w:bottom w:val="nil"/>
          <w:right w:val="nil"/>
          <w:insideH w:val="nil"/>
          <w:insideV w:val="nil"/>
        </w:tcBorders>
        <w:shd w:val="clear" w:color="auto" w:fill="000000"/>
      </w:tcPr>
    </w:tblStylePr>
    <w:tblStylePr w:type="band1Vert">
      <w:pPr/>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cPr>
      <w:tcBorders/>
      <w:shd w:val="clear" w:color="auto" w:fill="c0c0c0"/>
    </w:tcPr>
  </w:style>
  <w:style w:type="table" w:styleId="style185">
    <w:name w:val="Medium Grid 3 Accent 1"/>
    <w:basedOn w:val="style105"/>
    <w:next w:val="style185"/>
    <w:uiPriority w:val="69"/>
    <w:pPr>
      <w:spacing w:after="0" w:lineRule="auto" w:line="240"/>
    </w:pPr>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3dfee"/>
    </w:tblPr>
    <w:tblStylePr w:type="firstRow">
      <w:pPr/>
      <w:rPr>
        <w:b/>
        <w:bCs/>
        <w:i w:val="false"/>
        <w:iCs w:val="false"/>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pPr/>
      <w:rPr>
        <w:b/>
        <w:bCs/>
        <w:i w:val="false"/>
        <w:iCs w:val="false"/>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band1Horz">
      <w:p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tblStylePr w:type="firstCol">
      <w:pPr/>
      <w:rPr>
        <w:b/>
        <w:bCs/>
        <w:i w:val="false"/>
        <w:iCs w:val="false"/>
        <w:color w:val="ffffff"/>
      </w:rPr>
      <w:tblPr/>
      <w:tcPr>
        <w:tcBorders>
          <w:left w:val="single" w:sz="8" w:space="0" w:color="ffffff"/>
          <w:right w:val="single" w:sz="24" w:space="0" w:color="ffffff"/>
          <w:insideH w:val="nil"/>
          <w:insideV w:val="nil"/>
        </w:tcBorders>
        <w:shd w:val="clear" w:color="auto" w:fill="4f81bd"/>
      </w:tcPr>
    </w:tblStylePr>
    <w:tblStylePr w:type="lastCol">
      <w:pPr/>
      <w:rPr>
        <w:b/>
        <w:bCs/>
        <w:i w:val="false"/>
        <w:iCs w:val="false"/>
        <w:color w:val="ffffff"/>
      </w:rPr>
      <w:tblPr/>
      <w:tcPr>
        <w:tcBorders>
          <w:top w:val="nil"/>
          <w:left w:val="single" w:sz="24" w:space="0" w:color="ffffff"/>
          <w:bottom w:val="nil"/>
          <w:right w:val="nil"/>
          <w:insideH w:val="nil"/>
          <w:insideV w:val="nil"/>
        </w:tcBorders>
        <w:shd w:val="clear" w:color="auto" w:fill="4f81bd"/>
      </w:tcPr>
    </w:tblStylePr>
    <w:tblStylePr w:type="band1Vert">
      <w:p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cPr>
      <w:tcBorders/>
      <w:shd w:val="clear" w:color="auto" w:fill="d3dfee"/>
    </w:tcPr>
  </w:style>
  <w:style w:type="table" w:styleId="style199">
    <w:name w:val="Medium Grid 3 Accent 2"/>
    <w:basedOn w:val="style105"/>
    <w:next w:val="style199"/>
    <w:uiPriority w:val="69"/>
    <w:pPr>
      <w:spacing w:after="0" w:lineRule="auto" w:line="240"/>
    </w:pPr>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efd3d2"/>
    </w:tblPr>
    <w:tblStylePr w:type="firstRow">
      <w:pPr/>
      <w:rPr>
        <w:b/>
        <w:bCs/>
        <w:i w:val="false"/>
        <w:iCs w:val="false"/>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pPr/>
      <w:rPr>
        <w:b/>
        <w:bCs/>
        <w:i w:val="false"/>
        <w:iCs w:val="false"/>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band1Horz">
      <w:p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tblStylePr w:type="firstCol">
      <w:pPr/>
      <w:rPr>
        <w:b/>
        <w:bCs/>
        <w:i w:val="false"/>
        <w:iCs w:val="false"/>
        <w:color w:val="ffffff"/>
      </w:rPr>
      <w:tblPr/>
      <w:tcPr>
        <w:tcBorders>
          <w:left w:val="single" w:sz="8" w:space="0" w:color="ffffff"/>
          <w:right w:val="single" w:sz="24" w:space="0" w:color="ffffff"/>
          <w:insideH w:val="nil"/>
          <w:insideV w:val="nil"/>
        </w:tcBorders>
        <w:shd w:val="clear" w:color="auto" w:fill="c0504d"/>
      </w:tcPr>
    </w:tblStylePr>
    <w:tblStylePr w:type="lastCol">
      <w:pPr/>
      <w:rPr>
        <w:b/>
        <w:bCs/>
        <w:i w:val="false"/>
        <w:iCs w:val="false"/>
        <w:color w:val="ffffff"/>
      </w:rPr>
      <w:tblPr/>
      <w:tcPr>
        <w:tcBorders>
          <w:top w:val="nil"/>
          <w:left w:val="single" w:sz="24" w:space="0" w:color="ffffff"/>
          <w:bottom w:val="nil"/>
          <w:right w:val="nil"/>
          <w:insideH w:val="nil"/>
          <w:insideV w:val="nil"/>
        </w:tcBorders>
        <w:shd w:val="clear" w:color="auto" w:fill="c0504d"/>
      </w:tcPr>
    </w:tblStylePr>
    <w:tblStylePr w:type="band1Vert">
      <w:pPr/>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cPr>
      <w:tcBorders/>
      <w:shd w:val="clear" w:color="auto" w:fill="efd3d2"/>
    </w:tcPr>
  </w:style>
  <w:style w:type="table" w:styleId="style213">
    <w:name w:val="Medium Grid 3 Accent 3"/>
    <w:basedOn w:val="style105"/>
    <w:next w:val="style213"/>
    <w:uiPriority w:val="69"/>
    <w:pPr>
      <w:spacing w:after="0" w:lineRule="auto" w:line="240"/>
    </w:pPr>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e6eed5"/>
    </w:tblPr>
    <w:tblStylePr w:type="firstRow">
      <w:pPr/>
      <w:rPr>
        <w:b/>
        <w:bCs/>
        <w:i w:val="false"/>
        <w:iCs w:val="false"/>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pPr/>
      <w:rPr>
        <w:b/>
        <w:bCs/>
        <w:i w:val="false"/>
        <w:iCs w:val="false"/>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band1Horz">
      <w:p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tblStylePr w:type="firstCol">
      <w:pPr/>
      <w:rPr>
        <w:b/>
        <w:bCs/>
        <w:i w:val="false"/>
        <w:iCs w:val="false"/>
        <w:color w:val="ffffff"/>
      </w:rPr>
      <w:tblPr/>
      <w:tcPr>
        <w:tcBorders>
          <w:left w:val="single" w:sz="8" w:space="0" w:color="ffffff"/>
          <w:right w:val="single" w:sz="24" w:space="0" w:color="ffffff"/>
          <w:insideH w:val="nil"/>
          <w:insideV w:val="nil"/>
        </w:tcBorders>
        <w:shd w:val="clear" w:color="auto" w:fill="9bbb59"/>
      </w:tcPr>
    </w:tblStylePr>
    <w:tblStylePr w:type="lastCol">
      <w:pPr/>
      <w:rPr>
        <w:b/>
        <w:bCs/>
        <w:i w:val="false"/>
        <w:iCs w:val="false"/>
        <w:color w:val="ffffff"/>
      </w:rPr>
      <w:tblPr/>
      <w:tcPr>
        <w:tcBorders>
          <w:top w:val="nil"/>
          <w:left w:val="single" w:sz="24" w:space="0" w:color="ffffff"/>
          <w:bottom w:val="nil"/>
          <w:right w:val="nil"/>
          <w:insideH w:val="nil"/>
          <w:insideV w:val="nil"/>
        </w:tcBorders>
        <w:shd w:val="clear" w:color="auto" w:fill="9bbb59"/>
      </w:tcPr>
    </w:tblStylePr>
    <w:tblStylePr w:type="band1Vert">
      <w:pPr/>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cPr>
      <w:tcBorders/>
      <w:shd w:val="clear" w:color="auto" w:fill="e6eed5"/>
    </w:tcPr>
  </w:style>
  <w:style w:type="table" w:styleId="style227">
    <w:name w:val="Medium Grid 3 Accent 4"/>
    <w:basedOn w:val="style105"/>
    <w:next w:val="style227"/>
    <w:uiPriority w:val="69"/>
    <w:pPr>
      <w:spacing w:after="0" w:lineRule="auto" w:line="240"/>
    </w:pPr>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fd8e8"/>
    </w:tblPr>
    <w:tblStylePr w:type="firstRow">
      <w:pPr/>
      <w:rPr>
        <w:b/>
        <w:bCs/>
        <w:i w:val="false"/>
        <w:iCs w:val="false"/>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pPr/>
      <w:rPr>
        <w:b/>
        <w:bCs/>
        <w:i w:val="false"/>
        <w:iCs w:val="false"/>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band1Horz">
      <w:p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tblStylePr w:type="firstCol">
      <w:pPr/>
      <w:rPr>
        <w:b/>
        <w:bCs/>
        <w:i w:val="false"/>
        <w:iCs w:val="false"/>
        <w:color w:val="ffffff"/>
      </w:rPr>
      <w:tblPr/>
      <w:tcPr>
        <w:tcBorders>
          <w:left w:val="single" w:sz="8" w:space="0" w:color="ffffff"/>
          <w:right w:val="single" w:sz="24" w:space="0" w:color="ffffff"/>
          <w:insideH w:val="nil"/>
          <w:insideV w:val="nil"/>
        </w:tcBorders>
        <w:shd w:val="clear" w:color="auto" w:fill="8064a2"/>
      </w:tcPr>
    </w:tblStylePr>
    <w:tblStylePr w:type="lastCol">
      <w:pPr/>
      <w:rPr>
        <w:b/>
        <w:bCs/>
        <w:i w:val="false"/>
        <w:iCs w:val="false"/>
        <w:color w:val="ffffff"/>
      </w:rPr>
      <w:tblPr/>
      <w:tcPr>
        <w:tcBorders>
          <w:top w:val="nil"/>
          <w:left w:val="single" w:sz="24" w:space="0" w:color="ffffff"/>
          <w:bottom w:val="nil"/>
          <w:right w:val="nil"/>
          <w:insideH w:val="nil"/>
          <w:insideV w:val="nil"/>
        </w:tcBorders>
        <w:shd w:val="clear" w:color="auto" w:fill="8064a2"/>
      </w:tcPr>
    </w:tblStylePr>
    <w:tblStylePr w:type="band1Vert">
      <w:pPr/>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cPr>
      <w:tcBorders/>
      <w:shd w:val="clear" w:color="auto" w:fill="dfd8e8"/>
    </w:tcPr>
  </w:style>
  <w:style w:type="table" w:styleId="style241">
    <w:name w:val="Medium Grid 3 Accent 5"/>
    <w:basedOn w:val="style105"/>
    <w:next w:val="style241"/>
    <w:uiPriority w:val="69"/>
    <w:pPr>
      <w:spacing w:after="0" w:lineRule="auto" w:line="240"/>
    </w:pPr>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2eaf1"/>
    </w:tblPr>
    <w:tblStylePr w:type="firstRow">
      <w:pPr/>
      <w:rPr>
        <w:b/>
        <w:bCs/>
        <w:i w:val="false"/>
        <w:iCs w:val="false"/>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pPr/>
      <w:rPr>
        <w:b/>
        <w:bCs/>
        <w:i w:val="false"/>
        <w:iCs w:val="false"/>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band1Horz">
      <w:p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tblStylePr w:type="firstCol">
      <w:pPr/>
      <w:rPr>
        <w:b/>
        <w:bCs/>
        <w:i w:val="false"/>
        <w:iCs w:val="false"/>
        <w:color w:val="ffffff"/>
      </w:rPr>
      <w:tblPr/>
      <w:tcPr>
        <w:tcBorders>
          <w:left w:val="single" w:sz="8" w:space="0" w:color="ffffff"/>
          <w:right w:val="single" w:sz="24" w:space="0" w:color="ffffff"/>
          <w:insideH w:val="nil"/>
          <w:insideV w:val="nil"/>
        </w:tcBorders>
        <w:shd w:val="clear" w:color="auto" w:fill="4bacc6"/>
      </w:tcPr>
    </w:tblStylePr>
    <w:tblStylePr w:type="lastCol">
      <w:pPr/>
      <w:rPr>
        <w:b/>
        <w:bCs/>
        <w:i w:val="false"/>
        <w:iCs w:val="false"/>
        <w:color w:val="ffffff"/>
      </w:rPr>
      <w:tblPr/>
      <w:tcPr>
        <w:tcBorders>
          <w:top w:val="nil"/>
          <w:left w:val="single" w:sz="24" w:space="0" w:color="ffffff"/>
          <w:bottom w:val="nil"/>
          <w:right w:val="nil"/>
          <w:insideH w:val="nil"/>
          <w:insideV w:val="nil"/>
        </w:tcBorders>
        <w:shd w:val="clear" w:color="auto" w:fill="4bacc6"/>
      </w:tcPr>
    </w:tblStylePr>
    <w:tblStylePr w:type="band1Vert">
      <w:pPr/>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cPr>
      <w:tcBorders/>
      <w:shd w:val="clear" w:color="auto" w:fill="d2eaf1"/>
    </w:tcPr>
  </w:style>
  <w:style w:type="table" w:styleId="style255">
    <w:name w:val="Medium Grid 3 Accent 6"/>
    <w:basedOn w:val="style105"/>
    <w:next w:val="style255"/>
    <w:uiPriority w:val="69"/>
    <w:pPr>
      <w:spacing w:after="0" w:lineRule="auto" w:line="240"/>
    </w:pPr>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fde4d0"/>
    </w:tblPr>
    <w:tblStylePr w:type="firstRow">
      <w:pPr/>
      <w:rPr>
        <w:b/>
        <w:bCs/>
        <w:i w:val="false"/>
        <w:iCs w:val="false"/>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pPr/>
      <w:rPr>
        <w:b/>
        <w:bCs/>
        <w:i w:val="false"/>
        <w:iCs w:val="false"/>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band1Horz">
      <w:p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tblStylePr w:type="firstCol">
      <w:pPr/>
      <w:rPr>
        <w:b/>
        <w:bCs/>
        <w:i w:val="false"/>
        <w:iCs w:val="false"/>
        <w:color w:val="ffffff"/>
      </w:rPr>
      <w:tblPr/>
      <w:tcPr>
        <w:tcBorders>
          <w:left w:val="single" w:sz="8" w:space="0" w:color="ffffff"/>
          <w:right w:val="single" w:sz="24" w:space="0" w:color="ffffff"/>
          <w:insideH w:val="nil"/>
          <w:insideV w:val="nil"/>
        </w:tcBorders>
        <w:shd w:val="clear" w:color="auto" w:fill="f79646"/>
      </w:tcPr>
    </w:tblStylePr>
    <w:tblStylePr w:type="lastCol">
      <w:pPr/>
      <w:rPr>
        <w:b/>
        <w:bCs/>
        <w:i w:val="false"/>
        <w:iCs w:val="false"/>
        <w:color w:val="ffffff"/>
      </w:rPr>
      <w:tblPr/>
      <w:tcPr>
        <w:tcBorders>
          <w:top w:val="nil"/>
          <w:left w:val="single" w:sz="24" w:space="0" w:color="ffffff"/>
          <w:bottom w:val="nil"/>
          <w:right w:val="nil"/>
          <w:insideH w:val="nil"/>
          <w:insideV w:val="nil"/>
        </w:tcBorders>
        <w:shd w:val="clear" w:color="auto" w:fill="f79646"/>
      </w:tcPr>
    </w:tblStylePr>
    <w:tblStylePr w:type="band1Vert">
      <w:pPr/>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cPr>
      <w:tcBorders/>
      <w:shd w:val="clear" w:color="auto" w:fill="fde4d0"/>
    </w:tcPr>
  </w:style>
  <w:style w:type="table" w:styleId="style168">
    <w:name w:val="Dark List"/>
    <w:basedOn w:val="style105"/>
    <w:next w:val="style168"/>
    <w:uiPriority w:val="70"/>
    <w:pPr>
      <w:spacing w:after="0" w:lineRule="auto" w:line="240"/>
    </w:pPr>
    <w:rPr>
      <w:color w:val="ffffff"/>
    </w:rPr>
    <w:tblPr>
      <w:tblStyleRowBandSize w:val="1"/>
      <w:tblStyleColBandSize w:val="1"/>
      <w:shd w:val="clear" w:color="auto" w:fill="000000"/>
    </w:tblPr>
    <w:tblStylePr w:type="firstRow">
      <w:pPr/>
      <w:rPr>
        <w:b/>
        <w:bCs/>
      </w:rPr>
      <w:tblPr/>
      <w:tcPr>
        <w:tcBorders>
          <w:top w:val="nil"/>
          <w:left w:val="nil"/>
          <w:bottom w:val="single" w:sz="18" w:space="0" w:color="ffffff"/>
          <w:right w:val="nil"/>
          <w:insideH w:val="nil"/>
          <w:insideV w:val="nil"/>
        </w:tcBorders>
        <w:shd w:val="clear" w:color="auto" w:fill="000000"/>
      </w:tcPr>
    </w:tblStylePr>
    <w:tblStylePr w:type="lastRow">
      <w:pPr/>
      <w:tblPr/>
      <w:tcPr>
        <w:tcBorders>
          <w:top w:val="single" w:sz="18" w:space="0" w:color="ffffff"/>
          <w:left w:val="nil"/>
          <w:bottom w:val="nil"/>
          <w:right w:val="nil"/>
          <w:insideH w:val="nil"/>
          <w:insideV w:val="nil"/>
        </w:tcBorders>
        <w:shd w:val="clear" w:color="auto" w:fill="000000"/>
      </w:tcPr>
    </w:tblStylePr>
    <w:tblStylePr w:type="band1Horz">
      <w:pPr/>
      <w:tblPr/>
      <w:tcPr>
        <w:tcBorders>
          <w:top w:val="nil"/>
          <w:left w:val="nil"/>
          <w:bottom w:val="nil"/>
          <w:right w:val="nil"/>
          <w:insideH w:val="nil"/>
          <w:insideV w:val="nil"/>
        </w:tcBorders>
        <w:shd w:val="clear" w:color="auto" w:fill="000000"/>
      </w:tcPr>
    </w:tblStylePr>
    <w:tblStylePr w:type="firstCol">
      <w:pPr/>
      <w:tblPr/>
      <w:tcPr>
        <w:tcBorders>
          <w:top w:val="nil"/>
          <w:left w:val="nil"/>
          <w:bottom w:val="nil"/>
          <w:right w:val="single" w:sz="18" w:space="0" w:color="ffffff"/>
          <w:insideH w:val="nil"/>
          <w:insideV w:val="nil"/>
        </w:tcBorders>
        <w:shd w:val="clear" w:color="auto" w:fill="000000"/>
      </w:tcPr>
    </w:tblStylePr>
    <w:tblStylePr w:type="lastCol">
      <w:pPr/>
      <w:tblPr/>
      <w:tcPr>
        <w:tcBorders>
          <w:top w:val="nil"/>
          <w:left w:val="single" w:sz="18" w:space="0" w:color="ffffff"/>
          <w:bottom w:val="nil"/>
          <w:right w:val="nil"/>
          <w:insideH w:val="nil"/>
          <w:insideV w:val="nil"/>
        </w:tcBorders>
        <w:shd w:val="clear" w:color="auto" w:fill="000000"/>
      </w:tcPr>
    </w:tblStylePr>
    <w:tblStylePr w:type="band1Vert">
      <w:pPr/>
      <w:tblPr/>
      <w:tcPr>
        <w:tcBorders>
          <w:top w:val="nil"/>
          <w:left w:val="nil"/>
          <w:bottom w:val="nil"/>
          <w:right w:val="nil"/>
          <w:insideH w:val="nil"/>
          <w:insideV w:val="nil"/>
        </w:tcBorders>
        <w:shd w:val="clear" w:color="auto" w:fill="000000"/>
      </w:tcPr>
    </w:tblStylePr>
    <w:tcPr>
      <w:tcBorders/>
      <w:shd w:val="clear" w:color="auto" w:fill="000000"/>
    </w:tcPr>
  </w:style>
  <w:style w:type="table" w:styleId="style186">
    <w:name w:val="Dark List Accent 1"/>
    <w:basedOn w:val="style105"/>
    <w:next w:val="style186"/>
    <w:uiPriority w:val="70"/>
    <w:pPr>
      <w:spacing w:after="0" w:lineRule="auto" w:line="240"/>
    </w:pPr>
    <w:rPr>
      <w:color w:val="ffffff"/>
    </w:rPr>
    <w:tblPr>
      <w:tblStyleRowBandSize w:val="1"/>
      <w:tblStyleColBandSize w:val="1"/>
      <w:shd w:val="clear" w:color="auto" w:fill="4f81bd"/>
    </w:tblPr>
    <w:tblStylePr w:type="firstRow">
      <w:pPr/>
      <w:rPr>
        <w:b/>
        <w:bCs/>
      </w:rPr>
      <w:tblPr/>
      <w:tcPr>
        <w:tcBorders>
          <w:top w:val="nil"/>
          <w:left w:val="nil"/>
          <w:bottom w:val="single" w:sz="18" w:space="0" w:color="ffffff"/>
          <w:right w:val="nil"/>
          <w:insideH w:val="nil"/>
          <w:insideV w:val="nil"/>
        </w:tcBorders>
        <w:shd w:val="clear" w:color="auto" w:fill="000000"/>
      </w:tcPr>
    </w:tblStylePr>
    <w:tblStylePr w:type="lastRow">
      <w:pPr/>
      <w:tblPr/>
      <w:tcPr>
        <w:tcBorders>
          <w:top w:val="single" w:sz="18" w:space="0" w:color="ffffff"/>
          <w:left w:val="nil"/>
          <w:bottom w:val="nil"/>
          <w:right w:val="nil"/>
          <w:insideH w:val="nil"/>
          <w:insideV w:val="nil"/>
        </w:tcBorders>
        <w:shd w:val="clear" w:color="auto" w:fill="243f60"/>
      </w:tcPr>
    </w:tblStylePr>
    <w:tblStylePr w:type="band1Horz">
      <w:pPr/>
      <w:tblPr/>
      <w:tcPr>
        <w:tcBorders>
          <w:top w:val="nil"/>
          <w:left w:val="nil"/>
          <w:bottom w:val="nil"/>
          <w:right w:val="nil"/>
          <w:insideH w:val="nil"/>
          <w:insideV w:val="nil"/>
        </w:tcBorders>
        <w:shd w:val="clear" w:color="auto" w:fill="365f91"/>
      </w:tcPr>
    </w:tblStylePr>
    <w:tblStylePr w:type="firstCol">
      <w:pPr/>
      <w:tblPr/>
      <w:tcPr>
        <w:tcBorders>
          <w:top w:val="nil"/>
          <w:left w:val="nil"/>
          <w:bottom w:val="nil"/>
          <w:right w:val="single" w:sz="18" w:space="0" w:color="ffffff"/>
          <w:insideH w:val="nil"/>
          <w:insideV w:val="nil"/>
        </w:tcBorders>
        <w:shd w:val="clear" w:color="auto" w:fill="365f91"/>
      </w:tcPr>
    </w:tblStylePr>
    <w:tblStylePr w:type="lastCol">
      <w:pPr/>
      <w:tblPr/>
      <w:tcPr>
        <w:tcBorders>
          <w:top w:val="nil"/>
          <w:left w:val="single" w:sz="18" w:space="0" w:color="ffffff"/>
          <w:bottom w:val="nil"/>
          <w:right w:val="nil"/>
          <w:insideH w:val="nil"/>
          <w:insideV w:val="nil"/>
        </w:tcBorders>
        <w:shd w:val="clear" w:color="auto" w:fill="365f91"/>
      </w:tcPr>
    </w:tblStylePr>
    <w:tblStylePr w:type="band1Vert">
      <w:pPr/>
      <w:tblPr/>
      <w:tcPr>
        <w:tcBorders>
          <w:top w:val="nil"/>
          <w:left w:val="nil"/>
          <w:bottom w:val="nil"/>
          <w:right w:val="nil"/>
          <w:insideH w:val="nil"/>
          <w:insideV w:val="nil"/>
        </w:tcBorders>
        <w:shd w:val="clear" w:color="auto" w:fill="365f91"/>
      </w:tcPr>
    </w:tblStylePr>
    <w:tcPr>
      <w:tcBorders/>
      <w:shd w:val="clear" w:color="auto" w:fill="4f81bd"/>
    </w:tcPr>
  </w:style>
  <w:style w:type="table" w:styleId="style200">
    <w:name w:val="Dark List Accent 2"/>
    <w:basedOn w:val="style105"/>
    <w:next w:val="style200"/>
    <w:uiPriority w:val="70"/>
    <w:pPr>
      <w:spacing w:after="0" w:lineRule="auto" w:line="240"/>
    </w:pPr>
    <w:rPr>
      <w:color w:val="ffffff"/>
    </w:rPr>
    <w:tblPr>
      <w:tblStyleRowBandSize w:val="1"/>
      <w:tblStyleColBandSize w:val="1"/>
      <w:shd w:val="clear" w:color="auto" w:fill="c0504d"/>
    </w:tblPr>
    <w:tblStylePr w:type="firstRow">
      <w:pPr/>
      <w:rPr>
        <w:b/>
        <w:bCs/>
      </w:rPr>
      <w:tblPr/>
      <w:tcPr>
        <w:tcBorders>
          <w:top w:val="nil"/>
          <w:left w:val="nil"/>
          <w:bottom w:val="single" w:sz="18" w:space="0" w:color="ffffff"/>
          <w:right w:val="nil"/>
          <w:insideH w:val="nil"/>
          <w:insideV w:val="nil"/>
        </w:tcBorders>
        <w:shd w:val="clear" w:color="auto" w:fill="000000"/>
      </w:tcPr>
    </w:tblStylePr>
    <w:tblStylePr w:type="lastRow">
      <w:pPr/>
      <w:tblPr/>
      <w:tcPr>
        <w:tcBorders>
          <w:top w:val="single" w:sz="18" w:space="0" w:color="ffffff"/>
          <w:left w:val="nil"/>
          <w:bottom w:val="nil"/>
          <w:right w:val="nil"/>
          <w:insideH w:val="nil"/>
          <w:insideV w:val="nil"/>
        </w:tcBorders>
        <w:shd w:val="clear" w:color="auto" w:fill="622423"/>
      </w:tcPr>
    </w:tblStylePr>
    <w:tblStylePr w:type="band1Horz">
      <w:pPr/>
      <w:tblPr/>
      <w:tcPr>
        <w:tcBorders>
          <w:top w:val="nil"/>
          <w:left w:val="nil"/>
          <w:bottom w:val="nil"/>
          <w:right w:val="nil"/>
          <w:insideH w:val="nil"/>
          <w:insideV w:val="nil"/>
        </w:tcBorders>
        <w:shd w:val="clear" w:color="auto" w:fill="943634"/>
      </w:tcPr>
    </w:tblStylePr>
    <w:tblStylePr w:type="firstCol">
      <w:pPr/>
      <w:tblPr/>
      <w:tcPr>
        <w:tcBorders>
          <w:top w:val="nil"/>
          <w:left w:val="nil"/>
          <w:bottom w:val="nil"/>
          <w:right w:val="single" w:sz="18" w:space="0" w:color="ffffff"/>
          <w:insideH w:val="nil"/>
          <w:insideV w:val="nil"/>
        </w:tcBorders>
        <w:shd w:val="clear" w:color="auto" w:fill="943634"/>
      </w:tcPr>
    </w:tblStylePr>
    <w:tblStylePr w:type="lastCol">
      <w:pPr/>
      <w:tblPr/>
      <w:tcPr>
        <w:tcBorders>
          <w:top w:val="nil"/>
          <w:left w:val="single" w:sz="18" w:space="0" w:color="ffffff"/>
          <w:bottom w:val="nil"/>
          <w:right w:val="nil"/>
          <w:insideH w:val="nil"/>
          <w:insideV w:val="nil"/>
        </w:tcBorders>
        <w:shd w:val="clear" w:color="auto" w:fill="943634"/>
      </w:tcPr>
    </w:tblStylePr>
    <w:tblStylePr w:type="band1Vert">
      <w:pPr/>
      <w:tblPr/>
      <w:tcPr>
        <w:tcBorders>
          <w:top w:val="nil"/>
          <w:left w:val="nil"/>
          <w:bottom w:val="nil"/>
          <w:right w:val="nil"/>
          <w:insideH w:val="nil"/>
          <w:insideV w:val="nil"/>
        </w:tcBorders>
        <w:shd w:val="clear" w:color="auto" w:fill="943634"/>
      </w:tcPr>
    </w:tblStylePr>
    <w:tcPr>
      <w:tcBorders/>
      <w:shd w:val="clear" w:color="auto" w:fill="c0504d"/>
    </w:tcPr>
  </w:style>
  <w:style w:type="table" w:styleId="style214">
    <w:name w:val="Dark List Accent 3"/>
    <w:basedOn w:val="style105"/>
    <w:next w:val="style214"/>
    <w:uiPriority w:val="70"/>
    <w:pPr>
      <w:spacing w:after="0" w:lineRule="auto" w:line="240"/>
    </w:pPr>
    <w:rPr>
      <w:color w:val="ffffff"/>
    </w:rPr>
    <w:tblPr>
      <w:tblStyleRowBandSize w:val="1"/>
      <w:tblStyleColBandSize w:val="1"/>
      <w:shd w:val="clear" w:color="auto" w:fill="9bbb59"/>
    </w:tblPr>
    <w:tblStylePr w:type="firstRow">
      <w:pPr/>
      <w:rPr>
        <w:b/>
        <w:bCs/>
      </w:rPr>
      <w:tblPr/>
      <w:tcPr>
        <w:tcBorders>
          <w:top w:val="nil"/>
          <w:left w:val="nil"/>
          <w:bottom w:val="single" w:sz="18" w:space="0" w:color="ffffff"/>
          <w:right w:val="nil"/>
          <w:insideH w:val="nil"/>
          <w:insideV w:val="nil"/>
        </w:tcBorders>
        <w:shd w:val="clear" w:color="auto" w:fill="000000"/>
      </w:tcPr>
    </w:tblStylePr>
    <w:tblStylePr w:type="lastRow">
      <w:pPr/>
      <w:tblPr/>
      <w:tcPr>
        <w:tcBorders>
          <w:top w:val="single" w:sz="18" w:space="0" w:color="ffffff"/>
          <w:left w:val="nil"/>
          <w:bottom w:val="nil"/>
          <w:right w:val="nil"/>
          <w:insideH w:val="nil"/>
          <w:insideV w:val="nil"/>
        </w:tcBorders>
        <w:shd w:val="clear" w:color="auto" w:fill="4e6128"/>
      </w:tcPr>
    </w:tblStylePr>
    <w:tblStylePr w:type="band1Horz">
      <w:pPr/>
      <w:tblPr/>
      <w:tcPr>
        <w:tcBorders>
          <w:top w:val="nil"/>
          <w:left w:val="nil"/>
          <w:bottom w:val="nil"/>
          <w:right w:val="nil"/>
          <w:insideH w:val="nil"/>
          <w:insideV w:val="nil"/>
        </w:tcBorders>
        <w:shd w:val="clear" w:color="auto" w:fill="76923c"/>
      </w:tcPr>
    </w:tblStylePr>
    <w:tblStylePr w:type="firstCol">
      <w:pPr/>
      <w:tblPr/>
      <w:tcPr>
        <w:tcBorders>
          <w:top w:val="nil"/>
          <w:left w:val="nil"/>
          <w:bottom w:val="nil"/>
          <w:right w:val="single" w:sz="18" w:space="0" w:color="ffffff"/>
          <w:insideH w:val="nil"/>
          <w:insideV w:val="nil"/>
        </w:tcBorders>
        <w:shd w:val="clear" w:color="auto" w:fill="76923c"/>
      </w:tcPr>
    </w:tblStylePr>
    <w:tblStylePr w:type="lastCol">
      <w:pPr/>
      <w:tblPr/>
      <w:tcPr>
        <w:tcBorders>
          <w:top w:val="nil"/>
          <w:left w:val="single" w:sz="18" w:space="0" w:color="ffffff"/>
          <w:bottom w:val="nil"/>
          <w:right w:val="nil"/>
          <w:insideH w:val="nil"/>
          <w:insideV w:val="nil"/>
        </w:tcBorders>
        <w:shd w:val="clear" w:color="auto" w:fill="76923c"/>
      </w:tcPr>
    </w:tblStylePr>
    <w:tblStylePr w:type="band1Vert">
      <w:pPr/>
      <w:tblPr/>
      <w:tcPr>
        <w:tcBorders>
          <w:top w:val="nil"/>
          <w:left w:val="nil"/>
          <w:bottom w:val="nil"/>
          <w:right w:val="nil"/>
          <w:insideH w:val="nil"/>
          <w:insideV w:val="nil"/>
        </w:tcBorders>
        <w:shd w:val="clear" w:color="auto" w:fill="76923c"/>
      </w:tcPr>
    </w:tblStylePr>
    <w:tcPr>
      <w:tcBorders/>
      <w:shd w:val="clear" w:color="auto" w:fill="9bbb59"/>
    </w:tcPr>
  </w:style>
  <w:style w:type="table" w:styleId="style228">
    <w:name w:val="Dark List Accent 4"/>
    <w:basedOn w:val="style105"/>
    <w:next w:val="style228"/>
    <w:uiPriority w:val="70"/>
    <w:pPr>
      <w:spacing w:after="0" w:lineRule="auto" w:line="240"/>
    </w:pPr>
    <w:rPr>
      <w:color w:val="ffffff"/>
    </w:rPr>
    <w:tblPr>
      <w:tblStyleRowBandSize w:val="1"/>
      <w:tblStyleColBandSize w:val="1"/>
      <w:shd w:val="clear" w:color="auto" w:fill="8064a2"/>
    </w:tblPr>
    <w:tblStylePr w:type="firstRow">
      <w:pPr/>
      <w:rPr>
        <w:b/>
        <w:bCs/>
      </w:rPr>
      <w:tblPr/>
      <w:tcPr>
        <w:tcBorders>
          <w:top w:val="nil"/>
          <w:left w:val="nil"/>
          <w:bottom w:val="single" w:sz="18" w:space="0" w:color="ffffff"/>
          <w:right w:val="nil"/>
          <w:insideH w:val="nil"/>
          <w:insideV w:val="nil"/>
        </w:tcBorders>
        <w:shd w:val="clear" w:color="auto" w:fill="000000"/>
      </w:tcPr>
    </w:tblStylePr>
    <w:tblStylePr w:type="lastRow">
      <w:pPr/>
      <w:tblPr/>
      <w:tcPr>
        <w:tcBorders>
          <w:top w:val="single" w:sz="18" w:space="0" w:color="ffffff"/>
          <w:left w:val="nil"/>
          <w:bottom w:val="nil"/>
          <w:right w:val="nil"/>
          <w:insideH w:val="nil"/>
          <w:insideV w:val="nil"/>
        </w:tcBorders>
        <w:shd w:val="clear" w:color="auto" w:fill="3f3151"/>
      </w:tcPr>
    </w:tblStylePr>
    <w:tblStylePr w:type="band1Horz">
      <w:pPr/>
      <w:tblPr/>
      <w:tcPr>
        <w:tcBorders>
          <w:top w:val="nil"/>
          <w:left w:val="nil"/>
          <w:bottom w:val="nil"/>
          <w:right w:val="nil"/>
          <w:insideH w:val="nil"/>
          <w:insideV w:val="nil"/>
        </w:tcBorders>
        <w:shd w:val="clear" w:color="auto" w:fill="5f497a"/>
      </w:tcPr>
    </w:tblStylePr>
    <w:tblStylePr w:type="firstCol">
      <w:pPr/>
      <w:tblPr/>
      <w:tcPr>
        <w:tcBorders>
          <w:top w:val="nil"/>
          <w:left w:val="nil"/>
          <w:bottom w:val="nil"/>
          <w:right w:val="single" w:sz="18" w:space="0" w:color="ffffff"/>
          <w:insideH w:val="nil"/>
          <w:insideV w:val="nil"/>
        </w:tcBorders>
        <w:shd w:val="clear" w:color="auto" w:fill="5f497a"/>
      </w:tcPr>
    </w:tblStylePr>
    <w:tblStylePr w:type="lastCol">
      <w:pPr/>
      <w:tblPr/>
      <w:tcPr>
        <w:tcBorders>
          <w:top w:val="nil"/>
          <w:left w:val="single" w:sz="18" w:space="0" w:color="ffffff"/>
          <w:bottom w:val="nil"/>
          <w:right w:val="nil"/>
          <w:insideH w:val="nil"/>
          <w:insideV w:val="nil"/>
        </w:tcBorders>
        <w:shd w:val="clear" w:color="auto" w:fill="5f497a"/>
      </w:tcPr>
    </w:tblStylePr>
    <w:tblStylePr w:type="band1Vert">
      <w:pPr/>
      <w:tblPr/>
      <w:tcPr>
        <w:tcBorders>
          <w:top w:val="nil"/>
          <w:left w:val="nil"/>
          <w:bottom w:val="nil"/>
          <w:right w:val="nil"/>
          <w:insideH w:val="nil"/>
          <w:insideV w:val="nil"/>
        </w:tcBorders>
        <w:shd w:val="clear" w:color="auto" w:fill="5f497a"/>
      </w:tcPr>
    </w:tblStylePr>
    <w:tcPr>
      <w:tcBorders/>
      <w:shd w:val="clear" w:color="auto" w:fill="8064a2"/>
    </w:tcPr>
  </w:style>
  <w:style w:type="table" w:styleId="style242">
    <w:name w:val="Dark List Accent 5"/>
    <w:basedOn w:val="style105"/>
    <w:next w:val="style242"/>
    <w:uiPriority w:val="70"/>
    <w:pPr>
      <w:spacing w:after="0" w:lineRule="auto" w:line="240"/>
    </w:pPr>
    <w:rPr>
      <w:color w:val="ffffff"/>
    </w:rPr>
    <w:tblPr>
      <w:tblStyleRowBandSize w:val="1"/>
      <w:tblStyleColBandSize w:val="1"/>
      <w:shd w:val="clear" w:color="auto" w:fill="4bacc6"/>
    </w:tblPr>
    <w:tblStylePr w:type="firstRow">
      <w:pPr/>
      <w:rPr>
        <w:b/>
        <w:bCs/>
      </w:rPr>
      <w:tblPr/>
      <w:tcPr>
        <w:tcBorders>
          <w:top w:val="nil"/>
          <w:left w:val="nil"/>
          <w:bottom w:val="single" w:sz="18" w:space="0" w:color="ffffff"/>
          <w:right w:val="nil"/>
          <w:insideH w:val="nil"/>
          <w:insideV w:val="nil"/>
        </w:tcBorders>
        <w:shd w:val="clear" w:color="auto" w:fill="000000"/>
      </w:tcPr>
    </w:tblStylePr>
    <w:tblStylePr w:type="lastRow">
      <w:pPr/>
      <w:tblPr/>
      <w:tcPr>
        <w:tcBorders>
          <w:top w:val="single" w:sz="18" w:space="0" w:color="ffffff"/>
          <w:left w:val="nil"/>
          <w:bottom w:val="nil"/>
          <w:right w:val="nil"/>
          <w:insideH w:val="nil"/>
          <w:insideV w:val="nil"/>
        </w:tcBorders>
        <w:shd w:val="clear" w:color="auto" w:fill="205867"/>
      </w:tcPr>
    </w:tblStylePr>
    <w:tblStylePr w:type="band1Horz">
      <w:pPr/>
      <w:tblPr/>
      <w:tcPr>
        <w:tcBorders>
          <w:top w:val="nil"/>
          <w:left w:val="nil"/>
          <w:bottom w:val="nil"/>
          <w:right w:val="nil"/>
          <w:insideH w:val="nil"/>
          <w:insideV w:val="nil"/>
        </w:tcBorders>
        <w:shd w:val="clear" w:color="auto" w:fill="31849b"/>
      </w:tcPr>
    </w:tblStylePr>
    <w:tblStylePr w:type="firstCol">
      <w:pPr/>
      <w:tblPr/>
      <w:tcPr>
        <w:tcBorders>
          <w:top w:val="nil"/>
          <w:left w:val="nil"/>
          <w:bottom w:val="nil"/>
          <w:right w:val="single" w:sz="18" w:space="0" w:color="ffffff"/>
          <w:insideH w:val="nil"/>
          <w:insideV w:val="nil"/>
        </w:tcBorders>
        <w:shd w:val="clear" w:color="auto" w:fill="31849b"/>
      </w:tcPr>
    </w:tblStylePr>
    <w:tblStylePr w:type="lastCol">
      <w:pPr/>
      <w:tblPr/>
      <w:tcPr>
        <w:tcBorders>
          <w:top w:val="nil"/>
          <w:left w:val="single" w:sz="18" w:space="0" w:color="ffffff"/>
          <w:bottom w:val="nil"/>
          <w:right w:val="nil"/>
          <w:insideH w:val="nil"/>
          <w:insideV w:val="nil"/>
        </w:tcBorders>
        <w:shd w:val="clear" w:color="auto" w:fill="31849b"/>
      </w:tcPr>
    </w:tblStylePr>
    <w:tblStylePr w:type="band1Vert">
      <w:pPr/>
      <w:tblPr/>
      <w:tcPr>
        <w:tcBorders>
          <w:top w:val="nil"/>
          <w:left w:val="nil"/>
          <w:bottom w:val="nil"/>
          <w:right w:val="nil"/>
          <w:insideH w:val="nil"/>
          <w:insideV w:val="nil"/>
        </w:tcBorders>
        <w:shd w:val="clear" w:color="auto" w:fill="31849b"/>
      </w:tcPr>
    </w:tblStylePr>
    <w:tcPr>
      <w:tcBorders/>
      <w:shd w:val="clear" w:color="auto" w:fill="4bacc6"/>
    </w:tcPr>
  </w:style>
  <w:style w:type="table" w:styleId="style256">
    <w:name w:val="Dark List Accent 6"/>
    <w:basedOn w:val="style105"/>
    <w:next w:val="style256"/>
    <w:uiPriority w:val="70"/>
    <w:pPr>
      <w:spacing w:after="0" w:lineRule="auto" w:line="240"/>
    </w:pPr>
    <w:rPr>
      <w:color w:val="ffffff"/>
    </w:rPr>
    <w:tblPr>
      <w:tblStyleRowBandSize w:val="1"/>
      <w:tblStyleColBandSize w:val="1"/>
      <w:shd w:val="clear" w:color="auto" w:fill="f79646"/>
    </w:tblPr>
    <w:tblStylePr w:type="firstRow">
      <w:pPr/>
      <w:rPr>
        <w:b/>
        <w:bCs/>
      </w:rPr>
      <w:tblPr/>
      <w:tcPr>
        <w:tcBorders>
          <w:top w:val="nil"/>
          <w:left w:val="nil"/>
          <w:bottom w:val="single" w:sz="18" w:space="0" w:color="ffffff"/>
          <w:right w:val="nil"/>
          <w:insideH w:val="nil"/>
          <w:insideV w:val="nil"/>
        </w:tcBorders>
        <w:shd w:val="clear" w:color="auto" w:fill="000000"/>
      </w:tcPr>
    </w:tblStylePr>
    <w:tblStylePr w:type="lastRow">
      <w:pPr/>
      <w:tblPr/>
      <w:tcPr>
        <w:tcBorders>
          <w:top w:val="single" w:sz="18" w:space="0" w:color="ffffff"/>
          <w:left w:val="nil"/>
          <w:bottom w:val="nil"/>
          <w:right w:val="nil"/>
          <w:insideH w:val="nil"/>
          <w:insideV w:val="nil"/>
        </w:tcBorders>
        <w:shd w:val="clear" w:color="auto" w:fill="974706"/>
      </w:tcPr>
    </w:tblStylePr>
    <w:tblStylePr w:type="band1Horz">
      <w:pPr/>
      <w:tblPr/>
      <w:tcPr>
        <w:tcBorders>
          <w:top w:val="nil"/>
          <w:left w:val="nil"/>
          <w:bottom w:val="nil"/>
          <w:right w:val="nil"/>
          <w:insideH w:val="nil"/>
          <w:insideV w:val="nil"/>
        </w:tcBorders>
        <w:shd w:val="clear" w:color="auto" w:fill="e36c0a"/>
      </w:tcPr>
    </w:tblStylePr>
    <w:tblStylePr w:type="firstCol">
      <w:pPr/>
      <w:tblPr/>
      <w:tcPr>
        <w:tcBorders>
          <w:top w:val="nil"/>
          <w:left w:val="nil"/>
          <w:bottom w:val="nil"/>
          <w:right w:val="single" w:sz="18" w:space="0" w:color="ffffff"/>
          <w:insideH w:val="nil"/>
          <w:insideV w:val="nil"/>
        </w:tcBorders>
        <w:shd w:val="clear" w:color="auto" w:fill="e36c0a"/>
      </w:tcPr>
    </w:tblStylePr>
    <w:tblStylePr w:type="lastCol">
      <w:pPr/>
      <w:tblPr/>
      <w:tcPr>
        <w:tcBorders>
          <w:top w:val="nil"/>
          <w:left w:val="single" w:sz="18" w:space="0" w:color="ffffff"/>
          <w:bottom w:val="nil"/>
          <w:right w:val="nil"/>
          <w:insideH w:val="nil"/>
          <w:insideV w:val="nil"/>
        </w:tcBorders>
        <w:shd w:val="clear" w:color="auto" w:fill="e36c0a"/>
      </w:tcPr>
    </w:tblStylePr>
    <w:tblStylePr w:type="band1Vert">
      <w:pPr/>
      <w:tblPr/>
      <w:tcPr>
        <w:tcBorders>
          <w:top w:val="nil"/>
          <w:left w:val="nil"/>
          <w:bottom w:val="nil"/>
          <w:right w:val="nil"/>
          <w:insideH w:val="nil"/>
          <w:insideV w:val="nil"/>
        </w:tcBorders>
        <w:shd w:val="clear" w:color="auto" w:fill="e36c0a"/>
      </w:tcPr>
    </w:tblStylePr>
    <w:tcPr>
      <w:tcBorders/>
      <w:shd w:val="clear" w:color="auto" w:fill="f79646"/>
    </w:tcPr>
  </w:style>
  <w:style w:type="table" w:styleId="style169">
    <w:name w:val="Colorful Shading"/>
    <w:basedOn w:val="style105"/>
    <w:next w:val="style169"/>
    <w:uiPriority w:val="71"/>
    <w:pPr>
      <w:spacing w:after="0" w:lineRule="auto" w:line="240"/>
    </w:pPr>
    <w:rPr>
      <w:color w:val="000000"/>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shd w:val="clear" w:color="auto" w:fill="e6e6e6"/>
    </w:tblPr>
    <w:tblStylePr w:type="firstRow">
      <w:pPr/>
      <w:rPr>
        <w:b/>
        <w:bCs/>
      </w:rPr>
      <w:tblPr/>
      <w:tcPr>
        <w:tcBorders>
          <w:top w:val="nil"/>
          <w:left w:val="nil"/>
          <w:bottom w:val="single" w:sz="24" w:space="0" w:color="c0504d"/>
          <w:right w:val="nil"/>
          <w:insideH w:val="nil"/>
          <w:insideV w:val="nil"/>
        </w:tcBorders>
        <w:shd w:val="clear" w:color="auto" w:fill="ffffff"/>
      </w:tcPr>
    </w:tblStylePr>
    <w:tblStylePr w:type="lastRow">
      <w:pPr/>
      <w:rPr>
        <w:b/>
        <w:bCs/>
        <w:color w:val="ffffff"/>
      </w:rPr>
      <w:tblPr/>
      <w:tcPr>
        <w:tcBorders>
          <w:top w:val="single" w:sz="6" w:space="0" w:color="ffffff"/>
        </w:tcBorders>
        <w:shd w:val="clear" w:color="auto" w:fill="000000"/>
      </w:tcPr>
    </w:tblStylePr>
    <w:tblStylePr w:type="band1Horz">
      <w:pPr/>
      <w:tblPr/>
      <w:tcPr>
        <w:tcBorders/>
        <w:shd w:val="clear" w:color="auto" w:fill="808080"/>
      </w:tcPr>
    </w:tblStylePr>
    <w:tblStylePr w:type="firstCol">
      <w:pPr/>
      <w:rPr>
        <w:color w:val="ffffff"/>
      </w:rPr>
      <w:tblPr/>
      <w:tcPr>
        <w:tcBorders>
          <w:top w:val="nil"/>
          <w:left w:val="nil"/>
          <w:bottom w:val="nil"/>
          <w:right w:val="nil"/>
          <w:insideH w:val="single" w:sz="4" w:space="0" w:color="000000"/>
          <w:insideV w:val="nil"/>
        </w:tcBorders>
        <w:shd w:val="clear" w:color="auto" w:fill="000000"/>
      </w:tcPr>
    </w:tblStylePr>
    <w:tblStylePr w:type="lastCol">
      <w:pPr/>
      <w:rPr>
        <w:color w:val="ffffff"/>
      </w:rPr>
      <w:tblPr/>
      <w:tcPr>
        <w:tcBorders>
          <w:top w:val="nil"/>
          <w:left w:val="nil"/>
          <w:bottom w:val="nil"/>
          <w:right w:val="nil"/>
          <w:insideH w:val="nil"/>
          <w:insideV w:val="nil"/>
        </w:tcBorders>
        <w:shd w:val="clear" w:color="auto" w:fill="000000"/>
      </w:tcPr>
    </w:tblStylePr>
    <w:tblStylePr w:type="band1Vert">
      <w:pPr/>
      <w:tblPr/>
      <w:tcPr>
        <w:tcBorders/>
        <w:shd w:val="clear" w:color="auto" w:fill="999999"/>
      </w:tcPr>
    </w:tblStylePr>
    <w:tblStylePr w:type="neCell">
      <w:pPr/>
      <w:rPr>
        <w:color w:val="000000"/>
      </w:rPr>
      <w:tcPr>
        <w:tcBorders/>
      </w:tcPr>
    </w:tblStylePr>
    <w:tblStylePr w:type="nwCell">
      <w:pPr/>
      <w:rPr>
        <w:color w:val="000000"/>
      </w:rPr>
      <w:tcPr>
        <w:tcBorders/>
      </w:tcPr>
    </w:tblStylePr>
    <w:tcPr>
      <w:tcBorders/>
      <w:shd w:val="clear" w:color="auto" w:fill="e6e6e6"/>
    </w:tcPr>
  </w:style>
  <w:style w:type="table" w:styleId="style187">
    <w:name w:val="Colorful Shading Accent 1"/>
    <w:basedOn w:val="style105"/>
    <w:next w:val="style187"/>
    <w:uiPriority w:val="71"/>
    <w:pPr>
      <w:spacing w:after="0" w:lineRule="auto" w:line="240"/>
    </w:pPr>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shd w:val="clear" w:color="auto" w:fill="edf2f8"/>
    </w:tblPr>
    <w:tblStylePr w:type="firstRow">
      <w:pPr/>
      <w:rPr>
        <w:b/>
        <w:bCs/>
      </w:rPr>
      <w:tblPr/>
      <w:tcPr>
        <w:tcBorders>
          <w:top w:val="nil"/>
          <w:left w:val="nil"/>
          <w:bottom w:val="single" w:sz="24" w:space="0" w:color="c0504d"/>
          <w:right w:val="nil"/>
          <w:insideH w:val="nil"/>
          <w:insideV w:val="nil"/>
        </w:tcBorders>
        <w:shd w:val="clear" w:color="auto" w:fill="ffffff"/>
      </w:tcPr>
    </w:tblStylePr>
    <w:tblStylePr w:type="lastRow">
      <w:pPr/>
      <w:rPr>
        <w:b/>
        <w:bCs/>
        <w:color w:val="ffffff"/>
      </w:rPr>
      <w:tblPr/>
      <w:tcPr>
        <w:tcBorders>
          <w:top w:val="single" w:sz="6" w:space="0" w:color="ffffff"/>
        </w:tcBorders>
        <w:shd w:val="clear" w:color="auto" w:fill="2c4c74"/>
      </w:tcPr>
    </w:tblStylePr>
    <w:tblStylePr w:type="band1Horz">
      <w:pPr/>
      <w:tblPr/>
      <w:tcPr>
        <w:tcBorders/>
        <w:shd w:val="clear" w:color="auto" w:fill="a7bfde"/>
      </w:tcPr>
    </w:tblStylePr>
    <w:tblStylePr w:type="firstCol">
      <w:pPr/>
      <w:rPr>
        <w:color w:val="ffffff"/>
      </w:rPr>
      <w:tblPr/>
      <w:tcPr>
        <w:tcBorders>
          <w:top w:val="nil"/>
          <w:left w:val="nil"/>
          <w:bottom w:val="nil"/>
          <w:right w:val="nil"/>
          <w:insideH w:val="single" w:sz="4" w:space="0" w:color="2c4c74"/>
          <w:insideV w:val="nil"/>
        </w:tcBorders>
        <w:shd w:val="clear" w:color="auto" w:fill="2c4c74"/>
      </w:tcPr>
    </w:tblStylePr>
    <w:tblStylePr w:type="lastCol">
      <w:pPr/>
      <w:rPr>
        <w:color w:val="ffffff"/>
      </w:rPr>
      <w:tblPr/>
      <w:tcPr>
        <w:tcBorders>
          <w:top w:val="nil"/>
          <w:left w:val="nil"/>
          <w:bottom w:val="nil"/>
          <w:right w:val="nil"/>
          <w:insideH w:val="nil"/>
          <w:insideV w:val="nil"/>
        </w:tcBorders>
        <w:shd w:val="clear" w:color="auto" w:fill="2c4c74"/>
      </w:tcPr>
    </w:tblStylePr>
    <w:tblStylePr w:type="band1Vert">
      <w:pPr/>
      <w:tblPr/>
      <w:tcPr>
        <w:tcBorders/>
        <w:shd w:val="clear" w:color="auto" w:fill="b8cce4"/>
      </w:tcPr>
    </w:tblStylePr>
    <w:tblStylePr w:type="neCell">
      <w:pPr/>
      <w:rPr>
        <w:color w:val="000000"/>
      </w:rPr>
      <w:tcPr>
        <w:tcBorders/>
      </w:tcPr>
    </w:tblStylePr>
    <w:tblStylePr w:type="nwCell">
      <w:pPr/>
      <w:rPr>
        <w:color w:val="000000"/>
      </w:rPr>
      <w:tcPr>
        <w:tcBorders/>
      </w:tcPr>
    </w:tblStylePr>
    <w:tcPr>
      <w:tcBorders/>
      <w:shd w:val="clear" w:color="auto" w:fill="edf2f8"/>
    </w:tcPr>
  </w:style>
  <w:style w:type="table" w:styleId="style201">
    <w:name w:val="Colorful Shading Accent 2"/>
    <w:basedOn w:val="style105"/>
    <w:next w:val="style201"/>
    <w:uiPriority w:val="71"/>
    <w:pPr>
      <w:spacing w:after="0" w:lineRule="auto" w:line="240"/>
    </w:pPr>
    <w:rPr>
      <w:color w:val="000000"/>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shd w:val="clear" w:color="auto" w:fill="f8eded"/>
    </w:tblPr>
    <w:tblStylePr w:type="firstRow">
      <w:pPr/>
      <w:rPr>
        <w:b/>
        <w:bCs/>
      </w:rPr>
      <w:tblPr/>
      <w:tcPr>
        <w:tcBorders>
          <w:top w:val="nil"/>
          <w:left w:val="nil"/>
          <w:bottom w:val="single" w:sz="24" w:space="0" w:color="c0504d"/>
          <w:right w:val="nil"/>
          <w:insideH w:val="nil"/>
          <w:insideV w:val="nil"/>
        </w:tcBorders>
        <w:shd w:val="clear" w:color="auto" w:fill="ffffff"/>
      </w:tcPr>
    </w:tblStylePr>
    <w:tblStylePr w:type="lastRow">
      <w:pPr/>
      <w:rPr>
        <w:b/>
        <w:bCs/>
        <w:color w:val="ffffff"/>
      </w:rPr>
      <w:tblPr/>
      <w:tcPr>
        <w:tcBorders>
          <w:top w:val="single" w:sz="6" w:space="0" w:color="ffffff"/>
        </w:tcBorders>
        <w:shd w:val="clear" w:color="auto" w:fill="772c2a"/>
      </w:tcPr>
    </w:tblStylePr>
    <w:tblStylePr w:type="band1Horz">
      <w:pPr/>
      <w:tblPr/>
      <w:tcPr>
        <w:tcBorders/>
        <w:shd w:val="clear" w:color="auto" w:fill="dfa7a6"/>
      </w:tcPr>
    </w:tblStylePr>
    <w:tblStylePr w:type="firstCol">
      <w:pPr/>
      <w:rPr>
        <w:color w:val="ffffff"/>
      </w:rPr>
      <w:tblPr/>
      <w:tcPr>
        <w:tcBorders>
          <w:top w:val="nil"/>
          <w:left w:val="nil"/>
          <w:bottom w:val="nil"/>
          <w:right w:val="nil"/>
          <w:insideH w:val="single" w:sz="4" w:space="0" w:color="772c2a"/>
          <w:insideV w:val="nil"/>
        </w:tcBorders>
        <w:shd w:val="clear" w:color="auto" w:fill="772c2a"/>
      </w:tcPr>
    </w:tblStylePr>
    <w:tblStylePr w:type="lastCol">
      <w:pPr/>
      <w:rPr>
        <w:color w:val="ffffff"/>
      </w:rPr>
      <w:tblPr/>
      <w:tcPr>
        <w:tcBorders>
          <w:top w:val="nil"/>
          <w:left w:val="nil"/>
          <w:bottom w:val="nil"/>
          <w:right w:val="nil"/>
          <w:insideH w:val="nil"/>
          <w:insideV w:val="nil"/>
        </w:tcBorders>
        <w:shd w:val="clear" w:color="auto" w:fill="772c2a"/>
      </w:tcPr>
    </w:tblStylePr>
    <w:tblStylePr w:type="band1Vert">
      <w:pPr/>
      <w:tblPr/>
      <w:tcPr>
        <w:tcBorders/>
        <w:shd w:val="clear" w:color="auto" w:fill="e5b8b7"/>
      </w:tcPr>
    </w:tblStylePr>
    <w:tblStylePr w:type="neCell">
      <w:pPr/>
      <w:rPr>
        <w:color w:val="000000"/>
      </w:rPr>
      <w:tcPr>
        <w:tcBorders/>
      </w:tcPr>
    </w:tblStylePr>
    <w:tblStylePr w:type="nwCell">
      <w:pPr/>
      <w:rPr>
        <w:color w:val="000000"/>
      </w:rPr>
      <w:tcPr>
        <w:tcBorders/>
      </w:tcPr>
    </w:tblStylePr>
    <w:tcPr>
      <w:tcBorders/>
      <w:shd w:val="clear" w:color="auto" w:fill="f8eded"/>
    </w:tcPr>
  </w:style>
  <w:style w:type="table" w:styleId="style215">
    <w:name w:val="Colorful Shading Accent 3"/>
    <w:basedOn w:val="style105"/>
    <w:next w:val="style215"/>
    <w:uiPriority w:val="71"/>
    <w:pPr>
      <w:spacing w:after="0" w:lineRule="auto" w:line="240"/>
    </w:pPr>
    <w:rPr>
      <w:color w:val="000000"/>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shd w:val="clear" w:color="auto" w:fill="f5f8ee"/>
    </w:tblPr>
    <w:tblStylePr w:type="firstRow">
      <w:pPr/>
      <w:rPr>
        <w:b/>
        <w:bCs/>
      </w:rPr>
      <w:tblPr/>
      <w:tcPr>
        <w:tcBorders>
          <w:top w:val="nil"/>
          <w:left w:val="nil"/>
          <w:bottom w:val="single" w:sz="24" w:space="0" w:color="8064a2"/>
          <w:right w:val="nil"/>
          <w:insideH w:val="nil"/>
          <w:insideV w:val="nil"/>
        </w:tcBorders>
        <w:shd w:val="clear" w:color="auto" w:fill="ffffff"/>
      </w:tcPr>
    </w:tblStylePr>
    <w:tblStylePr w:type="lastRow">
      <w:pPr/>
      <w:rPr>
        <w:b/>
        <w:bCs/>
        <w:color w:val="ffffff"/>
      </w:rPr>
      <w:tblPr/>
      <w:tcPr>
        <w:tcBorders>
          <w:top w:val="single" w:sz="6" w:space="0" w:color="ffffff"/>
        </w:tcBorders>
        <w:shd w:val="clear" w:color="auto" w:fill="5e7530"/>
      </w:tcPr>
    </w:tblStylePr>
    <w:tblStylePr w:type="band1Horz">
      <w:pPr/>
      <w:tblPr/>
      <w:tcPr>
        <w:tcBorders/>
        <w:shd w:val="clear" w:color="auto" w:fill="cdddac"/>
      </w:tcPr>
    </w:tblStylePr>
    <w:tblStylePr w:type="firstCol">
      <w:pPr/>
      <w:rPr>
        <w:color w:val="ffffff"/>
      </w:rPr>
      <w:tblPr/>
      <w:tcPr>
        <w:tcBorders>
          <w:top w:val="nil"/>
          <w:left w:val="nil"/>
          <w:bottom w:val="nil"/>
          <w:right w:val="nil"/>
          <w:insideH w:val="single" w:sz="4" w:space="0" w:color="5e7530"/>
          <w:insideV w:val="nil"/>
        </w:tcBorders>
        <w:shd w:val="clear" w:color="auto" w:fill="5e7530"/>
      </w:tcPr>
    </w:tblStylePr>
    <w:tblStylePr w:type="lastCol">
      <w:pPr/>
      <w:rPr>
        <w:color w:val="ffffff"/>
      </w:rPr>
      <w:tblPr/>
      <w:tcPr>
        <w:tcBorders>
          <w:top w:val="nil"/>
          <w:left w:val="nil"/>
          <w:bottom w:val="nil"/>
          <w:right w:val="nil"/>
          <w:insideH w:val="nil"/>
          <w:insideV w:val="nil"/>
        </w:tcBorders>
        <w:shd w:val="clear" w:color="auto" w:fill="5e7530"/>
      </w:tcPr>
    </w:tblStylePr>
    <w:tblStylePr w:type="band1Vert">
      <w:pPr/>
      <w:tblPr/>
      <w:tcPr>
        <w:tcBorders/>
        <w:shd w:val="clear" w:color="auto" w:fill="d6e3bc"/>
      </w:tcPr>
    </w:tblStylePr>
    <w:tcPr>
      <w:tcBorders/>
      <w:shd w:val="clear" w:color="auto" w:fill="f5f8ee"/>
    </w:tcPr>
  </w:style>
  <w:style w:type="table" w:styleId="style229">
    <w:name w:val="Colorful Shading Accent 4"/>
    <w:basedOn w:val="style105"/>
    <w:next w:val="style229"/>
    <w:uiPriority w:val="71"/>
    <w:pPr>
      <w:spacing w:after="0" w:lineRule="auto" w:line="240"/>
    </w:pPr>
    <w:rPr>
      <w:color w:val="000000"/>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shd w:val="clear" w:color="auto" w:fill="f2eff6"/>
    </w:tblPr>
    <w:tblStylePr w:type="firstRow">
      <w:pPr/>
      <w:rPr>
        <w:b/>
        <w:bCs/>
      </w:rPr>
      <w:tblPr/>
      <w:tcPr>
        <w:tcBorders>
          <w:top w:val="nil"/>
          <w:left w:val="nil"/>
          <w:bottom w:val="single" w:sz="24" w:space="0" w:color="9bbb59"/>
          <w:right w:val="nil"/>
          <w:insideH w:val="nil"/>
          <w:insideV w:val="nil"/>
        </w:tcBorders>
        <w:shd w:val="clear" w:color="auto" w:fill="ffffff"/>
      </w:tcPr>
    </w:tblStylePr>
    <w:tblStylePr w:type="lastRow">
      <w:pPr/>
      <w:rPr>
        <w:b/>
        <w:bCs/>
        <w:color w:val="ffffff"/>
      </w:rPr>
      <w:tblPr/>
      <w:tcPr>
        <w:tcBorders>
          <w:top w:val="single" w:sz="6" w:space="0" w:color="ffffff"/>
        </w:tcBorders>
        <w:shd w:val="clear" w:color="auto" w:fill="4c3b62"/>
      </w:tcPr>
    </w:tblStylePr>
    <w:tblStylePr w:type="band1Horz">
      <w:pPr/>
      <w:tblPr/>
      <w:tcPr>
        <w:tcBorders/>
        <w:shd w:val="clear" w:color="auto" w:fill="bfb1d0"/>
      </w:tcPr>
    </w:tblStylePr>
    <w:tblStylePr w:type="firstCol">
      <w:pPr/>
      <w:rPr>
        <w:color w:val="ffffff"/>
      </w:rPr>
      <w:tblPr/>
      <w:tcPr>
        <w:tcBorders>
          <w:top w:val="nil"/>
          <w:left w:val="nil"/>
          <w:bottom w:val="nil"/>
          <w:right w:val="nil"/>
          <w:insideH w:val="single" w:sz="4" w:space="0" w:color="4c3b62"/>
          <w:insideV w:val="nil"/>
        </w:tcBorders>
        <w:shd w:val="clear" w:color="auto" w:fill="4c3b62"/>
      </w:tcPr>
    </w:tblStylePr>
    <w:tblStylePr w:type="lastCol">
      <w:pPr/>
      <w:rPr>
        <w:color w:val="ffffff"/>
      </w:rPr>
      <w:tblPr/>
      <w:tcPr>
        <w:tcBorders>
          <w:top w:val="nil"/>
          <w:left w:val="nil"/>
          <w:bottom w:val="nil"/>
          <w:right w:val="nil"/>
          <w:insideH w:val="nil"/>
          <w:insideV w:val="nil"/>
        </w:tcBorders>
        <w:shd w:val="clear" w:color="auto" w:fill="4c3b62"/>
      </w:tcPr>
    </w:tblStylePr>
    <w:tblStylePr w:type="band1Vert">
      <w:pPr/>
      <w:tblPr/>
      <w:tcPr>
        <w:tcBorders/>
        <w:shd w:val="clear" w:color="auto" w:fill="ccc0d9"/>
      </w:tcPr>
    </w:tblStylePr>
    <w:tblStylePr w:type="neCell">
      <w:pPr/>
      <w:rPr>
        <w:color w:val="000000"/>
      </w:rPr>
      <w:tcPr>
        <w:tcBorders/>
      </w:tcPr>
    </w:tblStylePr>
    <w:tblStylePr w:type="nwCell">
      <w:pPr/>
      <w:rPr>
        <w:color w:val="000000"/>
      </w:rPr>
      <w:tcPr>
        <w:tcBorders/>
      </w:tcPr>
    </w:tblStylePr>
    <w:tcPr>
      <w:tcBorders/>
      <w:shd w:val="clear" w:color="auto" w:fill="f2eff6"/>
    </w:tcPr>
  </w:style>
  <w:style w:type="table" w:styleId="style243">
    <w:name w:val="Colorful Shading Accent 5"/>
    <w:basedOn w:val="style105"/>
    <w:next w:val="style243"/>
    <w:uiPriority w:val="71"/>
    <w:pPr>
      <w:spacing w:after="0" w:lineRule="auto" w:line="240"/>
    </w:pPr>
    <w:rPr>
      <w:color w:val="000000"/>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shd w:val="clear" w:color="auto" w:fill="edf6f9"/>
    </w:tblPr>
    <w:tblStylePr w:type="firstRow">
      <w:pPr/>
      <w:rPr>
        <w:b/>
        <w:bCs/>
      </w:rPr>
      <w:tblPr/>
      <w:tcPr>
        <w:tcBorders>
          <w:top w:val="nil"/>
          <w:left w:val="nil"/>
          <w:bottom w:val="single" w:sz="24" w:space="0" w:color="f79646"/>
          <w:right w:val="nil"/>
          <w:insideH w:val="nil"/>
          <w:insideV w:val="nil"/>
        </w:tcBorders>
        <w:shd w:val="clear" w:color="auto" w:fill="ffffff"/>
      </w:tcPr>
    </w:tblStylePr>
    <w:tblStylePr w:type="lastRow">
      <w:pPr/>
      <w:rPr>
        <w:b/>
        <w:bCs/>
        <w:color w:val="ffffff"/>
      </w:rPr>
      <w:tblPr/>
      <w:tcPr>
        <w:tcBorders>
          <w:top w:val="single" w:sz="6" w:space="0" w:color="ffffff"/>
        </w:tcBorders>
        <w:shd w:val="clear" w:color="auto" w:fill="276a7c"/>
      </w:tcPr>
    </w:tblStylePr>
    <w:tblStylePr w:type="band1Horz">
      <w:pPr/>
      <w:tblPr/>
      <w:tcPr>
        <w:tcBorders/>
        <w:shd w:val="clear" w:color="auto" w:fill="a5d5e2"/>
      </w:tcPr>
    </w:tblStylePr>
    <w:tblStylePr w:type="firstCol">
      <w:pPr/>
      <w:rPr>
        <w:color w:val="ffffff"/>
      </w:rPr>
      <w:tblPr/>
      <w:tcPr>
        <w:tcBorders>
          <w:top w:val="nil"/>
          <w:left w:val="nil"/>
          <w:bottom w:val="nil"/>
          <w:right w:val="nil"/>
          <w:insideH w:val="single" w:sz="4" w:space="0" w:color="276a7c"/>
          <w:insideV w:val="nil"/>
        </w:tcBorders>
        <w:shd w:val="clear" w:color="auto" w:fill="276a7c"/>
      </w:tcPr>
    </w:tblStylePr>
    <w:tblStylePr w:type="lastCol">
      <w:pPr/>
      <w:rPr>
        <w:color w:val="ffffff"/>
      </w:rPr>
      <w:tblPr/>
      <w:tcPr>
        <w:tcBorders>
          <w:top w:val="nil"/>
          <w:left w:val="nil"/>
          <w:bottom w:val="nil"/>
          <w:right w:val="nil"/>
          <w:insideH w:val="nil"/>
          <w:insideV w:val="nil"/>
        </w:tcBorders>
        <w:shd w:val="clear" w:color="auto" w:fill="276a7c"/>
      </w:tcPr>
    </w:tblStylePr>
    <w:tblStylePr w:type="band1Vert">
      <w:pPr/>
      <w:tblPr/>
      <w:tcPr>
        <w:tcBorders/>
        <w:shd w:val="clear" w:color="auto" w:fill="b6dde8"/>
      </w:tcPr>
    </w:tblStylePr>
    <w:tblStylePr w:type="neCell">
      <w:pPr/>
      <w:rPr>
        <w:color w:val="000000"/>
      </w:rPr>
      <w:tcPr>
        <w:tcBorders/>
      </w:tcPr>
    </w:tblStylePr>
    <w:tblStylePr w:type="nwCell">
      <w:pPr/>
      <w:rPr>
        <w:color w:val="000000"/>
      </w:rPr>
      <w:tcPr>
        <w:tcBorders/>
      </w:tcPr>
    </w:tblStylePr>
    <w:tcPr>
      <w:tcBorders/>
      <w:shd w:val="clear" w:color="auto" w:fill="edf6f9"/>
    </w:tcPr>
  </w:style>
  <w:style w:type="table" w:styleId="style257">
    <w:name w:val="Colorful Shading Accent 6"/>
    <w:basedOn w:val="style105"/>
    <w:next w:val="style257"/>
    <w:uiPriority w:val="71"/>
    <w:pPr>
      <w:spacing w:after="0" w:lineRule="auto" w:line="240"/>
    </w:pPr>
    <w:rPr>
      <w:color w:val="000000"/>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shd w:val="clear" w:color="auto" w:fill="fef4ec"/>
    </w:tblPr>
    <w:tblStylePr w:type="firstRow">
      <w:pPr/>
      <w:rPr>
        <w:b/>
        <w:bCs/>
      </w:rPr>
      <w:tblPr/>
      <w:tcPr>
        <w:tcBorders>
          <w:top w:val="nil"/>
          <w:left w:val="nil"/>
          <w:bottom w:val="single" w:sz="24" w:space="0" w:color="4bacc6"/>
          <w:right w:val="nil"/>
          <w:insideH w:val="nil"/>
          <w:insideV w:val="nil"/>
        </w:tcBorders>
        <w:shd w:val="clear" w:color="auto" w:fill="ffffff"/>
      </w:tcPr>
    </w:tblStylePr>
    <w:tblStylePr w:type="lastRow">
      <w:pPr/>
      <w:rPr>
        <w:b/>
        <w:bCs/>
        <w:color w:val="ffffff"/>
      </w:rPr>
      <w:tblPr/>
      <w:tcPr>
        <w:tcBorders>
          <w:top w:val="single" w:sz="6" w:space="0" w:color="ffffff"/>
        </w:tcBorders>
        <w:shd w:val="clear" w:color="auto" w:fill="b65608"/>
      </w:tcPr>
    </w:tblStylePr>
    <w:tblStylePr w:type="band1Horz">
      <w:pPr/>
      <w:tblPr/>
      <w:tcPr>
        <w:tcBorders/>
        <w:shd w:val="clear" w:color="auto" w:fill="fbcaa2"/>
      </w:tcPr>
    </w:tblStylePr>
    <w:tblStylePr w:type="firstCol">
      <w:pPr/>
      <w:rPr>
        <w:color w:val="ffffff"/>
      </w:rPr>
      <w:tblPr/>
      <w:tcPr>
        <w:tcBorders>
          <w:top w:val="nil"/>
          <w:left w:val="nil"/>
          <w:bottom w:val="nil"/>
          <w:right w:val="nil"/>
          <w:insideH w:val="single" w:sz="4" w:space="0" w:color="b65608"/>
          <w:insideV w:val="nil"/>
        </w:tcBorders>
        <w:shd w:val="clear" w:color="auto" w:fill="b65608"/>
      </w:tcPr>
    </w:tblStylePr>
    <w:tblStylePr w:type="lastCol">
      <w:pPr/>
      <w:rPr>
        <w:color w:val="ffffff"/>
      </w:rPr>
      <w:tblPr/>
      <w:tcPr>
        <w:tcBorders>
          <w:top w:val="nil"/>
          <w:left w:val="nil"/>
          <w:bottom w:val="nil"/>
          <w:right w:val="nil"/>
          <w:insideH w:val="nil"/>
          <w:insideV w:val="nil"/>
        </w:tcBorders>
        <w:shd w:val="clear" w:color="auto" w:fill="b65608"/>
      </w:tcPr>
    </w:tblStylePr>
    <w:tblStylePr w:type="band1Vert">
      <w:pPr/>
      <w:tblPr/>
      <w:tcPr>
        <w:tcBorders/>
        <w:shd w:val="clear" w:color="auto" w:fill="fbd4b4"/>
      </w:tcPr>
    </w:tblStylePr>
    <w:tblStylePr w:type="neCell">
      <w:pPr/>
      <w:rPr>
        <w:color w:val="000000"/>
      </w:rPr>
      <w:tcPr>
        <w:tcBorders/>
      </w:tcPr>
    </w:tblStylePr>
    <w:tblStylePr w:type="nwCell">
      <w:pPr/>
      <w:rPr>
        <w:color w:val="000000"/>
      </w:rPr>
      <w:tcPr>
        <w:tcBorders/>
      </w:tcPr>
    </w:tblStylePr>
    <w:tcPr>
      <w:tcBorders/>
      <w:shd w:val="clear" w:color="auto" w:fill="fef4ec"/>
    </w:tcPr>
  </w:style>
  <w:style w:type="table" w:styleId="style170">
    <w:name w:val="Colorful List"/>
    <w:basedOn w:val="style105"/>
    <w:next w:val="style170"/>
    <w:uiPriority w:val="72"/>
    <w:pPr>
      <w:spacing w:after="0" w:lineRule="auto" w:line="240"/>
    </w:pPr>
    <w:rPr>
      <w:color w:val="000000"/>
    </w:rPr>
    <w:tblPr>
      <w:tblStyleRowBandSize w:val="1"/>
      <w:tblStyleColBandSize w:val="1"/>
      <w:shd w:val="clear" w:color="auto" w:fill="e6e6e6"/>
    </w:tblPr>
    <w:tblStylePr w:type="firstRow">
      <w:pPr/>
      <w:rPr>
        <w:b/>
        <w:bCs/>
        <w:color w:val="ffffff"/>
      </w:rPr>
      <w:tblPr/>
      <w:tcPr>
        <w:tcBorders>
          <w:bottom w:val="single" w:sz="12" w:space="0" w:color="ffffff"/>
        </w:tcBorders>
        <w:shd w:val="clear" w:color="auto" w:fill="9e3a38"/>
      </w:tcPr>
    </w:tblStylePr>
    <w:tblStylePr w:type="lastRow">
      <w:pPr/>
      <w:rPr>
        <w:b/>
        <w:bCs/>
        <w:color w:val="9e3a38"/>
      </w:rPr>
      <w:tblPr/>
      <w:tcPr>
        <w:tcBorders>
          <w:top w:val="single" w:sz="12" w:space="0" w:color="000000"/>
        </w:tcBorders>
        <w:shd w:val="clear" w:color="auto" w:fill="ffffff"/>
      </w:tcPr>
    </w:tblStylePr>
    <w:tblStylePr w:type="band1Horz">
      <w:pPr/>
      <w:tblPr/>
      <w:tcPr>
        <w:tcBorders/>
        <w:shd w:val="clear" w:color="auto" w:fill="cccccc"/>
      </w:tcPr>
    </w:tblStylePr>
    <w:tblStylePr w:type="firstCol">
      <w:pPr/>
      <w:rPr>
        <w:b/>
        <w:bCs/>
      </w:rPr>
      <w:tcPr>
        <w:tcBorders/>
      </w:tcPr>
    </w:tblStylePr>
    <w:tblStylePr w:type="lastCol">
      <w:pPr/>
      <w:rPr>
        <w:b/>
        <w:bCs/>
      </w:rPr>
      <w:tcPr>
        <w:tcBorders/>
      </w:tcPr>
    </w:tblStylePr>
    <w:tblStylePr w:type="band1Vert">
      <w:pPr/>
      <w:tblPr/>
      <w:tcPr>
        <w:tcBorders>
          <w:top w:val="nil"/>
          <w:left w:val="nil"/>
          <w:bottom w:val="nil"/>
          <w:right w:val="nil"/>
          <w:insideH w:val="nil"/>
          <w:insideV w:val="nil"/>
        </w:tcBorders>
        <w:shd w:val="clear" w:color="auto" w:fill="c0c0c0"/>
      </w:tcPr>
    </w:tblStylePr>
    <w:tcPr>
      <w:tcBorders/>
      <w:shd w:val="clear" w:color="auto" w:fill="e6e6e6"/>
    </w:tcPr>
  </w:style>
  <w:style w:type="table" w:styleId="style188">
    <w:name w:val="Colorful List Accent 1"/>
    <w:basedOn w:val="style105"/>
    <w:next w:val="style188"/>
    <w:uiPriority w:val="72"/>
    <w:pPr>
      <w:spacing w:after="0" w:lineRule="auto" w:line="240"/>
    </w:pPr>
    <w:rPr>
      <w:color w:val="000000"/>
    </w:rPr>
    <w:tblPr>
      <w:tblStyleRowBandSize w:val="1"/>
      <w:tblStyleColBandSize w:val="1"/>
      <w:shd w:val="clear" w:color="auto" w:fill="edf2f8"/>
    </w:tblPr>
    <w:tblStylePr w:type="firstRow">
      <w:pPr/>
      <w:rPr>
        <w:b/>
        <w:bCs/>
        <w:color w:val="ffffff"/>
      </w:rPr>
      <w:tblPr/>
      <w:tcPr>
        <w:tcBorders>
          <w:bottom w:val="single" w:sz="12" w:space="0" w:color="ffffff"/>
        </w:tcBorders>
        <w:shd w:val="clear" w:color="auto" w:fill="9e3a38"/>
      </w:tcPr>
    </w:tblStylePr>
    <w:tblStylePr w:type="lastRow">
      <w:pPr/>
      <w:rPr>
        <w:b/>
        <w:bCs/>
        <w:color w:val="9e3a38"/>
      </w:rPr>
      <w:tblPr/>
      <w:tcPr>
        <w:tcBorders>
          <w:top w:val="single" w:sz="12" w:space="0" w:color="000000"/>
        </w:tcBorders>
        <w:shd w:val="clear" w:color="auto" w:fill="ffffff"/>
      </w:tcPr>
    </w:tblStylePr>
    <w:tblStylePr w:type="band1Horz">
      <w:pPr/>
      <w:tblPr/>
      <w:tcPr>
        <w:tcBorders/>
        <w:shd w:val="clear" w:color="auto" w:fill="dbe5f1"/>
      </w:tcPr>
    </w:tblStylePr>
    <w:tblStylePr w:type="firstCol">
      <w:pPr/>
      <w:rPr>
        <w:b/>
        <w:bCs/>
      </w:rPr>
      <w:tcPr>
        <w:tcBorders/>
      </w:tcPr>
    </w:tblStylePr>
    <w:tblStylePr w:type="lastCol">
      <w:pPr/>
      <w:rPr>
        <w:b/>
        <w:bCs/>
      </w:rPr>
      <w:tcPr>
        <w:tcBorders/>
      </w:tcPr>
    </w:tblStylePr>
    <w:tblStylePr w:type="band1Vert">
      <w:pPr/>
      <w:tblPr/>
      <w:tcPr>
        <w:tcBorders>
          <w:top w:val="nil"/>
          <w:left w:val="nil"/>
          <w:bottom w:val="nil"/>
          <w:right w:val="nil"/>
          <w:insideH w:val="nil"/>
          <w:insideV w:val="nil"/>
        </w:tcBorders>
        <w:shd w:val="clear" w:color="auto" w:fill="d3dfee"/>
      </w:tcPr>
    </w:tblStylePr>
    <w:tcPr>
      <w:tcBorders/>
      <w:shd w:val="clear" w:color="auto" w:fill="edf2f8"/>
    </w:tcPr>
  </w:style>
  <w:style w:type="table" w:styleId="style202">
    <w:name w:val="Colorful List Accent 2"/>
    <w:basedOn w:val="style105"/>
    <w:next w:val="style202"/>
    <w:uiPriority w:val="72"/>
    <w:pPr>
      <w:spacing w:after="0" w:lineRule="auto" w:line="240"/>
    </w:pPr>
    <w:rPr>
      <w:color w:val="000000"/>
    </w:rPr>
    <w:tblPr>
      <w:tblStyleRowBandSize w:val="1"/>
      <w:tblStyleColBandSize w:val="1"/>
      <w:shd w:val="clear" w:color="auto" w:fill="f8eded"/>
    </w:tblPr>
    <w:tblStylePr w:type="firstRow">
      <w:pPr/>
      <w:rPr>
        <w:b/>
        <w:bCs/>
        <w:color w:val="ffffff"/>
      </w:rPr>
      <w:tblPr/>
      <w:tcPr>
        <w:tcBorders>
          <w:bottom w:val="single" w:sz="12" w:space="0" w:color="ffffff"/>
        </w:tcBorders>
        <w:shd w:val="clear" w:color="auto" w:fill="9e3a38"/>
      </w:tcPr>
    </w:tblStylePr>
    <w:tblStylePr w:type="lastRow">
      <w:pPr/>
      <w:rPr>
        <w:b/>
        <w:bCs/>
        <w:color w:val="9e3a38"/>
      </w:rPr>
      <w:tblPr/>
      <w:tcPr>
        <w:tcBorders>
          <w:top w:val="single" w:sz="12" w:space="0" w:color="000000"/>
        </w:tcBorders>
        <w:shd w:val="clear" w:color="auto" w:fill="ffffff"/>
      </w:tcPr>
    </w:tblStylePr>
    <w:tblStylePr w:type="band1Horz">
      <w:pPr/>
      <w:tblPr/>
      <w:tcPr>
        <w:tcBorders/>
        <w:shd w:val="clear" w:color="auto" w:fill="f2dbdb"/>
      </w:tcPr>
    </w:tblStylePr>
    <w:tblStylePr w:type="firstCol">
      <w:pPr/>
      <w:rPr>
        <w:b/>
        <w:bCs/>
      </w:rPr>
      <w:tcPr>
        <w:tcBorders/>
      </w:tcPr>
    </w:tblStylePr>
    <w:tblStylePr w:type="lastCol">
      <w:pPr/>
      <w:rPr>
        <w:b/>
        <w:bCs/>
      </w:rPr>
      <w:tcPr>
        <w:tcBorders/>
      </w:tcPr>
    </w:tblStylePr>
    <w:tblStylePr w:type="band1Vert">
      <w:pPr/>
      <w:tblPr/>
      <w:tcPr>
        <w:tcBorders>
          <w:top w:val="nil"/>
          <w:left w:val="nil"/>
          <w:bottom w:val="nil"/>
          <w:right w:val="nil"/>
          <w:insideH w:val="nil"/>
          <w:insideV w:val="nil"/>
        </w:tcBorders>
        <w:shd w:val="clear" w:color="auto" w:fill="efd3d2"/>
      </w:tcPr>
    </w:tblStylePr>
    <w:tcPr>
      <w:tcBorders/>
      <w:shd w:val="clear" w:color="auto" w:fill="f8eded"/>
    </w:tcPr>
  </w:style>
  <w:style w:type="table" w:styleId="style216">
    <w:name w:val="Colorful List Accent 3"/>
    <w:basedOn w:val="style105"/>
    <w:next w:val="style216"/>
    <w:uiPriority w:val="72"/>
    <w:pPr>
      <w:spacing w:after="0" w:lineRule="auto" w:line="240"/>
    </w:pPr>
    <w:rPr>
      <w:color w:val="000000"/>
    </w:rPr>
    <w:tblPr>
      <w:tblStyleRowBandSize w:val="1"/>
      <w:tblStyleColBandSize w:val="1"/>
      <w:shd w:val="clear" w:color="auto" w:fill="f5f8ee"/>
    </w:tblPr>
    <w:tblStylePr w:type="firstRow">
      <w:pPr/>
      <w:rPr>
        <w:b/>
        <w:bCs/>
        <w:color w:val="ffffff"/>
      </w:rPr>
      <w:tblPr/>
      <w:tcPr>
        <w:tcBorders>
          <w:bottom w:val="single" w:sz="12" w:space="0" w:color="ffffff"/>
        </w:tcBorders>
        <w:shd w:val="clear" w:color="auto" w:fill="664e82"/>
      </w:tcPr>
    </w:tblStylePr>
    <w:tblStylePr w:type="lastRow">
      <w:pPr/>
      <w:rPr>
        <w:b/>
        <w:bCs/>
        <w:color w:val="664e82"/>
      </w:rPr>
      <w:tblPr/>
      <w:tcPr>
        <w:tcBorders>
          <w:top w:val="single" w:sz="12" w:space="0" w:color="000000"/>
        </w:tcBorders>
        <w:shd w:val="clear" w:color="auto" w:fill="ffffff"/>
      </w:tcPr>
    </w:tblStylePr>
    <w:tblStylePr w:type="band1Horz">
      <w:pPr/>
      <w:tblPr/>
      <w:tcPr>
        <w:tcBorders/>
        <w:shd w:val="clear" w:color="auto" w:fill="eaf1dd"/>
      </w:tcPr>
    </w:tblStylePr>
    <w:tblStylePr w:type="firstCol">
      <w:pPr/>
      <w:rPr>
        <w:b/>
        <w:bCs/>
      </w:rPr>
      <w:tcPr>
        <w:tcBorders/>
      </w:tcPr>
    </w:tblStylePr>
    <w:tblStylePr w:type="lastCol">
      <w:pPr/>
      <w:rPr>
        <w:b/>
        <w:bCs/>
      </w:rPr>
      <w:tcPr>
        <w:tcBorders/>
      </w:tcPr>
    </w:tblStylePr>
    <w:tblStylePr w:type="band1Vert">
      <w:pPr/>
      <w:tblPr/>
      <w:tcPr>
        <w:tcBorders>
          <w:top w:val="nil"/>
          <w:left w:val="nil"/>
          <w:bottom w:val="nil"/>
          <w:right w:val="nil"/>
          <w:insideH w:val="nil"/>
          <w:insideV w:val="nil"/>
        </w:tcBorders>
        <w:shd w:val="clear" w:color="auto" w:fill="e6eed5"/>
      </w:tcPr>
    </w:tblStylePr>
    <w:tcPr>
      <w:tcBorders/>
      <w:shd w:val="clear" w:color="auto" w:fill="f5f8ee"/>
    </w:tcPr>
  </w:style>
  <w:style w:type="table" w:styleId="style230">
    <w:name w:val="Colorful List Accent 4"/>
    <w:basedOn w:val="style105"/>
    <w:next w:val="style230"/>
    <w:uiPriority w:val="72"/>
    <w:pPr>
      <w:spacing w:after="0" w:lineRule="auto" w:line="240"/>
    </w:pPr>
    <w:rPr>
      <w:color w:val="000000"/>
    </w:rPr>
    <w:tblPr>
      <w:tblStyleRowBandSize w:val="1"/>
      <w:tblStyleColBandSize w:val="1"/>
      <w:shd w:val="clear" w:color="auto" w:fill="f2eff6"/>
    </w:tblPr>
    <w:tblStylePr w:type="firstRow">
      <w:pPr/>
      <w:rPr>
        <w:b/>
        <w:bCs/>
        <w:color w:val="ffffff"/>
      </w:rPr>
      <w:tblPr/>
      <w:tcPr>
        <w:tcBorders>
          <w:bottom w:val="single" w:sz="12" w:space="0" w:color="ffffff"/>
        </w:tcBorders>
        <w:shd w:val="clear" w:color="auto" w:fill="7e9c40"/>
      </w:tcPr>
    </w:tblStylePr>
    <w:tblStylePr w:type="lastRow">
      <w:pPr/>
      <w:rPr>
        <w:b/>
        <w:bCs/>
        <w:color w:val="7e9c40"/>
      </w:rPr>
      <w:tblPr/>
      <w:tcPr>
        <w:tcBorders>
          <w:top w:val="single" w:sz="12" w:space="0" w:color="000000"/>
        </w:tcBorders>
        <w:shd w:val="clear" w:color="auto" w:fill="ffffff"/>
      </w:tcPr>
    </w:tblStylePr>
    <w:tblStylePr w:type="band1Horz">
      <w:pPr/>
      <w:tblPr/>
      <w:tcPr>
        <w:tcBorders/>
        <w:shd w:val="clear" w:color="auto" w:fill="e5dfec"/>
      </w:tcPr>
    </w:tblStylePr>
    <w:tblStylePr w:type="firstCol">
      <w:pPr/>
      <w:rPr>
        <w:b/>
        <w:bCs/>
      </w:rPr>
      <w:tcPr>
        <w:tcBorders/>
      </w:tcPr>
    </w:tblStylePr>
    <w:tblStylePr w:type="lastCol">
      <w:pPr/>
      <w:rPr>
        <w:b/>
        <w:bCs/>
      </w:rPr>
      <w:tcPr>
        <w:tcBorders/>
      </w:tcPr>
    </w:tblStylePr>
    <w:tblStylePr w:type="band1Vert">
      <w:pPr/>
      <w:tblPr/>
      <w:tcPr>
        <w:tcBorders>
          <w:top w:val="nil"/>
          <w:left w:val="nil"/>
          <w:bottom w:val="nil"/>
          <w:right w:val="nil"/>
          <w:insideH w:val="nil"/>
          <w:insideV w:val="nil"/>
        </w:tcBorders>
        <w:shd w:val="clear" w:color="auto" w:fill="dfd8e8"/>
      </w:tcPr>
    </w:tblStylePr>
    <w:tcPr>
      <w:tcBorders/>
      <w:shd w:val="clear" w:color="auto" w:fill="f2eff6"/>
    </w:tcPr>
  </w:style>
  <w:style w:type="table" w:styleId="style244">
    <w:name w:val="Colorful List Accent 5"/>
    <w:basedOn w:val="style105"/>
    <w:next w:val="style244"/>
    <w:uiPriority w:val="72"/>
    <w:pPr>
      <w:spacing w:after="0" w:lineRule="auto" w:line="240"/>
    </w:pPr>
    <w:rPr>
      <w:color w:val="000000"/>
    </w:rPr>
    <w:tblPr>
      <w:tblStyleRowBandSize w:val="1"/>
      <w:tblStyleColBandSize w:val="1"/>
      <w:shd w:val="clear" w:color="auto" w:fill="edf6f9"/>
    </w:tblPr>
    <w:tblStylePr w:type="firstRow">
      <w:pPr/>
      <w:rPr>
        <w:b/>
        <w:bCs/>
        <w:color w:val="ffffff"/>
      </w:rPr>
      <w:tblPr/>
      <w:tcPr>
        <w:tcBorders>
          <w:bottom w:val="single" w:sz="12" w:space="0" w:color="ffffff"/>
        </w:tcBorders>
        <w:shd w:val="clear" w:color="auto" w:fill="f2730a"/>
      </w:tcPr>
    </w:tblStylePr>
    <w:tblStylePr w:type="lastRow">
      <w:pPr/>
      <w:rPr>
        <w:b/>
        <w:bCs/>
        <w:color w:val="f2730a"/>
      </w:rPr>
      <w:tblPr/>
      <w:tcPr>
        <w:tcBorders>
          <w:top w:val="single" w:sz="12" w:space="0" w:color="000000"/>
        </w:tcBorders>
        <w:shd w:val="clear" w:color="auto" w:fill="ffffff"/>
      </w:tcPr>
    </w:tblStylePr>
    <w:tblStylePr w:type="band1Horz">
      <w:pPr/>
      <w:tblPr/>
      <w:tcPr>
        <w:tcBorders/>
        <w:shd w:val="clear" w:color="auto" w:fill="daeef3"/>
      </w:tcPr>
    </w:tblStylePr>
    <w:tblStylePr w:type="firstCol">
      <w:pPr/>
      <w:rPr>
        <w:b/>
        <w:bCs/>
      </w:rPr>
      <w:tcPr>
        <w:tcBorders/>
      </w:tcPr>
    </w:tblStylePr>
    <w:tblStylePr w:type="lastCol">
      <w:pPr/>
      <w:rPr>
        <w:b/>
        <w:bCs/>
      </w:rPr>
      <w:tcPr>
        <w:tcBorders/>
      </w:tcPr>
    </w:tblStylePr>
    <w:tblStylePr w:type="band1Vert">
      <w:pPr/>
      <w:tblPr/>
      <w:tcPr>
        <w:tcBorders>
          <w:top w:val="nil"/>
          <w:left w:val="nil"/>
          <w:bottom w:val="nil"/>
          <w:right w:val="nil"/>
          <w:insideH w:val="nil"/>
          <w:insideV w:val="nil"/>
        </w:tcBorders>
        <w:shd w:val="clear" w:color="auto" w:fill="d2eaf1"/>
      </w:tcPr>
    </w:tblStylePr>
    <w:tcPr>
      <w:tcBorders/>
      <w:shd w:val="clear" w:color="auto" w:fill="edf6f9"/>
    </w:tcPr>
  </w:style>
  <w:style w:type="table" w:styleId="style258">
    <w:name w:val="Colorful List Accent 6"/>
    <w:basedOn w:val="style105"/>
    <w:next w:val="style258"/>
    <w:uiPriority w:val="72"/>
    <w:pPr>
      <w:spacing w:after="0" w:lineRule="auto" w:line="240"/>
    </w:pPr>
    <w:rPr>
      <w:color w:val="000000"/>
    </w:rPr>
    <w:tblPr>
      <w:tblStyleRowBandSize w:val="1"/>
      <w:tblStyleColBandSize w:val="1"/>
      <w:shd w:val="clear" w:color="auto" w:fill="fef4ec"/>
    </w:tblPr>
    <w:tblStylePr w:type="firstRow">
      <w:pPr/>
      <w:rPr>
        <w:b/>
        <w:bCs/>
        <w:color w:val="ffffff"/>
      </w:rPr>
      <w:tblPr/>
      <w:tcPr>
        <w:tcBorders>
          <w:bottom w:val="single" w:sz="12" w:space="0" w:color="ffffff"/>
        </w:tcBorders>
        <w:shd w:val="clear" w:color="auto" w:fill="348da5"/>
      </w:tcPr>
    </w:tblStylePr>
    <w:tblStylePr w:type="lastRow">
      <w:pPr/>
      <w:rPr>
        <w:b/>
        <w:bCs/>
        <w:color w:val="348da5"/>
      </w:rPr>
      <w:tblPr/>
      <w:tcPr>
        <w:tcBorders>
          <w:top w:val="single" w:sz="12" w:space="0" w:color="000000"/>
        </w:tcBorders>
        <w:shd w:val="clear" w:color="auto" w:fill="ffffff"/>
      </w:tcPr>
    </w:tblStylePr>
    <w:tblStylePr w:type="band1Horz">
      <w:pPr/>
      <w:tblPr/>
      <w:tcPr>
        <w:tcBorders/>
        <w:shd w:val="clear" w:color="auto" w:fill="fde9d9"/>
      </w:tcPr>
    </w:tblStylePr>
    <w:tblStylePr w:type="firstCol">
      <w:pPr/>
      <w:rPr>
        <w:b/>
        <w:bCs/>
      </w:rPr>
      <w:tcPr>
        <w:tcBorders/>
      </w:tcPr>
    </w:tblStylePr>
    <w:tblStylePr w:type="lastCol">
      <w:pPr/>
      <w:rPr>
        <w:b/>
        <w:bCs/>
      </w:rPr>
      <w:tcPr>
        <w:tcBorders/>
      </w:tcPr>
    </w:tblStylePr>
    <w:tblStylePr w:type="band1Vert">
      <w:pPr/>
      <w:tblPr/>
      <w:tcPr>
        <w:tcBorders>
          <w:top w:val="nil"/>
          <w:left w:val="nil"/>
          <w:bottom w:val="nil"/>
          <w:right w:val="nil"/>
          <w:insideH w:val="nil"/>
          <w:insideV w:val="nil"/>
        </w:tcBorders>
        <w:shd w:val="clear" w:color="auto" w:fill="fde4d0"/>
      </w:tcPr>
    </w:tblStylePr>
    <w:tcPr>
      <w:tcBorders/>
      <w:shd w:val="clear" w:color="auto" w:fill="fef4ec"/>
    </w:tcPr>
  </w:style>
  <w:style w:type="table" w:styleId="style171">
    <w:name w:val="Colorful Grid"/>
    <w:basedOn w:val="style105"/>
    <w:next w:val="style171"/>
    <w:uiPriority w:val="73"/>
    <w:pPr>
      <w:spacing w:after="0" w:lineRule="auto" w:line="240"/>
    </w:pPr>
    <w:rPr>
      <w:color w:val="000000"/>
    </w:rPr>
    <w:tblPr>
      <w:tblStyleRowBandSize w:val="1"/>
      <w:tblStyleColBandSize w:val="1"/>
      <w:tblBorders>
        <w:insideH w:val="single" w:sz="4" w:space="0" w:color="ffffff"/>
      </w:tblBorders>
      <w:shd w:val="clear" w:color="auto" w:fill="cccccc"/>
    </w:tblPr>
    <w:tblStylePr w:type="firstRow">
      <w:pPr/>
      <w:rPr>
        <w:b/>
        <w:bCs/>
      </w:rPr>
      <w:tblPr/>
      <w:tcPr>
        <w:tcBorders/>
        <w:shd w:val="clear" w:color="auto" w:fill="999999"/>
      </w:tcPr>
    </w:tblStylePr>
    <w:tblStylePr w:type="lastRow">
      <w:pPr/>
      <w:rPr>
        <w:b/>
        <w:bCs/>
        <w:color w:val="000000"/>
      </w:rPr>
      <w:tblPr/>
      <w:tcPr>
        <w:tcBorders/>
        <w:shd w:val="clear" w:color="auto" w:fill="999999"/>
      </w:tcPr>
    </w:tblStylePr>
    <w:tblStylePr w:type="band1Horz">
      <w:pPr/>
      <w:tblPr/>
      <w:tcPr>
        <w:tcBorders/>
        <w:shd w:val="clear" w:color="auto" w:fill="808080"/>
      </w:tcPr>
    </w:tblStylePr>
    <w:tblStylePr w:type="firstCol">
      <w:pPr/>
      <w:rPr>
        <w:color w:val="ffffff"/>
      </w:rPr>
      <w:tblPr/>
      <w:tcPr>
        <w:tcBorders/>
        <w:shd w:val="clear" w:color="auto" w:fill="000000"/>
      </w:tcPr>
    </w:tblStylePr>
    <w:tblStylePr w:type="lastCol">
      <w:pPr/>
      <w:rPr>
        <w:color w:val="ffffff"/>
      </w:rPr>
      <w:tblPr/>
      <w:tcPr>
        <w:tcBorders/>
        <w:shd w:val="clear" w:color="auto" w:fill="000000"/>
      </w:tcPr>
    </w:tblStylePr>
    <w:tblStylePr w:type="band1Vert">
      <w:pPr/>
      <w:tblPr/>
      <w:tcPr>
        <w:tcBorders/>
        <w:shd w:val="clear" w:color="auto" w:fill="808080"/>
      </w:tcPr>
    </w:tblStylePr>
    <w:tcPr>
      <w:tcBorders/>
      <w:shd w:val="clear" w:color="auto" w:fill="cccccc"/>
    </w:tcPr>
  </w:style>
  <w:style w:type="table" w:styleId="style189">
    <w:name w:val="Colorful Grid Accent 1"/>
    <w:basedOn w:val="style105"/>
    <w:next w:val="style189"/>
    <w:uiPriority w:val="73"/>
    <w:pPr>
      <w:spacing w:after="0" w:lineRule="auto" w:line="240"/>
    </w:pPr>
    <w:rPr>
      <w:color w:val="000000"/>
    </w:rPr>
    <w:tblPr>
      <w:tblStyleRowBandSize w:val="1"/>
      <w:tblStyleColBandSize w:val="1"/>
      <w:tblBorders>
        <w:insideH w:val="single" w:sz="4" w:space="0" w:color="ffffff"/>
      </w:tblBorders>
      <w:shd w:val="clear" w:color="auto" w:fill="dbe5f1"/>
    </w:tblPr>
    <w:tblStylePr w:type="firstRow">
      <w:pPr/>
      <w:rPr>
        <w:b/>
        <w:bCs/>
      </w:rPr>
      <w:tblPr/>
      <w:tcPr>
        <w:tcBorders/>
        <w:shd w:val="clear" w:color="auto" w:fill="b8cce4"/>
      </w:tcPr>
    </w:tblStylePr>
    <w:tblStylePr w:type="lastRow">
      <w:pPr/>
      <w:rPr>
        <w:b/>
        <w:bCs/>
        <w:color w:val="000000"/>
      </w:rPr>
      <w:tblPr/>
      <w:tcPr>
        <w:tcBorders/>
        <w:shd w:val="clear" w:color="auto" w:fill="b8cce4"/>
      </w:tcPr>
    </w:tblStylePr>
    <w:tblStylePr w:type="band1Horz">
      <w:pPr/>
      <w:tblPr/>
      <w:tcPr>
        <w:tcBorders/>
        <w:shd w:val="clear" w:color="auto" w:fill="a7bfde"/>
      </w:tcPr>
    </w:tblStylePr>
    <w:tblStylePr w:type="firstCol">
      <w:pPr/>
      <w:rPr>
        <w:color w:val="ffffff"/>
      </w:rPr>
      <w:tblPr/>
      <w:tcPr>
        <w:tcBorders/>
        <w:shd w:val="clear" w:color="auto" w:fill="365f91"/>
      </w:tcPr>
    </w:tblStylePr>
    <w:tblStylePr w:type="lastCol">
      <w:pPr/>
      <w:rPr>
        <w:color w:val="ffffff"/>
      </w:rPr>
      <w:tblPr/>
      <w:tcPr>
        <w:tcBorders/>
        <w:shd w:val="clear" w:color="auto" w:fill="365f91"/>
      </w:tcPr>
    </w:tblStylePr>
    <w:tblStylePr w:type="band1Vert">
      <w:pPr/>
      <w:tblPr/>
      <w:tcPr>
        <w:tcBorders/>
        <w:shd w:val="clear" w:color="auto" w:fill="a7bfde"/>
      </w:tcPr>
    </w:tblStylePr>
    <w:tcPr>
      <w:tcBorders/>
      <w:shd w:val="clear" w:color="auto" w:fill="dbe5f1"/>
    </w:tcPr>
  </w:style>
  <w:style w:type="table" w:styleId="style203">
    <w:name w:val="Colorful Grid Accent 2"/>
    <w:basedOn w:val="style105"/>
    <w:next w:val="style203"/>
    <w:uiPriority w:val="73"/>
    <w:pPr>
      <w:spacing w:after="0" w:lineRule="auto" w:line="240"/>
    </w:pPr>
    <w:rPr>
      <w:color w:val="000000"/>
    </w:rPr>
    <w:tblPr>
      <w:tblStyleRowBandSize w:val="1"/>
      <w:tblStyleColBandSize w:val="1"/>
      <w:tblBorders>
        <w:insideH w:val="single" w:sz="4" w:space="0" w:color="ffffff"/>
      </w:tblBorders>
      <w:shd w:val="clear" w:color="auto" w:fill="f2dbdb"/>
    </w:tblPr>
    <w:tblStylePr w:type="firstRow">
      <w:pPr/>
      <w:rPr>
        <w:b/>
        <w:bCs/>
      </w:rPr>
      <w:tblPr/>
      <w:tcPr>
        <w:tcBorders/>
        <w:shd w:val="clear" w:color="auto" w:fill="e5b8b7"/>
      </w:tcPr>
    </w:tblStylePr>
    <w:tblStylePr w:type="lastRow">
      <w:pPr/>
      <w:rPr>
        <w:b/>
        <w:bCs/>
        <w:color w:val="000000"/>
      </w:rPr>
      <w:tblPr/>
      <w:tcPr>
        <w:tcBorders/>
        <w:shd w:val="clear" w:color="auto" w:fill="e5b8b7"/>
      </w:tcPr>
    </w:tblStylePr>
    <w:tblStylePr w:type="band1Horz">
      <w:pPr/>
      <w:tblPr/>
      <w:tcPr>
        <w:tcBorders/>
        <w:shd w:val="clear" w:color="auto" w:fill="dfa7a6"/>
      </w:tcPr>
    </w:tblStylePr>
    <w:tblStylePr w:type="firstCol">
      <w:pPr/>
      <w:rPr>
        <w:color w:val="ffffff"/>
      </w:rPr>
      <w:tblPr/>
      <w:tcPr>
        <w:tcBorders/>
        <w:shd w:val="clear" w:color="auto" w:fill="943634"/>
      </w:tcPr>
    </w:tblStylePr>
    <w:tblStylePr w:type="lastCol">
      <w:pPr/>
      <w:rPr>
        <w:color w:val="ffffff"/>
      </w:rPr>
      <w:tblPr/>
      <w:tcPr>
        <w:tcBorders/>
        <w:shd w:val="clear" w:color="auto" w:fill="943634"/>
      </w:tcPr>
    </w:tblStylePr>
    <w:tblStylePr w:type="band1Vert">
      <w:pPr/>
      <w:tblPr/>
      <w:tcPr>
        <w:tcBorders/>
        <w:shd w:val="clear" w:color="auto" w:fill="dfa7a6"/>
      </w:tcPr>
    </w:tblStylePr>
    <w:tcPr>
      <w:tcBorders/>
      <w:shd w:val="clear" w:color="auto" w:fill="f2dbdb"/>
    </w:tcPr>
  </w:style>
  <w:style w:type="table" w:styleId="style217">
    <w:name w:val="Colorful Grid Accent 3"/>
    <w:basedOn w:val="style105"/>
    <w:next w:val="style217"/>
    <w:uiPriority w:val="73"/>
    <w:pPr>
      <w:spacing w:after="0" w:lineRule="auto" w:line="240"/>
    </w:pPr>
    <w:rPr>
      <w:color w:val="000000"/>
    </w:rPr>
    <w:tblPr>
      <w:tblStyleRowBandSize w:val="1"/>
      <w:tblStyleColBandSize w:val="1"/>
      <w:tblBorders>
        <w:insideH w:val="single" w:sz="4" w:space="0" w:color="ffffff"/>
      </w:tblBorders>
      <w:shd w:val="clear" w:color="auto" w:fill="eaf1dd"/>
    </w:tblPr>
    <w:tblStylePr w:type="firstRow">
      <w:pPr/>
      <w:rPr>
        <w:b/>
        <w:bCs/>
      </w:rPr>
      <w:tblPr/>
      <w:tcPr>
        <w:tcBorders/>
        <w:shd w:val="clear" w:color="auto" w:fill="d6e3bc"/>
      </w:tcPr>
    </w:tblStylePr>
    <w:tblStylePr w:type="lastRow">
      <w:pPr/>
      <w:rPr>
        <w:b/>
        <w:bCs/>
        <w:color w:val="000000"/>
      </w:rPr>
      <w:tblPr/>
      <w:tcPr>
        <w:tcBorders/>
        <w:shd w:val="clear" w:color="auto" w:fill="d6e3bc"/>
      </w:tcPr>
    </w:tblStylePr>
    <w:tblStylePr w:type="band1Horz">
      <w:pPr/>
      <w:tblPr/>
      <w:tcPr>
        <w:tcBorders/>
        <w:shd w:val="clear" w:color="auto" w:fill="cdddac"/>
      </w:tcPr>
    </w:tblStylePr>
    <w:tblStylePr w:type="firstCol">
      <w:pPr/>
      <w:rPr>
        <w:color w:val="ffffff"/>
      </w:rPr>
      <w:tblPr/>
      <w:tcPr>
        <w:tcBorders/>
        <w:shd w:val="clear" w:color="auto" w:fill="76923c"/>
      </w:tcPr>
    </w:tblStylePr>
    <w:tblStylePr w:type="lastCol">
      <w:pPr/>
      <w:rPr>
        <w:color w:val="ffffff"/>
      </w:rPr>
      <w:tblPr/>
      <w:tcPr>
        <w:tcBorders/>
        <w:shd w:val="clear" w:color="auto" w:fill="76923c"/>
      </w:tcPr>
    </w:tblStylePr>
    <w:tblStylePr w:type="band1Vert">
      <w:pPr/>
      <w:tblPr/>
      <w:tcPr>
        <w:tcBorders/>
        <w:shd w:val="clear" w:color="auto" w:fill="cdddac"/>
      </w:tcPr>
    </w:tblStylePr>
    <w:tcPr>
      <w:tcBorders/>
      <w:shd w:val="clear" w:color="auto" w:fill="eaf1dd"/>
    </w:tcPr>
  </w:style>
  <w:style w:type="table" w:styleId="style231">
    <w:name w:val="Colorful Grid Accent 4"/>
    <w:basedOn w:val="style105"/>
    <w:next w:val="style231"/>
    <w:uiPriority w:val="73"/>
    <w:pPr>
      <w:spacing w:after="0" w:lineRule="auto" w:line="240"/>
    </w:pPr>
    <w:rPr>
      <w:color w:val="000000"/>
    </w:rPr>
    <w:tblPr>
      <w:tblStyleRowBandSize w:val="1"/>
      <w:tblStyleColBandSize w:val="1"/>
      <w:tblBorders>
        <w:insideH w:val="single" w:sz="4" w:space="0" w:color="ffffff"/>
      </w:tblBorders>
      <w:shd w:val="clear" w:color="auto" w:fill="e5dfec"/>
    </w:tblPr>
    <w:tblStylePr w:type="firstRow">
      <w:pPr/>
      <w:rPr>
        <w:b/>
        <w:bCs/>
      </w:rPr>
      <w:tblPr/>
      <w:tcPr>
        <w:tcBorders/>
        <w:shd w:val="clear" w:color="auto" w:fill="ccc0d9"/>
      </w:tcPr>
    </w:tblStylePr>
    <w:tblStylePr w:type="lastRow">
      <w:pPr/>
      <w:rPr>
        <w:b/>
        <w:bCs/>
        <w:color w:val="000000"/>
      </w:rPr>
      <w:tblPr/>
      <w:tcPr>
        <w:tcBorders/>
        <w:shd w:val="clear" w:color="auto" w:fill="ccc0d9"/>
      </w:tcPr>
    </w:tblStylePr>
    <w:tblStylePr w:type="band1Horz">
      <w:pPr/>
      <w:tblPr/>
      <w:tcPr>
        <w:tcBorders/>
        <w:shd w:val="clear" w:color="auto" w:fill="bfb1d0"/>
      </w:tcPr>
    </w:tblStylePr>
    <w:tblStylePr w:type="firstCol">
      <w:pPr/>
      <w:rPr>
        <w:color w:val="ffffff"/>
      </w:rPr>
      <w:tblPr/>
      <w:tcPr>
        <w:tcBorders/>
        <w:shd w:val="clear" w:color="auto" w:fill="5f497a"/>
      </w:tcPr>
    </w:tblStylePr>
    <w:tblStylePr w:type="lastCol">
      <w:pPr/>
      <w:rPr>
        <w:color w:val="ffffff"/>
      </w:rPr>
      <w:tblPr/>
      <w:tcPr>
        <w:tcBorders/>
        <w:shd w:val="clear" w:color="auto" w:fill="5f497a"/>
      </w:tcPr>
    </w:tblStylePr>
    <w:tblStylePr w:type="band1Vert">
      <w:pPr/>
      <w:tblPr/>
      <w:tcPr>
        <w:tcBorders/>
        <w:shd w:val="clear" w:color="auto" w:fill="bfb1d0"/>
      </w:tcPr>
    </w:tblStylePr>
    <w:tcPr>
      <w:tcBorders/>
      <w:shd w:val="clear" w:color="auto" w:fill="e5dfec"/>
    </w:tcPr>
  </w:style>
  <w:style w:type="table" w:styleId="style245">
    <w:name w:val="Colorful Grid Accent 5"/>
    <w:basedOn w:val="style105"/>
    <w:next w:val="style245"/>
    <w:uiPriority w:val="73"/>
    <w:pPr>
      <w:spacing w:after="0" w:lineRule="auto" w:line="240"/>
    </w:pPr>
    <w:rPr>
      <w:color w:val="000000"/>
    </w:rPr>
    <w:tblPr>
      <w:tblStyleRowBandSize w:val="1"/>
      <w:tblStyleColBandSize w:val="1"/>
      <w:tblBorders>
        <w:insideH w:val="single" w:sz="4" w:space="0" w:color="ffffff"/>
      </w:tblBorders>
      <w:shd w:val="clear" w:color="auto" w:fill="daeef3"/>
    </w:tblPr>
    <w:tblStylePr w:type="firstRow">
      <w:pPr/>
      <w:rPr>
        <w:b/>
        <w:bCs/>
      </w:rPr>
      <w:tblPr/>
      <w:tcPr>
        <w:tcBorders/>
        <w:shd w:val="clear" w:color="auto" w:fill="b6dde8"/>
      </w:tcPr>
    </w:tblStylePr>
    <w:tblStylePr w:type="lastRow">
      <w:pPr/>
      <w:rPr>
        <w:b/>
        <w:bCs/>
        <w:color w:val="000000"/>
      </w:rPr>
      <w:tblPr/>
      <w:tcPr>
        <w:tcBorders/>
        <w:shd w:val="clear" w:color="auto" w:fill="b6dde8"/>
      </w:tcPr>
    </w:tblStylePr>
    <w:tblStylePr w:type="band1Horz">
      <w:pPr/>
      <w:tblPr/>
      <w:tcPr>
        <w:tcBorders/>
        <w:shd w:val="clear" w:color="auto" w:fill="a5d5e2"/>
      </w:tcPr>
    </w:tblStylePr>
    <w:tblStylePr w:type="firstCol">
      <w:pPr/>
      <w:rPr>
        <w:color w:val="ffffff"/>
      </w:rPr>
      <w:tblPr/>
      <w:tcPr>
        <w:tcBorders/>
        <w:shd w:val="clear" w:color="auto" w:fill="31849b"/>
      </w:tcPr>
    </w:tblStylePr>
    <w:tblStylePr w:type="lastCol">
      <w:pPr/>
      <w:rPr>
        <w:color w:val="ffffff"/>
      </w:rPr>
      <w:tblPr/>
      <w:tcPr>
        <w:tcBorders/>
        <w:shd w:val="clear" w:color="auto" w:fill="31849b"/>
      </w:tcPr>
    </w:tblStylePr>
    <w:tblStylePr w:type="band1Vert">
      <w:pPr/>
      <w:tblPr/>
      <w:tcPr>
        <w:tcBorders/>
        <w:shd w:val="clear" w:color="auto" w:fill="a5d5e2"/>
      </w:tcPr>
    </w:tblStylePr>
    <w:tcPr>
      <w:tcBorders/>
      <w:shd w:val="clear" w:color="auto" w:fill="daeef3"/>
    </w:tcPr>
  </w:style>
  <w:style w:type="table" w:styleId="style259">
    <w:name w:val="Colorful Grid Accent 6"/>
    <w:basedOn w:val="style105"/>
    <w:next w:val="style259"/>
    <w:uiPriority w:val="73"/>
    <w:pPr>
      <w:spacing w:after="0" w:lineRule="auto" w:line="240"/>
    </w:pPr>
    <w:rPr>
      <w:color w:val="000000"/>
    </w:rPr>
    <w:tblPr>
      <w:tblStyleRowBandSize w:val="1"/>
      <w:tblStyleColBandSize w:val="1"/>
      <w:tblBorders>
        <w:insideH w:val="single" w:sz="4" w:space="0" w:color="ffffff"/>
      </w:tblBorders>
      <w:shd w:val="clear" w:color="auto" w:fill="fde9d9"/>
    </w:tblPr>
    <w:tblStylePr w:type="firstRow">
      <w:pPr/>
      <w:rPr>
        <w:b/>
        <w:bCs/>
      </w:rPr>
      <w:tblPr/>
      <w:tcPr>
        <w:tcBorders/>
        <w:shd w:val="clear" w:color="auto" w:fill="fbd4b4"/>
      </w:tcPr>
    </w:tblStylePr>
    <w:tblStylePr w:type="lastRow">
      <w:pPr/>
      <w:rPr>
        <w:b/>
        <w:bCs/>
        <w:color w:val="000000"/>
      </w:rPr>
      <w:tblPr/>
      <w:tcPr>
        <w:tcBorders/>
        <w:shd w:val="clear" w:color="auto" w:fill="fbd4b4"/>
      </w:tcPr>
    </w:tblStylePr>
    <w:tblStylePr w:type="band1Horz">
      <w:pPr/>
      <w:tblPr/>
      <w:tcPr>
        <w:tcBorders/>
        <w:shd w:val="clear" w:color="auto" w:fill="fbcaa2"/>
      </w:tcPr>
    </w:tblStylePr>
    <w:tblStylePr w:type="firstCol">
      <w:pPr/>
      <w:rPr>
        <w:color w:val="ffffff"/>
      </w:rPr>
      <w:tblPr/>
      <w:tcPr>
        <w:tcBorders/>
        <w:shd w:val="clear" w:color="auto" w:fill="e36c0a"/>
      </w:tcPr>
    </w:tblStylePr>
    <w:tblStylePr w:type="lastCol">
      <w:pPr/>
      <w:rPr>
        <w:color w:val="ffffff"/>
      </w:rPr>
      <w:tblPr/>
      <w:tcPr>
        <w:tcBorders/>
        <w:shd w:val="clear" w:color="auto" w:fill="e36c0a"/>
      </w:tcPr>
    </w:tblStylePr>
    <w:tblStylePr w:type="band1Vert">
      <w:pPr/>
      <w:tblPr/>
      <w:tcPr>
        <w:tcBorders/>
        <w:shd w:val="clear" w:color="auto" w:fill="fbcaa2"/>
      </w:tcPr>
    </w:tblStylePr>
    <w:tcPr>
      <w:tcBorders/>
      <w:shd w:val="clear" w:color="auto" w:fill="fde9d9"/>
    </w:tcPr>
  </w:style>
  <w:style w:type="character" w:styleId="style85">
    <w:name w:val="Hyperlink"/>
    <w:basedOn w:val="style65"/>
    <w:next w:val="style85"/>
    <w:uiPriority w:val="99"/>
    <w:rPr>
      <w:color w:val="0000ff"/>
      <w:u w:val="single"/>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Words>2561</Words>
  <Pages>14</Pages>
  <Characters>17792</Characters>
  <Application>WPS Office</Application>
  <DocSecurity>0</DocSecurity>
  <Paragraphs>99</Paragraphs>
  <ScaleCrop>false</ScaleCrop>
  <LinksUpToDate>false</LinksUpToDate>
  <CharactersWithSpaces>20248</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2013-12-23T23:15:00Z</dcterms:created>
  <dc:creator>python-docx</dc:creator>
  <dc:description>generated by python-docx</dc:description>
  <lastModifiedBy>Infinix X655C</lastModifiedBy>
  <dcterms:modified xsi:type="dcterms:W3CDTF">2025-05-07T21:02:37Z</dcterms:modified>
  <revision>48</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460fea42a96f4d2fa0c147d09c033a39</vt:lpwstr>
  </property>
</Properties>
</file>