
<file path=[Content_Types].xml><?xml version="1.0" encoding="utf-8"?>
<Types xmlns="http://schemas.openxmlformats.org/package/2006/content-types">
  <Default Extension="xml" ContentType="application/xml"/>
  <Default Extension="png" ContentType="image/png"/>
  <Default Extension="wdp" ContentType="image/vnd.ms-photo"/>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D2CBA4">
      <w:pPr>
        <w:spacing w:line="276" w:lineRule="auto"/>
        <w:ind w:firstLine="0"/>
        <w:jc w:val="center"/>
        <w:rPr>
          <w:rStyle w:val="60"/>
          <w:rFonts w:asciiTheme="majorBidi" w:hAnsiTheme="majorBidi" w:cstheme="majorBidi"/>
          <w:color w:val="0070C0"/>
          <w:sz w:val="24"/>
          <w:szCs w:val="24"/>
        </w:rPr>
      </w:pPr>
    </w:p>
    <w:p w14:paraId="5F1DD4AE">
      <w:pPr>
        <w:spacing w:line="276" w:lineRule="auto"/>
        <w:ind w:firstLine="0"/>
        <w:jc w:val="center"/>
        <w:rPr>
          <w:rStyle w:val="60"/>
          <w:rFonts w:asciiTheme="majorBidi" w:hAnsiTheme="majorBidi" w:cstheme="majorBidi"/>
          <w:color w:val="0070C0"/>
          <w:sz w:val="24"/>
          <w:szCs w:val="24"/>
        </w:rPr>
      </w:pPr>
      <w:r>
        <w:rPr>
          <w:rStyle w:val="60"/>
          <w:rFonts w:asciiTheme="majorBidi" w:hAnsiTheme="majorBidi" w:cstheme="majorBidi"/>
          <w:color w:val="0070C0"/>
          <w:sz w:val="24"/>
          <w:szCs w:val="24"/>
        </w:rPr>
        <w:t>EFFECT OF PUBLIC FINANCIAL MANAGEMENT REFORM ON</w:t>
      </w:r>
      <w:r>
        <w:rPr>
          <w:rStyle w:val="60"/>
          <w:rFonts w:asciiTheme="majorBidi" w:hAnsiTheme="majorBidi" w:cstheme="majorBidi"/>
          <w:color w:val="0070C0"/>
          <w:sz w:val="24"/>
          <w:szCs w:val="24"/>
          <w:lang w:val="en-US"/>
        </w:rPr>
        <w:t xml:space="preserve"> </w:t>
      </w:r>
      <w:r>
        <w:rPr>
          <w:rStyle w:val="60"/>
          <w:rFonts w:asciiTheme="majorBidi" w:hAnsiTheme="majorBidi" w:cstheme="majorBidi"/>
          <w:color w:val="0070C0"/>
          <w:sz w:val="24"/>
          <w:szCs w:val="24"/>
        </w:rPr>
        <w:t>FINANCIAL OPERATIONS: THE CASE OF MINISTRY OF FINANCE</w:t>
      </w:r>
      <w:r>
        <w:rPr>
          <w:rStyle w:val="60"/>
          <w:rFonts w:asciiTheme="majorBidi" w:hAnsiTheme="majorBidi" w:cstheme="majorBidi"/>
          <w:color w:val="0070C0"/>
          <w:sz w:val="24"/>
          <w:szCs w:val="24"/>
          <w:lang w:val="en-US"/>
        </w:rPr>
        <w:t xml:space="preserve"> </w:t>
      </w:r>
      <w:r>
        <w:rPr>
          <w:rStyle w:val="60"/>
          <w:rFonts w:asciiTheme="majorBidi" w:hAnsiTheme="majorBidi" w:cstheme="majorBidi"/>
          <w:color w:val="0070C0"/>
          <w:sz w:val="24"/>
          <w:szCs w:val="24"/>
        </w:rPr>
        <w:t>IN PUNTLAND STATE OF SOMALIA.</w:t>
      </w:r>
    </w:p>
    <w:p w14:paraId="6F857A6B">
      <w:pPr>
        <w:spacing w:line="276" w:lineRule="auto"/>
        <w:rPr>
          <w:rStyle w:val="60"/>
          <w:rFonts w:hint="default" w:asciiTheme="majorBidi" w:hAnsiTheme="majorBidi" w:cstheme="majorBidi"/>
          <w:b w:val="0"/>
          <w:bCs w:val="0"/>
          <w:sz w:val="24"/>
          <w:szCs w:val="24"/>
          <w:vertAlign w:val="superscript"/>
          <w:lang w:val="en-US"/>
        </w:rPr>
      </w:pPr>
      <w:r>
        <w:rPr>
          <w:rFonts w:hint="default" w:asciiTheme="majorBidi" w:hAnsiTheme="majorBidi" w:cstheme="majorBidi"/>
          <w:lang w:val="en-US"/>
        </w:rPr>
        <w:t xml:space="preserve">Moulid Abdirahman </w:t>
      </w:r>
      <w:r>
        <w:rPr>
          <w:rFonts w:asciiTheme="majorBidi" w:hAnsiTheme="majorBidi" w:cstheme="majorBidi"/>
        </w:rPr>
        <w:t xml:space="preserve"> </w:t>
      </w:r>
      <w:r>
        <w:rPr>
          <w:rFonts w:hint="default" w:asciiTheme="majorBidi" w:hAnsiTheme="majorBidi" w:cstheme="majorBidi"/>
          <w:lang w:val="en-US"/>
        </w:rPr>
        <w:t>Ali</w:t>
      </w:r>
      <w:r>
        <w:rPr>
          <w:rFonts w:asciiTheme="majorBidi" w:hAnsiTheme="majorBidi" w:cstheme="majorBidi"/>
          <w:vertAlign w:val="superscript"/>
        </w:rPr>
        <w:t>1</w:t>
      </w:r>
      <w:r>
        <w:rPr>
          <w:rFonts w:asciiTheme="majorBidi" w:hAnsiTheme="majorBidi" w:cstheme="majorBidi"/>
          <w:b/>
          <w:bCs/>
          <w:vertAlign w:val="superscript"/>
        </w:rPr>
        <w:t>*</w:t>
      </w:r>
      <w:r>
        <w:rPr>
          <w:rFonts w:hint="default" w:asciiTheme="majorBidi" w:hAnsiTheme="majorBidi" w:cstheme="majorBidi"/>
          <w:b/>
          <w:bCs/>
          <w:vertAlign w:val="superscript"/>
          <w:lang w:val="en-US"/>
        </w:rPr>
        <w:t xml:space="preserve">, </w:t>
      </w:r>
      <w:r>
        <w:rPr>
          <w:rFonts w:hint="default" w:asciiTheme="majorBidi" w:hAnsiTheme="majorBidi" w:cstheme="majorBidi"/>
          <w:b w:val="0"/>
          <w:bCs w:val="0"/>
          <w:vertAlign w:val="superscript"/>
          <w:lang w:val="en-US"/>
        </w:rPr>
        <w:t xml:space="preserve"> </w:t>
      </w:r>
      <w:r>
        <w:rPr>
          <w:rFonts w:hint="default" w:asciiTheme="majorBidi" w:hAnsiTheme="majorBidi" w:cstheme="majorBidi"/>
          <w:b w:val="0"/>
          <w:bCs w:val="0"/>
          <w:vertAlign w:val="baseline"/>
          <w:lang w:val="en-US"/>
        </w:rPr>
        <w:t>Ismail Abdihakin Ahmed</w:t>
      </w:r>
      <w:r>
        <w:rPr>
          <w:rFonts w:hint="default" w:asciiTheme="majorBidi" w:hAnsiTheme="majorBidi" w:cstheme="majorBidi"/>
          <w:b w:val="0"/>
          <w:bCs w:val="0"/>
          <w:vertAlign w:val="superscript"/>
          <w:lang w:val="en-US"/>
        </w:rPr>
        <w:t>2</w:t>
      </w:r>
    </w:p>
    <w:p w14:paraId="295A877D">
      <w:pPr>
        <w:spacing w:line="276" w:lineRule="auto"/>
        <w:rPr>
          <w:rFonts w:asciiTheme="majorBidi" w:hAnsiTheme="majorBidi" w:cstheme="majorBidi"/>
        </w:rPr>
      </w:pPr>
      <w:r>
        <w:rPr>
          <w:rFonts w:asciiTheme="majorBidi" w:hAnsiTheme="majorBidi" w:cstheme="majorBidi"/>
          <w:vertAlign w:val="superscript"/>
        </w:rPr>
        <w:t>1</w:t>
      </w:r>
      <w:r>
        <w:rPr>
          <w:rFonts w:asciiTheme="majorBidi" w:hAnsiTheme="majorBidi" w:cstheme="majorBidi"/>
        </w:rPr>
        <w:t xml:space="preserve">Ethiopian civil service university, college of finance, management and development department of public financial management and accounting, P.O.Box 5648, Addis Ababa, </w:t>
      </w:r>
      <w:r>
        <w:rPr>
          <w:rFonts w:asciiTheme="majorBidi" w:hAnsiTheme="majorBidi" w:cstheme="majorBidi"/>
          <w:lang w:val="en-US"/>
        </w:rPr>
        <w:t>Ethiopia</w:t>
      </w:r>
    </w:p>
    <w:p w14:paraId="39421EAD">
      <w:pPr>
        <w:spacing w:line="276" w:lineRule="auto"/>
        <w:ind w:firstLine="0"/>
        <w:rPr>
          <w:rFonts w:asciiTheme="majorBidi" w:hAnsiTheme="majorBidi" w:cstheme="majorBidi"/>
        </w:rPr>
      </w:pPr>
      <w:r>
        <w:rPr>
          <w:rFonts w:asciiTheme="majorBidi" w:hAnsiTheme="majorBidi" w:cstheme="majorBidi"/>
        </w:rPr>
        <w:t xml:space="preserve">*Correspond Author </w:t>
      </w:r>
      <w:bookmarkStart w:id="81" w:name="_GoBack"/>
      <w:bookmarkEnd w:id="81"/>
    </w:p>
    <w:p w14:paraId="05A4D355">
      <w:pPr>
        <w:spacing w:line="276" w:lineRule="auto"/>
        <w:ind w:firstLine="0"/>
        <w:rPr>
          <w:rFonts w:asciiTheme="majorBidi" w:hAnsiTheme="majorBidi" w:cstheme="majorBidi"/>
        </w:rPr>
      </w:pPr>
      <w:r>
        <w:rPr>
          <w:rFonts w:asciiTheme="majorBidi" w:hAnsiTheme="majorBidi" w:cstheme="majorBidi"/>
        </w:rPr>
        <w:t xml:space="preserve">Emial: </w:t>
      </w:r>
      <w:r>
        <w:fldChar w:fldCharType="begin"/>
      </w:r>
      <w:r>
        <w:instrText xml:space="preserve"> HYPERLINK "mailto:Ismailabdihakim0@gmail.com" </w:instrText>
      </w:r>
      <w:r>
        <w:fldChar w:fldCharType="separate"/>
      </w:r>
      <w:r>
        <w:rPr>
          <w:rFonts w:hint="default"/>
          <w:lang w:val="en-US"/>
        </w:rPr>
        <w:t>moulid19900</w:t>
      </w:r>
      <w:r>
        <w:rPr>
          <w:rStyle w:val="26"/>
          <w:rFonts w:asciiTheme="majorBidi" w:hAnsiTheme="majorBidi" w:cstheme="majorBidi"/>
        </w:rPr>
        <w:t>0@gmail.com</w:t>
      </w:r>
      <w:r>
        <w:rPr>
          <w:rStyle w:val="26"/>
          <w:rFonts w:asciiTheme="majorBidi" w:hAnsiTheme="majorBidi" w:cstheme="majorBidi"/>
        </w:rPr>
        <w:fldChar w:fldCharType="end"/>
      </w:r>
      <w:r>
        <w:rPr>
          <w:rFonts w:asciiTheme="majorBidi" w:hAnsiTheme="majorBidi" w:cstheme="majorBidi"/>
        </w:rPr>
        <w:t xml:space="preserve"> </w:t>
      </w:r>
    </w:p>
    <w:p w14:paraId="0634BAEF">
      <w:pPr>
        <w:spacing w:line="276" w:lineRule="auto"/>
        <w:ind w:firstLine="0"/>
        <w:rPr>
          <w:rFonts w:asciiTheme="majorBidi" w:hAnsiTheme="majorBidi" w:cstheme="majorBidi"/>
        </w:rPr>
      </w:pPr>
    </w:p>
    <w:p w14:paraId="68A47959">
      <w:pPr>
        <w:pStyle w:val="4"/>
        <w:spacing w:line="276" w:lineRule="auto"/>
        <w:jc w:val="center"/>
        <w:rPr>
          <w:rFonts w:asciiTheme="majorBidi" w:hAnsiTheme="majorBidi"/>
          <w:sz w:val="24"/>
          <w:szCs w:val="24"/>
        </w:rPr>
      </w:pPr>
      <w:bookmarkStart w:id="0" w:name="_Toc136959546"/>
      <w:r>
        <w:rPr>
          <w:rFonts w:asciiTheme="majorBidi" w:hAnsiTheme="majorBidi"/>
          <w:sz w:val="24"/>
          <w:szCs w:val="24"/>
        </w:rPr>
        <w:t>Abstract</w:t>
      </w:r>
      <w:bookmarkEnd w:id="0"/>
    </w:p>
    <w:p w14:paraId="08D02ED7">
      <w:pPr>
        <w:spacing w:line="276" w:lineRule="auto"/>
        <w:ind w:firstLine="0"/>
        <w:rPr>
          <w:rFonts w:asciiTheme="majorBidi" w:hAnsiTheme="majorBidi" w:cstheme="majorBidi"/>
          <w:i/>
          <w:iCs/>
        </w:rPr>
      </w:pPr>
      <w:r>
        <w:rPr>
          <w:rFonts w:asciiTheme="majorBidi" w:hAnsiTheme="majorBidi" w:cstheme="majorBidi"/>
          <w:i/>
          <w:iCs/>
        </w:rPr>
        <w:t>The PFMRs seek to address gaps identified in the devolved systems of government and public organizations to remedy inadequate strategy orientation and lapsed strategy as well as to build on institutional transformation. The purpose of this study to investigate the effects of public financial management reforms on financial operations in the Ministry of Finance of Puntland State.. To achieve this purpose the researcher was formulated research objectives. This study adopted a descriptive survey design and multiple regression analysis where the population comprised of 120 respondents at the Ministry of finance headquarter. The researcher used primary and secondary sources to collect the data through the use of a questionnaire, which comprised of close-ended questions. The sample of this study was 92 who had taken from the target population for the survey.The study was guided by three objectives; To examine the effect of Political Commitment on financial operation, To examine the effect technical capacity of staff on financial operation and To examine the effect Donor support on financial operation in the ministry of finance in Puntland state, Somalia.The study found that Poor political commitment and lack of sufficient technical capacity were the most prevalent hindrances in the implementation of public financial management reforms. The study concludes that the role of donors support had significant effect on PFM reform. Despite the fact that donors were not fully funded the PFM reforms to implement successfully. The study recommended that the Puntland government have to create strong political commitment, should improve and adopt appropriate technical capacity enhancement to ensure the quality, reliability to achieve the implementation of PFM reform. Puntland State should allocate budget and special departments for the implementation of PFM reform to ensure the sustainability of the program.</w:t>
      </w:r>
    </w:p>
    <w:p w14:paraId="35A1A9F9">
      <w:pPr>
        <w:spacing w:line="276" w:lineRule="auto"/>
        <w:rPr>
          <w:rFonts w:asciiTheme="majorBidi" w:hAnsiTheme="majorBidi" w:cstheme="majorBidi"/>
          <w:i/>
          <w:iCs/>
        </w:rPr>
      </w:pPr>
    </w:p>
    <w:p w14:paraId="16029452">
      <w:pPr>
        <w:spacing w:line="276" w:lineRule="auto"/>
        <w:rPr>
          <w:rFonts w:asciiTheme="majorBidi" w:hAnsiTheme="majorBidi" w:cstheme="majorBidi"/>
          <w:b/>
          <w:bCs/>
          <w:i/>
          <w:iCs/>
          <w:lang w:val="en-US"/>
        </w:rPr>
      </w:pPr>
      <w:r>
        <w:rPr>
          <w:rFonts w:asciiTheme="majorBidi" w:hAnsiTheme="majorBidi" w:cstheme="majorBidi"/>
          <w:b/>
          <w:bCs/>
          <w:i/>
          <w:iCs/>
        </w:rPr>
        <w:t>Keywords: Public financial</w:t>
      </w:r>
      <w:r>
        <w:rPr>
          <w:rFonts w:asciiTheme="majorBidi" w:hAnsiTheme="majorBidi" w:cstheme="majorBidi"/>
          <w:b/>
          <w:bCs/>
          <w:i/>
          <w:iCs/>
          <w:spacing w:val="-5"/>
        </w:rPr>
        <w:t xml:space="preserve"> </w:t>
      </w:r>
      <w:r>
        <w:rPr>
          <w:rFonts w:asciiTheme="majorBidi" w:hAnsiTheme="majorBidi" w:cstheme="majorBidi"/>
          <w:b/>
          <w:bCs/>
          <w:i/>
          <w:iCs/>
        </w:rPr>
        <w:t>management,</w:t>
      </w:r>
      <w:r>
        <w:rPr>
          <w:rFonts w:asciiTheme="majorBidi" w:hAnsiTheme="majorBidi" w:cstheme="majorBidi"/>
          <w:b/>
          <w:bCs/>
          <w:i/>
          <w:iCs/>
          <w:spacing w:val="-2"/>
        </w:rPr>
        <w:t xml:space="preserve"> </w:t>
      </w:r>
      <w:r>
        <w:rPr>
          <w:rFonts w:asciiTheme="majorBidi" w:hAnsiTheme="majorBidi" w:cstheme="majorBidi"/>
          <w:b/>
          <w:bCs/>
          <w:i/>
          <w:iCs/>
        </w:rPr>
        <w:t>Political</w:t>
      </w:r>
      <w:r>
        <w:rPr>
          <w:rFonts w:asciiTheme="majorBidi" w:hAnsiTheme="majorBidi" w:cstheme="majorBidi"/>
          <w:b/>
          <w:bCs/>
          <w:i/>
          <w:iCs/>
          <w:spacing w:val="-9"/>
        </w:rPr>
        <w:t xml:space="preserve"> </w:t>
      </w:r>
      <w:r>
        <w:rPr>
          <w:rFonts w:asciiTheme="majorBidi" w:hAnsiTheme="majorBidi" w:cstheme="majorBidi"/>
          <w:b/>
          <w:bCs/>
          <w:i/>
          <w:iCs/>
        </w:rPr>
        <w:t>Commitment,</w:t>
      </w:r>
      <w:r>
        <w:rPr>
          <w:rFonts w:asciiTheme="majorBidi" w:hAnsiTheme="majorBidi" w:cstheme="majorBidi"/>
          <w:b/>
          <w:bCs/>
          <w:i/>
          <w:iCs/>
          <w:spacing w:val="-2"/>
        </w:rPr>
        <w:t xml:space="preserve"> </w:t>
      </w:r>
      <w:r>
        <w:rPr>
          <w:rFonts w:asciiTheme="majorBidi" w:hAnsiTheme="majorBidi" w:cstheme="majorBidi"/>
          <w:b/>
          <w:bCs/>
          <w:i/>
          <w:iCs/>
        </w:rPr>
        <w:t>Technical</w:t>
      </w:r>
      <w:r>
        <w:rPr>
          <w:rFonts w:asciiTheme="majorBidi" w:hAnsiTheme="majorBidi" w:cstheme="majorBidi"/>
          <w:b/>
          <w:bCs/>
          <w:i/>
          <w:iCs/>
          <w:spacing w:val="-4"/>
        </w:rPr>
        <w:t xml:space="preserve"> </w:t>
      </w:r>
      <w:r>
        <w:rPr>
          <w:rFonts w:asciiTheme="majorBidi" w:hAnsiTheme="majorBidi" w:cstheme="majorBidi"/>
          <w:b/>
          <w:bCs/>
          <w:i/>
          <w:iCs/>
        </w:rPr>
        <w:t>Capacity,</w:t>
      </w:r>
      <w:r>
        <w:rPr>
          <w:rFonts w:asciiTheme="majorBidi" w:hAnsiTheme="majorBidi" w:cstheme="majorBidi"/>
          <w:b/>
          <w:bCs/>
          <w:i/>
          <w:iCs/>
          <w:spacing w:val="-2"/>
        </w:rPr>
        <w:t xml:space="preserve"> </w:t>
      </w:r>
      <w:r>
        <w:rPr>
          <w:rFonts w:asciiTheme="majorBidi" w:hAnsiTheme="majorBidi" w:cstheme="majorBidi"/>
          <w:b/>
          <w:bCs/>
          <w:i/>
          <w:iCs/>
        </w:rPr>
        <w:t>and Donors support</w:t>
      </w:r>
      <w:r>
        <w:rPr>
          <w:rFonts w:asciiTheme="majorBidi" w:hAnsiTheme="majorBidi" w:cstheme="majorBidi"/>
          <w:b/>
          <w:bCs/>
          <w:i/>
          <w:iCs/>
          <w:lang w:val="en-US"/>
        </w:rPr>
        <w:t>.</w:t>
      </w:r>
    </w:p>
    <w:p w14:paraId="432D8C74">
      <w:pPr>
        <w:spacing w:line="276" w:lineRule="auto"/>
        <w:ind w:firstLine="0"/>
        <w:rPr>
          <w:rFonts w:asciiTheme="majorBidi" w:hAnsiTheme="majorBidi" w:cstheme="majorBidi"/>
          <w:lang w:val="en-US"/>
        </w:rPr>
      </w:pPr>
    </w:p>
    <w:p w14:paraId="75396664">
      <w:pPr>
        <w:pStyle w:val="3"/>
        <w:spacing w:line="276" w:lineRule="auto"/>
        <w:jc w:val="center"/>
        <w:rPr>
          <w:rFonts w:asciiTheme="majorBidi" w:hAnsiTheme="majorBidi"/>
          <w:sz w:val="24"/>
          <w:szCs w:val="24"/>
        </w:rPr>
      </w:pPr>
      <w:bookmarkStart w:id="1" w:name="_Toc136959550"/>
      <w:r>
        <w:rPr>
          <w:rFonts w:asciiTheme="majorBidi" w:hAnsiTheme="majorBidi"/>
          <w:sz w:val="24"/>
          <w:szCs w:val="24"/>
        </w:rPr>
        <w:t>Statement of the Problem</w:t>
      </w:r>
      <w:bookmarkEnd w:id="1"/>
    </w:p>
    <w:p w14:paraId="361A0583">
      <w:pPr>
        <w:spacing w:line="276" w:lineRule="auto"/>
        <w:rPr>
          <w:rFonts w:asciiTheme="majorBidi" w:hAnsiTheme="majorBidi" w:cstheme="majorBidi"/>
        </w:rPr>
      </w:pPr>
      <w:r>
        <w:rPr>
          <w:rFonts w:asciiTheme="majorBidi" w:hAnsiTheme="majorBidi" w:cstheme="majorBidi"/>
          <w:lang w:val="en-US"/>
        </w:rPr>
        <w:t>Buyer</w:t>
      </w:r>
      <w:r>
        <w:rPr>
          <w:rFonts w:asciiTheme="majorBidi" w:hAnsiTheme="majorBidi" w:cstheme="majorBidi"/>
        </w:rPr>
        <w:t xml:space="preserve"> and Woods, (2008) </w:t>
      </w:r>
      <w:r>
        <w:rPr>
          <w:rFonts w:asciiTheme="majorBidi" w:hAnsiTheme="majorBidi" w:cstheme="majorBidi"/>
          <w:lang w:val="en-US"/>
        </w:rPr>
        <w:t>define</w:t>
      </w:r>
      <w:r>
        <w:rPr>
          <w:rFonts w:asciiTheme="majorBidi" w:hAnsiTheme="majorBidi" w:cstheme="majorBidi"/>
        </w:rPr>
        <w:t xml:space="preserve"> public financial management as an area that focuses on the prioritization and use of scarce resources, on ensuring effective utilization of public resources, and on attaining value for money in meeting the objectives of Government and in particular delivering services to the people. </w:t>
      </w:r>
    </w:p>
    <w:p w14:paraId="1F523DBF">
      <w:pPr>
        <w:spacing w:line="276" w:lineRule="auto"/>
        <w:rPr>
          <w:rFonts w:asciiTheme="majorBidi" w:hAnsiTheme="majorBidi" w:cstheme="majorBidi"/>
        </w:rPr>
      </w:pPr>
      <w:r>
        <w:rPr>
          <w:rFonts w:asciiTheme="majorBidi" w:hAnsiTheme="majorBidi" w:cstheme="majorBidi"/>
        </w:rPr>
        <w:t>Public financial management is critical to improving the quality of public service outcomes. It affects how funding is used to address national and local priorities, the availability of resources for investment</w:t>
      </w:r>
      <w:r>
        <w:rPr>
          <w:rFonts w:asciiTheme="majorBidi" w:hAnsiTheme="majorBidi" w:cstheme="majorBidi"/>
          <w:lang w:val="en-US"/>
        </w:rPr>
        <w:t>,</w:t>
      </w:r>
      <w:r>
        <w:rPr>
          <w:rFonts w:asciiTheme="majorBidi" w:hAnsiTheme="majorBidi" w:cstheme="majorBidi"/>
        </w:rPr>
        <w:t xml:space="preserve"> and the </w:t>
      </w:r>
      <w:r>
        <w:rPr>
          <w:rFonts w:asciiTheme="majorBidi" w:hAnsiTheme="majorBidi" w:cstheme="majorBidi"/>
          <w:lang w:val="en-US"/>
        </w:rPr>
        <w:t>cost-effectiveness</w:t>
      </w:r>
      <w:r>
        <w:rPr>
          <w:rFonts w:asciiTheme="majorBidi" w:hAnsiTheme="majorBidi" w:cstheme="majorBidi"/>
        </w:rPr>
        <w:t xml:space="preserve"> of public services.</w:t>
      </w:r>
    </w:p>
    <w:p w14:paraId="311782FB">
      <w:pPr>
        <w:spacing w:line="276" w:lineRule="auto"/>
        <w:rPr>
          <w:rFonts w:asciiTheme="majorBidi" w:hAnsiTheme="majorBidi" w:cstheme="majorBidi"/>
        </w:rPr>
      </w:pPr>
      <w:r>
        <w:rPr>
          <w:rFonts w:asciiTheme="majorBidi" w:hAnsiTheme="majorBidi" w:cstheme="majorBidi"/>
          <w:lang w:val="en-US"/>
        </w:rPr>
        <w:t>Governments need to get</w:t>
      </w:r>
      <w:r>
        <w:rPr>
          <w:rFonts w:asciiTheme="majorBidi" w:hAnsiTheme="majorBidi" w:cstheme="majorBidi"/>
        </w:rPr>
        <w:t xml:space="preserve"> it right because it impacts a broad range of areas including aggregate financial management (fiscal sustainability, resource mobilization</w:t>
      </w:r>
      <w:r>
        <w:rPr>
          <w:rFonts w:asciiTheme="majorBidi" w:hAnsiTheme="majorBidi" w:cstheme="majorBidi"/>
          <w:lang w:val="en-US"/>
        </w:rPr>
        <w:t>,</w:t>
      </w:r>
      <w:r>
        <w:rPr>
          <w:rFonts w:asciiTheme="majorBidi" w:hAnsiTheme="majorBidi" w:cstheme="majorBidi"/>
        </w:rPr>
        <w:t xml:space="preserve"> and allocation), operational management (performance, </w:t>
      </w:r>
      <w:r>
        <w:rPr>
          <w:rFonts w:asciiTheme="majorBidi" w:hAnsiTheme="majorBidi" w:cstheme="majorBidi"/>
          <w:lang w:val="en-US"/>
        </w:rPr>
        <w:t>value-for-money,</w:t>
      </w:r>
      <w:r>
        <w:rPr>
          <w:rFonts w:asciiTheme="majorBidi" w:hAnsiTheme="majorBidi" w:cstheme="majorBidi"/>
        </w:rPr>
        <w:t xml:space="preserve"> and budget management), governance (transparency and accountability)</w:t>
      </w:r>
      <w:r>
        <w:rPr>
          <w:rFonts w:asciiTheme="majorBidi" w:hAnsiTheme="majorBidi" w:cstheme="majorBidi"/>
          <w:lang w:val="en-US"/>
        </w:rPr>
        <w:t>,</w:t>
      </w:r>
      <w:r>
        <w:rPr>
          <w:rFonts w:asciiTheme="majorBidi" w:hAnsiTheme="majorBidi" w:cstheme="majorBidi"/>
        </w:rPr>
        <w:t xml:space="preserve"> and fiduciary risk management (controls, compliance</w:t>
      </w:r>
      <w:r>
        <w:rPr>
          <w:rFonts w:asciiTheme="majorBidi" w:hAnsiTheme="majorBidi" w:cstheme="majorBidi"/>
          <w:lang w:val="en-US"/>
        </w:rPr>
        <w:t>,</w:t>
      </w:r>
      <w:r>
        <w:rPr>
          <w:rFonts w:asciiTheme="majorBidi" w:hAnsiTheme="majorBidi" w:cstheme="majorBidi"/>
        </w:rPr>
        <w:t xml:space="preserve"> and oversight)</w:t>
      </w:r>
      <w:sdt>
        <w:sdtPr>
          <w:rPr>
            <w:rFonts w:asciiTheme="majorBidi" w:hAnsiTheme="majorBidi" w:cstheme="majorBidi"/>
          </w:rPr>
          <w:id w:val="1245463553"/>
        </w:sdtPr>
        <w:sdtEndPr>
          <w:rPr>
            <w:rFonts w:asciiTheme="majorBidi" w:hAnsiTheme="majorBidi" w:cstheme="majorBidi"/>
          </w:rPr>
        </w:sdtEndPr>
        <w:sdtContent>
          <w:r>
            <w:rPr>
              <w:rFonts w:asciiTheme="majorBidi" w:hAnsiTheme="majorBidi" w:cstheme="majorBidi"/>
            </w:rPr>
            <w:fldChar w:fldCharType="begin"/>
          </w:r>
          <w:r>
            <w:rPr>
              <w:rFonts w:asciiTheme="majorBidi" w:hAnsiTheme="majorBidi" w:cstheme="majorBidi"/>
              <w:lang w:val="en-US"/>
            </w:rPr>
            <w:instrText xml:space="preserve">CITATION Jea10 \l 1033 </w:instrText>
          </w:r>
          <w:r>
            <w:rPr>
              <w:rFonts w:asciiTheme="majorBidi" w:hAnsiTheme="majorBidi" w:cstheme="majorBidi"/>
            </w:rPr>
            <w:fldChar w:fldCharType="separate"/>
          </w:r>
          <w:r>
            <w:rPr>
              <w:rFonts w:asciiTheme="majorBidi" w:hAnsiTheme="majorBidi" w:cstheme="majorBidi"/>
              <w:lang w:val="en-US"/>
            </w:rPr>
            <w:t xml:space="preserve"> (Hélis &amp; Daban, 2010)</w:t>
          </w:r>
          <w:r>
            <w:rPr>
              <w:rFonts w:asciiTheme="majorBidi" w:hAnsiTheme="majorBidi" w:cstheme="majorBidi"/>
            </w:rPr>
            <w:fldChar w:fldCharType="end"/>
          </w:r>
        </w:sdtContent>
      </w:sdt>
      <w:r>
        <w:rPr>
          <w:rFonts w:asciiTheme="majorBidi" w:hAnsiTheme="majorBidi" w:cstheme="majorBidi"/>
        </w:rPr>
        <w:t>.</w:t>
      </w:r>
    </w:p>
    <w:p w14:paraId="5EBB4201">
      <w:pPr>
        <w:spacing w:line="276" w:lineRule="auto"/>
        <w:rPr>
          <w:rFonts w:asciiTheme="majorBidi" w:hAnsiTheme="majorBidi" w:cstheme="majorBidi"/>
        </w:rPr>
      </w:pPr>
      <w:r>
        <w:rPr>
          <w:rFonts w:asciiTheme="majorBidi" w:hAnsiTheme="majorBidi" w:cstheme="majorBidi"/>
        </w:rPr>
        <w:t xml:space="preserve">In addition, effective public financial management is important for </w:t>
      </w:r>
      <w:r>
        <w:rPr>
          <w:rFonts w:asciiTheme="majorBidi" w:hAnsiTheme="majorBidi" w:cstheme="majorBidi"/>
          <w:lang w:val="en-US"/>
        </w:rPr>
        <w:t>decision-making</w:t>
      </w:r>
      <w:r>
        <w:rPr>
          <w:rFonts w:asciiTheme="majorBidi" w:hAnsiTheme="majorBidi" w:cstheme="majorBidi"/>
        </w:rPr>
        <w:t xml:space="preserve">. Accurate financial information is often used as </w:t>
      </w:r>
      <w:r>
        <w:rPr>
          <w:rFonts w:asciiTheme="majorBidi" w:hAnsiTheme="majorBidi" w:cstheme="majorBidi"/>
          <w:lang w:val="en-US"/>
        </w:rPr>
        <w:t>a</w:t>
      </w:r>
      <w:r>
        <w:rPr>
          <w:rFonts w:asciiTheme="majorBidi" w:hAnsiTheme="majorBidi" w:cstheme="majorBidi"/>
        </w:rPr>
        <w:t xml:space="preserve"> mechanism to support decisions and ensure effective resource allocations. Public financial management is a complex field with many new initiatives and relatively few successes to date. Implementing public financial management reform is a challenge in all countries, but to successfully mount and execute public financial management projects in </w:t>
      </w:r>
      <w:r>
        <w:rPr>
          <w:rFonts w:asciiTheme="majorBidi" w:hAnsiTheme="majorBidi" w:cstheme="majorBidi"/>
          <w:lang w:val="en-US"/>
        </w:rPr>
        <w:t>resource-constrained</w:t>
      </w:r>
      <w:r>
        <w:rPr>
          <w:rFonts w:asciiTheme="majorBidi" w:hAnsiTheme="majorBidi" w:cstheme="majorBidi"/>
        </w:rPr>
        <w:t xml:space="preserve"> countries; public financial management practices adopted should be the ones that are both effective and efficient</w:t>
      </w:r>
      <w:sdt>
        <w:sdtPr>
          <w:rPr>
            <w:rFonts w:asciiTheme="majorBidi" w:hAnsiTheme="majorBidi" w:cstheme="majorBidi"/>
          </w:rPr>
          <w:id w:val="1555812816"/>
        </w:sdtPr>
        <w:sdtEndPr>
          <w:rPr>
            <w:rFonts w:asciiTheme="majorBidi" w:hAnsiTheme="majorBidi" w:cstheme="majorBidi"/>
          </w:rPr>
        </w:sdtEndPr>
        <w:sdtContent>
          <w:r>
            <w:rPr>
              <w:rFonts w:asciiTheme="majorBidi" w:hAnsiTheme="majorBidi" w:cstheme="majorBidi"/>
            </w:rPr>
            <w:fldChar w:fldCharType="begin"/>
          </w:r>
          <w:r>
            <w:rPr>
              <w:rFonts w:asciiTheme="majorBidi" w:hAnsiTheme="majorBidi" w:cstheme="majorBidi"/>
            </w:rPr>
            <w:instrText xml:space="preserve">CITATION MrP17 \l 1033 </w:instrText>
          </w:r>
          <w:r>
            <w:rPr>
              <w:rFonts w:asciiTheme="majorBidi" w:hAnsiTheme="majorBidi" w:cstheme="majorBidi"/>
            </w:rPr>
            <w:fldChar w:fldCharType="separate"/>
          </w:r>
          <w:r>
            <w:rPr>
              <w:rFonts w:asciiTheme="majorBidi" w:hAnsiTheme="majorBidi" w:cstheme="majorBidi"/>
            </w:rPr>
            <w:t xml:space="preserve"> (Cheruiyot M. , 2017)</w:t>
          </w:r>
          <w:r>
            <w:rPr>
              <w:rFonts w:asciiTheme="majorBidi" w:hAnsiTheme="majorBidi" w:cstheme="majorBidi"/>
            </w:rPr>
            <w:fldChar w:fldCharType="end"/>
          </w:r>
        </w:sdtContent>
      </w:sdt>
      <w:r>
        <w:rPr>
          <w:rFonts w:asciiTheme="majorBidi" w:hAnsiTheme="majorBidi" w:cstheme="majorBidi"/>
        </w:rPr>
        <w:t>.</w:t>
      </w:r>
    </w:p>
    <w:p w14:paraId="50E0122E">
      <w:pPr>
        <w:spacing w:line="276" w:lineRule="auto"/>
        <w:rPr>
          <w:rFonts w:asciiTheme="majorBidi" w:hAnsiTheme="majorBidi" w:cstheme="majorBidi"/>
        </w:rPr>
      </w:pPr>
      <w:r>
        <w:rPr>
          <w:rFonts w:asciiTheme="majorBidi" w:hAnsiTheme="majorBidi" w:cstheme="majorBidi"/>
        </w:rPr>
        <w:t xml:space="preserve">In Somalia in general and </w:t>
      </w:r>
      <w:r>
        <w:rPr>
          <w:rFonts w:asciiTheme="majorBidi" w:hAnsiTheme="majorBidi" w:cstheme="majorBidi"/>
          <w:lang w:val="en-US"/>
        </w:rPr>
        <w:t xml:space="preserve">the </w:t>
      </w:r>
      <w:r>
        <w:rPr>
          <w:rFonts w:asciiTheme="majorBidi" w:hAnsiTheme="majorBidi" w:cstheme="majorBidi"/>
        </w:rPr>
        <w:t xml:space="preserve">Puntland State of Somalia in particular, Public Financial Management (PFM) is not functioning well, The Institutions and systems that </w:t>
      </w:r>
      <w:r>
        <w:rPr>
          <w:rFonts w:asciiTheme="majorBidi" w:hAnsiTheme="majorBidi" w:cstheme="majorBidi"/>
          <w:lang w:val="en-US"/>
        </w:rPr>
        <w:t>were</w:t>
      </w:r>
      <w:r>
        <w:rPr>
          <w:rFonts w:asciiTheme="majorBidi" w:hAnsiTheme="majorBidi" w:cstheme="majorBidi"/>
        </w:rPr>
        <w:t xml:space="preserve"> destroyed during the two decades of civil war have not yet been fully rebuilt and are thus not functioning effectively. The results have been a poorly controlled commitment of government resources, often resulting in a large buildup of arrears; alleged corruption, tax evictions, delays of government staff salaries, and misallocation of resources, undermining the effectiveness and efficiency of service delivery. Puntland has been relatively calm and has witnessed </w:t>
      </w:r>
      <w:r>
        <w:rPr>
          <w:rFonts w:asciiTheme="majorBidi" w:hAnsiTheme="majorBidi" w:cstheme="majorBidi"/>
          <w:lang w:val="en-US"/>
        </w:rPr>
        <w:t xml:space="preserve">a </w:t>
      </w:r>
      <w:r>
        <w:rPr>
          <w:rFonts w:asciiTheme="majorBidi" w:hAnsiTheme="majorBidi" w:cstheme="majorBidi"/>
        </w:rPr>
        <w:t xml:space="preserve">peaceful change of governments through elections However, </w:t>
      </w:r>
      <w:r>
        <w:rPr>
          <w:rFonts w:asciiTheme="majorBidi" w:hAnsiTheme="majorBidi" w:cstheme="majorBidi"/>
          <w:lang w:val="en-US"/>
        </w:rPr>
        <w:t>Puntland’s</w:t>
      </w:r>
      <w:r>
        <w:rPr>
          <w:rFonts w:asciiTheme="majorBidi" w:hAnsiTheme="majorBidi" w:cstheme="majorBidi"/>
        </w:rPr>
        <w:t xml:space="preserve"> public financial management reform strategy </w:t>
      </w:r>
      <w:r>
        <w:rPr>
          <w:rFonts w:asciiTheme="majorBidi" w:hAnsiTheme="majorBidi" w:cstheme="majorBidi"/>
          <w:lang w:val="en-US"/>
        </w:rPr>
        <w:t xml:space="preserve">has </w:t>
      </w:r>
      <w:r>
        <w:rPr>
          <w:rFonts w:asciiTheme="majorBidi" w:hAnsiTheme="majorBidi" w:cstheme="majorBidi"/>
        </w:rPr>
        <w:t xml:space="preserve">not </w:t>
      </w:r>
      <w:r>
        <w:rPr>
          <w:rFonts w:asciiTheme="majorBidi" w:hAnsiTheme="majorBidi" w:cstheme="majorBidi"/>
          <w:lang w:val="en-US"/>
        </w:rPr>
        <w:t xml:space="preserve">been </w:t>
      </w:r>
      <w:r>
        <w:rPr>
          <w:rFonts w:asciiTheme="majorBidi" w:hAnsiTheme="majorBidi" w:cstheme="majorBidi"/>
        </w:rPr>
        <w:t>implemented as planned</w:t>
      </w:r>
      <w:sdt>
        <w:sdtPr>
          <w:rPr>
            <w:rFonts w:asciiTheme="majorBidi" w:hAnsiTheme="majorBidi" w:cstheme="majorBidi"/>
          </w:rPr>
          <w:id w:val="482122936"/>
        </w:sdtPr>
        <w:sdtEndPr>
          <w:rPr>
            <w:rFonts w:asciiTheme="majorBidi" w:hAnsiTheme="majorBidi" w:cstheme="majorBidi"/>
          </w:rPr>
        </w:sdtEndPr>
        <w:sdtContent>
          <w:r>
            <w:rPr>
              <w:rFonts w:asciiTheme="majorBidi" w:hAnsiTheme="majorBidi" w:cstheme="majorBidi"/>
            </w:rPr>
            <w:fldChar w:fldCharType="begin"/>
          </w:r>
          <w:r>
            <w:rPr>
              <w:rFonts w:asciiTheme="majorBidi" w:hAnsiTheme="majorBidi" w:cstheme="majorBidi"/>
            </w:rPr>
            <w:instrText xml:space="preserve">CITATION Fad18 \l 1033 </w:instrText>
          </w:r>
          <w:r>
            <w:rPr>
              <w:rFonts w:asciiTheme="majorBidi" w:hAnsiTheme="majorBidi" w:cstheme="majorBidi"/>
            </w:rPr>
            <w:fldChar w:fldCharType="separate"/>
          </w:r>
          <w:r>
            <w:rPr>
              <w:rFonts w:asciiTheme="majorBidi" w:hAnsiTheme="majorBidi" w:cstheme="majorBidi"/>
            </w:rPr>
            <w:t xml:space="preserve"> (Mohamud, 2018)</w:t>
          </w:r>
          <w:r>
            <w:rPr>
              <w:rFonts w:asciiTheme="majorBidi" w:hAnsiTheme="majorBidi" w:cstheme="majorBidi"/>
            </w:rPr>
            <w:fldChar w:fldCharType="end"/>
          </w:r>
        </w:sdtContent>
      </w:sdt>
      <w:r>
        <w:rPr>
          <w:rFonts w:asciiTheme="majorBidi" w:hAnsiTheme="majorBidi" w:cstheme="majorBidi"/>
        </w:rPr>
        <w:t xml:space="preserve">. </w:t>
      </w:r>
    </w:p>
    <w:p w14:paraId="3F26452E">
      <w:pPr>
        <w:spacing w:line="276" w:lineRule="auto"/>
        <w:rPr>
          <w:rFonts w:asciiTheme="majorBidi" w:hAnsiTheme="majorBidi" w:cstheme="majorBidi"/>
        </w:rPr>
      </w:pPr>
      <w:r>
        <w:rPr>
          <w:rFonts w:asciiTheme="majorBidi" w:hAnsiTheme="majorBidi" w:cstheme="majorBidi"/>
        </w:rPr>
        <w:t xml:space="preserve">To promote accountability and financial management practices in Puntland state’s public sector, </w:t>
      </w:r>
      <w:r>
        <w:rPr>
          <w:rFonts w:asciiTheme="majorBidi" w:hAnsiTheme="majorBidi" w:cstheme="majorBidi"/>
          <w:lang w:val="en-US"/>
        </w:rPr>
        <w:t xml:space="preserve">the </w:t>
      </w:r>
      <w:r>
        <w:rPr>
          <w:rFonts w:asciiTheme="majorBidi" w:hAnsiTheme="majorBidi" w:cstheme="majorBidi"/>
        </w:rPr>
        <w:t xml:space="preserve">implementation of </w:t>
      </w:r>
      <w:r>
        <w:rPr>
          <w:rFonts w:asciiTheme="majorBidi" w:hAnsiTheme="majorBidi" w:cstheme="majorBidi"/>
          <w:lang w:val="en-US"/>
        </w:rPr>
        <w:t xml:space="preserve">the </w:t>
      </w:r>
      <w:r>
        <w:rPr>
          <w:rFonts w:asciiTheme="majorBidi" w:hAnsiTheme="majorBidi" w:cstheme="majorBidi"/>
        </w:rPr>
        <w:t>Integrated Financial Management Information System commenced in 2015. The system was meant to promote accountability and best financial management practices in the public sector and hence improve state corporations’ performance</w:t>
      </w:r>
      <w:sdt>
        <w:sdtPr>
          <w:rPr>
            <w:rFonts w:asciiTheme="majorBidi" w:hAnsiTheme="majorBidi" w:cstheme="majorBidi"/>
          </w:rPr>
          <w:id w:val="572161436"/>
        </w:sdtPr>
        <w:sdtEndPr>
          <w:rPr>
            <w:rFonts w:asciiTheme="majorBidi" w:hAnsiTheme="majorBidi" w:cstheme="majorBidi"/>
          </w:rPr>
        </w:sdtEndPr>
        <w:sdtContent>
          <w:r>
            <w:rPr>
              <w:rFonts w:asciiTheme="majorBidi" w:hAnsiTheme="majorBidi" w:cstheme="majorBidi"/>
            </w:rPr>
            <w:fldChar w:fldCharType="begin"/>
          </w:r>
          <w:r>
            <w:rPr>
              <w:rFonts w:asciiTheme="majorBidi" w:hAnsiTheme="majorBidi" w:cstheme="majorBidi"/>
            </w:rPr>
            <w:instrText xml:space="preserve">CITATION Fad18 \l 1033 </w:instrText>
          </w:r>
          <w:r>
            <w:rPr>
              <w:rFonts w:asciiTheme="majorBidi" w:hAnsiTheme="majorBidi" w:cstheme="majorBidi"/>
            </w:rPr>
            <w:fldChar w:fldCharType="separate"/>
          </w:r>
          <w:r>
            <w:rPr>
              <w:rFonts w:asciiTheme="majorBidi" w:hAnsiTheme="majorBidi" w:cstheme="majorBidi"/>
            </w:rPr>
            <w:t xml:space="preserve"> (Mohamud, 2018)</w:t>
          </w:r>
          <w:r>
            <w:rPr>
              <w:rFonts w:asciiTheme="majorBidi" w:hAnsiTheme="majorBidi" w:cstheme="majorBidi"/>
            </w:rPr>
            <w:fldChar w:fldCharType="end"/>
          </w:r>
        </w:sdtContent>
      </w:sdt>
      <w:r>
        <w:rPr>
          <w:rFonts w:asciiTheme="majorBidi" w:hAnsiTheme="majorBidi" w:cstheme="majorBidi"/>
        </w:rPr>
        <w:t>.</w:t>
      </w:r>
    </w:p>
    <w:p w14:paraId="3A38C0B7">
      <w:pPr>
        <w:spacing w:line="276" w:lineRule="auto"/>
        <w:rPr>
          <w:rFonts w:asciiTheme="majorBidi" w:hAnsiTheme="majorBidi" w:cstheme="majorBidi"/>
        </w:rPr>
      </w:pPr>
      <w:r>
        <w:rPr>
          <w:rFonts w:asciiTheme="majorBidi" w:hAnsiTheme="majorBidi" w:cstheme="majorBidi"/>
        </w:rPr>
        <w:t xml:space="preserve">The research project report seek to investigate the effects of public financial management reforms on financial operations in the </w:t>
      </w:r>
      <w:r>
        <w:rPr>
          <w:rFonts w:asciiTheme="majorBidi" w:hAnsiTheme="majorBidi" w:cstheme="majorBidi"/>
          <w:lang w:val="en-US"/>
        </w:rPr>
        <w:t>Ministry</w:t>
      </w:r>
      <w:r>
        <w:rPr>
          <w:rFonts w:asciiTheme="majorBidi" w:hAnsiTheme="majorBidi" w:cstheme="majorBidi"/>
        </w:rPr>
        <w:t xml:space="preserve"> of </w:t>
      </w:r>
      <w:r>
        <w:rPr>
          <w:rFonts w:asciiTheme="majorBidi" w:hAnsiTheme="majorBidi" w:cstheme="majorBidi"/>
          <w:lang w:val="en-US"/>
        </w:rPr>
        <w:t>Finance</w:t>
      </w:r>
      <w:r>
        <w:rPr>
          <w:rFonts w:asciiTheme="majorBidi" w:hAnsiTheme="majorBidi" w:cstheme="majorBidi"/>
        </w:rPr>
        <w:t xml:space="preserve"> as well as their implementation. In particular, the research project examine managing public finance and procurement; managing human resources; building institutions and measuring performance; and improving service delivery based on the successful implementation of IFMIS in Puntland’s state institutions.</w:t>
      </w:r>
    </w:p>
    <w:p w14:paraId="2E45FF81">
      <w:pPr>
        <w:pStyle w:val="3"/>
        <w:spacing w:line="276" w:lineRule="auto"/>
        <w:rPr>
          <w:rFonts w:asciiTheme="majorBidi" w:hAnsiTheme="majorBidi"/>
          <w:sz w:val="24"/>
          <w:szCs w:val="24"/>
        </w:rPr>
      </w:pPr>
      <w:bookmarkStart w:id="2" w:name="_Toc136959551"/>
      <w:r>
        <w:rPr>
          <w:rFonts w:asciiTheme="majorBidi" w:hAnsiTheme="majorBidi"/>
          <w:sz w:val="24"/>
          <w:szCs w:val="24"/>
        </w:rPr>
        <w:t xml:space="preserve"> Objective of the Study</w:t>
      </w:r>
      <w:bookmarkEnd w:id="2"/>
    </w:p>
    <w:p w14:paraId="4E67B53B">
      <w:pPr>
        <w:spacing w:line="276" w:lineRule="auto"/>
        <w:rPr>
          <w:rFonts w:asciiTheme="majorBidi" w:hAnsiTheme="majorBidi" w:cstheme="majorBidi"/>
        </w:rPr>
      </w:pPr>
      <w:r>
        <w:rPr>
          <w:rFonts w:asciiTheme="majorBidi" w:hAnsiTheme="majorBidi" w:cstheme="majorBidi"/>
        </w:rPr>
        <w:t xml:space="preserve">The study guiding the following objectives. </w:t>
      </w:r>
    </w:p>
    <w:p w14:paraId="7BA06934">
      <w:pPr>
        <w:pStyle w:val="4"/>
        <w:spacing w:line="276" w:lineRule="auto"/>
        <w:rPr>
          <w:rFonts w:asciiTheme="majorBidi" w:hAnsiTheme="majorBidi"/>
          <w:sz w:val="24"/>
          <w:szCs w:val="24"/>
        </w:rPr>
      </w:pPr>
      <w:bookmarkStart w:id="3" w:name="_Toc136959552"/>
      <w:r>
        <w:rPr>
          <w:rFonts w:asciiTheme="majorBidi" w:hAnsiTheme="majorBidi"/>
          <w:sz w:val="24"/>
          <w:szCs w:val="24"/>
        </w:rPr>
        <w:t xml:space="preserve"> General Objectives of the Study</w:t>
      </w:r>
      <w:bookmarkEnd w:id="3"/>
    </w:p>
    <w:p w14:paraId="53F0E8C0">
      <w:pPr>
        <w:pStyle w:val="27"/>
        <w:spacing w:line="276" w:lineRule="auto"/>
        <w:jc w:val="both"/>
        <w:rPr>
          <w:rFonts w:asciiTheme="majorBidi" w:hAnsiTheme="majorBidi" w:cstheme="majorBidi"/>
        </w:rPr>
      </w:pPr>
      <w:r>
        <w:rPr>
          <w:rFonts w:asciiTheme="majorBidi" w:hAnsiTheme="majorBidi" w:cstheme="majorBidi"/>
        </w:rPr>
        <w:t>The main purpose of this study to investigate the effects of public financial</w:t>
      </w:r>
      <w:r>
        <w:rPr>
          <w:rFonts w:asciiTheme="majorBidi" w:hAnsiTheme="majorBidi" w:cstheme="majorBidi"/>
          <w:lang w:val="en-US"/>
        </w:rPr>
        <w:t xml:space="preserve"> </w:t>
      </w:r>
      <w:r>
        <w:rPr>
          <w:rFonts w:asciiTheme="majorBidi" w:hAnsiTheme="majorBidi" w:cstheme="majorBidi"/>
        </w:rPr>
        <w:t xml:space="preserve">management reforms on financial operations in the </w:t>
      </w:r>
      <w:r>
        <w:rPr>
          <w:rFonts w:asciiTheme="majorBidi" w:hAnsiTheme="majorBidi" w:cstheme="majorBidi"/>
          <w:lang w:val="en-US"/>
        </w:rPr>
        <w:t>Ministry</w:t>
      </w:r>
      <w:r>
        <w:rPr>
          <w:rFonts w:asciiTheme="majorBidi" w:hAnsiTheme="majorBidi" w:cstheme="majorBidi"/>
        </w:rPr>
        <w:t xml:space="preserve"> of </w:t>
      </w:r>
      <w:r>
        <w:rPr>
          <w:rFonts w:asciiTheme="majorBidi" w:hAnsiTheme="majorBidi" w:cstheme="majorBidi"/>
          <w:lang w:val="en-US"/>
        </w:rPr>
        <w:t>Finance</w:t>
      </w:r>
      <w:r>
        <w:rPr>
          <w:rFonts w:asciiTheme="majorBidi" w:hAnsiTheme="majorBidi" w:cstheme="majorBidi"/>
        </w:rPr>
        <w:t xml:space="preserve"> of Puntland </w:t>
      </w:r>
      <w:r>
        <w:rPr>
          <w:rFonts w:asciiTheme="majorBidi" w:hAnsiTheme="majorBidi" w:cstheme="majorBidi"/>
          <w:lang w:val="en-US"/>
        </w:rPr>
        <w:t>State</w:t>
      </w:r>
      <w:r>
        <w:rPr>
          <w:rFonts w:asciiTheme="majorBidi" w:hAnsiTheme="majorBidi" w:cstheme="majorBidi"/>
        </w:rPr>
        <w:t>.</w:t>
      </w:r>
    </w:p>
    <w:p w14:paraId="5C1DE723">
      <w:pPr>
        <w:pStyle w:val="4"/>
        <w:spacing w:line="276" w:lineRule="auto"/>
        <w:rPr>
          <w:rFonts w:asciiTheme="majorBidi" w:hAnsiTheme="majorBidi"/>
          <w:sz w:val="24"/>
          <w:szCs w:val="24"/>
        </w:rPr>
      </w:pPr>
      <w:bookmarkStart w:id="4" w:name="_Toc136959553"/>
      <w:r>
        <w:rPr>
          <w:rFonts w:asciiTheme="majorBidi" w:hAnsiTheme="majorBidi"/>
          <w:sz w:val="24"/>
          <w:szCs w:val="24"/>
        </w:rPr>
        <w:t>Specific Objectives of the Study</w:t>
      </w:r>
      <w:bookmarkEnd w:id="4"/>
    </w:p>
    <w:p w14:paraId="02391E4F">
      <w:pPr>
        <w:pStyle w:val="27"/>
        <w:numPr>
          <w:ilvl w:val="0"/>
          <w:numId w:val="1"/>
        </w:numPr>
        <w:spacing w:line="276" w:lineRule="auto"/>
        <w:jc w:val="both"/>
        <w:rPr>
          <w:rFonts w:asciiTheme="majorBidi" w:hAnsiTheme="majorBidi" w:cstheme="majorBidi"/>
        </w:rPr>
      </w:pPr>
      <w:bookmarkStart w:id="5" w:name="_Ref136620516"/>
      <w:r>
        <w:rPr>
          <w:rFonts w:asciiTheme="majorBidi" w:hAnsiTheme="majorBidi" w:cstheme="majorBidi"/>
        </w:rPr>
        <w:t>To examine the effect of Political Commitment on financial operation in the ministry of finance in Puntland state, Somalia.</w:t>
      </w:r>
      <w:bookmarkEnd w:id="5"/>
    </w:p>
    <w:p w14:paraId="644C6216">
      <w:pPr>
        <w:pStyle w:val="27"/>
        <w:numPr>
          <w:ilvl w:val="0"/>
          <w:numId w:val="1"/>
        </w:numPr>
        <w:spacing w:line="276" w:lineRule="auto"/>
        <w:jc w:val="both"/>
        <w:rPr>
          <w:rFonts w:asciiTheme="majorBidi" w:hAnsiTheme="majorBidi" w:cstheme="majorBidi"/>
        </w:rPr>
      </w:pPr>
      <w:r>
        <w:rPr>
          <w:rFonts w:asciiTheme="majorBidi" w:hAnsiTheme="majorBidi" w:cstheme="majorBidi"/>
        </w:rPr>
        <w:t>To examine the effect technical capacity of staff on financial operation in the ministry of finance in Puntland state, Somalia</w:t>
      </w:r>
    </w:p>
    <w:p w14:paraId="615BD855">
      <w:pPr>
        <w:pStyle w:val="27"/>
        <w:numPr>
          <w:ilvl w:val="0"/>
          <w:numId w:val="1"/>
        </w:numPr>
        <w:spacing w:line="276" w:lineRule="auto"/>
        <w:jc w:val="both"/>
        <w:rPr>
          <w:rFonts w:asciiTheme="majorBidi" w:hAnsiTheme="majorBidi" w:cstheme="majorBidi"/>
        </w:rPr>
      </w:pPr>
      <w:r>
        <w:rPr>
          <w:rFonts w:asciiTheme="majorBidi" w:hAnsiTheme="majorBidi" w:cstheme="majorBidi"/>
        </w:rPr>
        <w:t>To examine the effect Donor support on financial operation in the ministry of finance in Puntland state, Somalia</w:t>
      </w:r>
    </w:p>
    <w:p w14:paraId="1B872CC4">
      <w:pPr>
        <w:pStyle w:val="3"/>
        <w:spacing w:line="276" w:lineRule="auto"/>
        <w:rPr>
          <w:rFonts w:asciiTheme="majorBidi" w:hAnsiTheme="majorBidi"/>
          <w:sz w:val="24"/>
          <w:szCs w:val="24"/>
        </w:rPr>
      </w:pPr>
      <w:bookmarkStart w:id="6" w:name="_Toc136959554"/>
      <w:r>
        <w:rPr>
          <w:rFonts w:asciiTheme="majorBidi" w:hAnsiTheme="majorBidi"/>
          <w:sz w:val="24"/>
          <w:szCs w:val="24"/>
        </w:rPr>
        <w:t xml:space="preserve"> Research Questions of the Study</w:t>
      </w:r>
      <w:bookmarkEnd w:id="6"/>
    </w:p>
    <w:p w14:paraId="2BCD26A8">
      <w:pPr>
        <w:pStyle w:val="27"/>
        <w:numPr>
          <w:ilvl w:val="0"/>
          <w:numId w:val="2"/>
        </w:numPr>
        <w:spacing w:line="276" w:lineRule="auto"/>
        <w:jc w:val="both"/>
        <w:rPr>
          <w:rFonts w:asciiTheme="majorBidi" w:hAnsiTheme="majorBidi" w:cstheme="majorBidi"/>
        </w:rPr>
      </w:pPr>
      <w:r>
        <w:rPr>
          <w:rFonts w:asciiTheme="majorBidi" w:hAnsiTheme="majorBidi" w:cstheme="majorBidi"/>
          <w:lang w:val="en-IN"/>
        </w:rPr>
        <w:t xml:space="preserve">What is the </w:t>
      </w:r>
      <w:r>
        <w:rPr>
          <w:rFonts w:asciiTheme="majorBidi" w:hAnsiTheme="majorBidi" w:cstheme="majorBidi"/>
        </w:rPr>
        <w:t>effect of Political Commitment on financial operation in the ministry of finance in Puntland state, Somalia</w:t>
      </w:r>
      <w:r>
        <w:rPr>
          <w:rFonts w:asciiTheme="majorBidi" w:hAnsiTheme="majorBidi" w:cstheme="majorBidi"/>
          <w:lang w:val="en-IN"/>
        </w:rPr>
        <w:t>?</w:t>
      </w:r>
    </w:p>
    <w:p w14:paraId="7850D17F">
      <w:pPr>
        <w:pStyle w:val="27"/>
        <w:numPr>
          <w:ilvl w:val="0"/>
          <w:numId w:val="2"/>
        </w:numPr>
        <w:spacing w:line="276" w:lineRule="auto"/>
        <w:jc w:val="both"/>
        <w:rPr>
          <w:rFonts w:asciiTheme="majorBidi" w:hAnsiTheme="majorBidi" w:cstheme="majorBidi"/>
        </w:rPr>
      </w:pPr>
      <w:r>
        <w:rPr>
          <w:rFonts w:asciiTheme="majorBidi" w:hAnsiTheme="majorBidi" w:cstheme="majorBidi"/>
          <w:lang w:val="en-IN"/>
        </w:rPr>
        <w:t>What is the</w:t>
      </w:r>
      <w:r>
        <w:rPr>
          <w:rFonts w:asciiTheme="majorBidi" w:hAnsiTheme="majorBidi" w:cstheme="majorBidi"/>
        </w:rPr>
        <w:t xml:space="preserve"> effect </w:t>
      </w:r>
      <w:r>
        <w:rPr>
          <w:rFonts w:asciiTheme="majorBidi" w:hAnsiTheme="majorBidi" w:cstheme="majorBidi"/>
          <w:lang w:val="en-IN"/>
        </w:rPr>
        <w:t xml:space="preserve">of </w:t>
      </w:r>
      <w:r>
        <w:rPr>
          <w:rFonts w:asciiTheme="majorBidi" w:hAnsiTheme="majorBidi" w:cstheme="majorBidi"/>
        </w:rPr>
        <w:t>technical capacity of staff on financial operation in the ministry of finance in Puntland state, Somalia</w:t>
      </w:r>
      <w:r>
        <w:rPr>
          <w:rFonts w:asciiTheme="majorBidi" w:hAnsiTheme="majorBidi" w:cstheme="majorBidi"/>
          <w:lang w:val="en-IN"/>
        </w:rPr>
        <w:t>?</w:t>
      </w:r>
    </w:p>
    <w:p w14:paraId="4F81E681">
      <w:pPr>
        <w:pStyle w:val="27"/>
        <w:numPr>
          <w:ilvl w:val="0"/>
          <w:numId w:val="2"/>
        </w:numPr>
        <w:spacing w:line="276" w:lineRule="auto"/>
        <w:jc w:val="both"/>
        <w:rPr>
          <w:rFonts w:asciiTheme="majorBidi" w:hAnsiTheme="majorBidi" w:cstheme="majorBidi"/>
        </w:rPr>
      </w:pPr>
      <w:r>
        <w:rPr>
          <w:rFonts w:asciiTheme="majorBidi" w:hAnsiTheme="majorBidi" w:cstheme="majorBidi"/>
        </w:rPr>
        <w:t xml:space="preserve">What is the </w:t>
      </w:r>
      <w:r>
        <w:rPr>
          <w:rFonts w:asciiTheme="majorBidi" w:hAnsiTheme="majorBidi" w:cstheme="majorBidi"/>
          <w:lang w:val="en-US"/>
        </w:rPr>
        <w:t>effect</w:t>
      </w:r>
      <w:r>
        <w:rPr>
          <w:rFonts w:asciiTheme="majorBidi" w:hAnsiTheme="majorBidi" w:cstheme="majorBidi"/>
        </w:rPr>
        <w:t xml:space="preserve"> of the Donors </w:t>
      </w:r>
      <w:r>
        <w:rPr>
          <w:rFonts w:asciiTheme="majorBidi" w:hAnsiTheme="majorBidi" w:cstheme="majorBidi"/>
          <w:lang w:val="en-US"/>
        </w:rPr>
        <w:t xml:space="preserve">on financial operations in the  </w:t>
      </w:r>
      <w:r>
        <w:rPr>
          <w:rFonts w:asciiTheme="majorBidi" w:hAnsiTheme="majorBidi" w:cstheme="majorBidi"/>
        </w:rPr>
        <w:t>Public Financial Management Reform in Puntland state?</w:t>
      </w:r>
    </w:p>
    <w:p w14:paraId="4574B5F5">
      <w:pPr>
        <w:pStyle w:val="3"/>
        <w:spacing w:line="276" w:lineRule="auto"/>
        <w:jc w:val="center"/>
        <w:rPr>
          <w:rFonts w:asciiTheme="majorBidi" w:hAnsiTheme="majorBidi"/>
          <w:sz w:val="24"/>
          <w:szCs w:val="24"/>
        </w:rPr>
      </w:pPr>
      <w:bookmarkStart w:id="7" w:name="_Toc136959555"/>
      <w:r>
        <w:rPr>
          <w:rFonts w:asciiTheme="majorBidi" w:hAnsiTheme="majorBidi"/>
          <w:sz w:val="24"/>
          <w:szCs w:val="24"/>
        </w:rPr>
        <w:t>Significance of the Study</w:t>
      </w:r>
      <w:bookmarkEnd w:id="7"/>
    </w:p>
    <w:p w14:paraId="297562B4">
      <w:pPr>
        <w:spacing w:line="276" w:lineRule="auto"/>
        <w:rPr>
          <w:rFonts w:asciiTheme="majorBidi" w:hAnsiTheme="majorBidi" w:cstheme="majorBidi"/>
        </w:rPr>
      </w:pPr>
      <w:r>
        <w:rPr>
          <w:rFonts w:asciiTheme="majorBidi" w:hAnsiTheme="majorBidi" w:cstheme="majorBidi"/>
        </w:rPr>
        <w:t xml:space="preserve">The findings of the study help the </w:t>
      </w:r>
      <w:r>
        <w:rPr>
          <w:rFonts w:asciiTheme="majorBidi" w:hAnsiTheme="majorBidi" w:cstheme="majorBidi"/>
          <w:lang w:val="en-US"/>
        </w:rPr>
        <w:t xml:space="preserve">Ministry of Finance </w:t>
      </w:r>
      <w:r>
        <w:rPr>
          <w:rFonts w:asciiTheme="majorBidi" w:hAnsiTheme="majorBidi" w:cstheme="majorBidi"/>
        </w:rPr>
        <w:t xml:space="preserve">in Puntland state. It focus on the public financial management reforms affecting the financial operations of the </w:t>
      </w:r>
      <w:r>
        <w:rPr>
          <w:rFonts w:asciiTheme="majorBidi" w:hAnsiTheme="majorBidi" w:cstheme="majorBidi"/>
          <w:lang w:val="en-US"/>
        </w:rPr>
        <w:t>Ministry</w:t>
      </w:r>
      <w:r>
        <w:rPr>
          <w:rFonts w:asciiTheme="majorBidi" w:hAnsiTheme="majorBidi" w:cstheme="majorBidi"/>
        </w:rPr>
        <w:t xml:space="preserve"> of </w:t>
      </w:r>
      <w:r>
        <w:rPr>
          <w:rFonts w:asciiTheme="majorBidi" w:hAnsiTheme="majorBidi" w:cstheme="majorBidi"/>
          <w:lang w:val="en-US"/>
        </w:rPr>
        <w:t>Finance</w:t>
      </w:r>
      <w:r>
        <w:rPr>
          <w:rFonts w:asciiTheme="majorBidi" w:hAnsiTheme="majorBidi" w:cstheme="majorBidi"/>
        </w:rPr>
        <w:t xml:space="preserve"> in Puntland. The findings of the study be essential to policymakers, donors, and literature in many ways. Firstly, the outcomes of the study provide vital information to the government and its agencies in the implementation of future reforms in public sector financial management. Second, the outcomes of the study also be useful to development partners interested in ensuring effectiveness and efficiency in public financial management. Finally, the study also contribute to the existing body of literature on public financial management reforms. Also, the study be used as a reference for future researchers in the area of financial operations and related fields, and it provide useful information to students who do research projects in the future.</w:t>
      </w:r>
      <w:r>
        <w:rPr>
          <w:rFonts w:asciiTheme="majorBidi" w:hAnsiTheme="majorBidi" w:cstheme="majorBidi"/>
        </w:rPr>
        <w:tab/>
      </w:r>
    </w:p>
    <w:p w14:paraId="187F772C">
      <w:pPr>
        <w:pStyle w:val="3"/>
        <w:spacing w:line="276" w:lineRule="auto"/>
        <w:ind w:firstLine="0"/>
        <w:rPr>
          <w:rFonts w:asciiTheme="majorBidi" w:hAnsiTheme="majorBidi"/>
          <w:sz w:val="24"/>
          <w:szCs w:val="24"/>
        </w:rPr>
      </w:pPr>
      <w:bookmarkStart w:id="8" w:name="_Toc136959556"/>
    </w:p>
    <w:p w14:paraId="48831271">
      <w:pPr>
        <w:pStyle w:val="3"/>
        <w:spacing w:line="276" w:lineRule="auto"/>
        <w:ind w:firstLine="0"/>
        <w:jc w:val="center"/>
        <w:rPr>
          <w:rFonts w:asciiTheme="majorBidi" w:hAnsiTheme="majorBidi"/>
          <w:sz w:val="24"/>
          <w:szCs w:val="24"/>
        </w:rPr>
      </w:pPr>
      <w:r>
        <w:rPr>
          <w:rFonts w:asciiTheme="majorBidi" w:hAnsiTheme="majorBidi"/>
          <w:sz w:val="24"/>
          <w:szCs w:val="24"/>
        </w:rPr>
        <w:t>Scope of the Study</w:t>
      </w:r>
      <w:bookmarkEnd w:id="8"/>
    </w:p>
    <w:p w14:paraId="67675210">
      <w:pPr>
        <w:spacing w:line="276" w:lineRule="auto"/>
        <w:rPr>
          <w:rFonts w:asciiTheme="majorBidi" w:hAnsiTheme="majorBidi" w:cstheme="majorBidi"/>
        </w:rPr>
      </w:pPr>
      <w:r>
        <w:rPr>
          <w:rFonts w:asciiTheme="majorBidi" w:hAnsiTheme="majorBidi" w:cstheme="majorBidi"/>
        </w:rPr>
        <w:t xml:space="preserve">The study concentrate on covering the </w:t>
      </w:r>
      <w:r>
        <w:rPr>
          <w:rFonts w:asciiTheme="majorBidi" w:hAnsiTheme="majorBidi" w:cstheme="majorBidi"/>
          <w:lang w:val="en-US"/>
        </w:rPr>
        <w:t>Ministry</w:t>
      </w:r>
      <w:r>
        <w:rPr>
          <w:rFonts w:asciiTheme="majorBidi" w:hAnsiTheme="majorBidi" w:cstheme="majorBidi"/>
        </w:rPr>
        <w:t xml:space="preserve"> of </w:t>
      </w:r>
      <w:r>
        <w:rPr>
          <w:rFonts w:asciiTheme="majorBidi" w:hAnsiTheme="majorBidi" w:cstheme="majorBidi"/>
          <w:lang w:val="en-US"/>
        </w:rPr>
        <w:t>Finance</w:t>
      </w:r>
      <w:r>
        <w:rPr>
          <w:rFonts w:asciiTheme="majorBidi" w:hAnsiTheme="majorBidi" w:cstheme="majorBidi"/>
        </w:rPr>
        <w:t xml:space="preserve"> in Puntland State, Somalia. The geographical scope of this study limited to Puntland's territorial boundaries </w:t>
      </w:r>
      <w:r>
        <w:rPr>
          <w:rFonts w:asciiTheme="majorBidi" w:hAnsiTheme="majorBidi" w:cstheme="majorBidi"/>
          <w:lang w:val="en-US"/>
        </w:rPr>
        <w:t>to</w:t>
      </w:r>
      <w:r>
        <w:rPr>
          <w:rFonts w:asciiTheme="majorBidi" w:hAnsiTheme="majorBidi" w:cstheme="majorBidi"/>
        </w:rPr>
        <w:t xml:space="preserve"> analyze PFM reform procedures in the Ministry of Finance, where the sample data obtained. In content, the study is about public financial management reforms that be carried out in the </w:t>
      </w:r>
      <w:r>
        <w:rPr>
          <w:rFonts w:asciiTheme="majorBidi" w:hAnsiTheme="majorBidi" w:cstheme="majorBidi"/>
          <w:lang w:val="en-US"/>
        </w:rPr>
        <w:t>Ministry</w:t>
      </w:r>
      <w:r>
        <w:rPr>
          <w:rFonts w:asciiTheme="majorBidi" w:hAnsiTheme="majorBidi" w:cstheme="majorBidi"/>
        </w:rPr>
        <w:t xml:space="preserve"> of </w:t>
      </w:r>
      <w:r>
        <w:rPr>
          <w:rFonts w:asciiTheme="majorBidi" w:hAnsiTheme="majorBidi" w:cstheme="majorBidi"/>
          <w:lang w:val="en-US"/>
        </w:rPr>
        <w:t>Finance</w:t>
      </w:r>
      <w:r>
        <w:rPr>
          <w:rFonts w:asciiTheme="majorBidi" w:hAnsiTheme="majorBidi" w:cstheme="majorBidi"/>
        </w:rPr>
        <w:t xml:space="preserve"> to examine the nature and type of systems put in place, their effectiveness, their contribution to achieving economic development, and the major challenges faced by the office, its employees, and other stakeholders </w:t>
      </w:r>
      <w:r>
        <w:rPr>
          <w:rFonts w:asciiTheme="majorBidi" w:hAnsiTheme="majorBidi" w:cstheme="majorBidi"/>
          <w:lang w:val="en-US"/>
        </w:rPr>
        <w:t>about</w:t>
      </w:r>
      <w:r>
        <w:rPr>
          <w:rFonts w:asciiTheme="majorBidi" w:hAnsiTheme="majorBidi" w:cstheme="majorBidi"/>
        </w:rPr>
        <w:t xml:space="preserve"> the implementation of effective PFM reforms in the ministry of finance of Puntland state, Somalia, and the study carried out from April to June 2023.</w:t>
      </w:r>
    </w:p>
    <w:p w14:paraId="5D3C6917">
      <w:pPr>
        <w:pStyle w:val="3"/>
        <w:spacing w:line="276" w:lineRule="auto"/>
        <w:ind w:firstLine="0"/>
        <w:jc w:val="center"/>
        <w:rPr>
          <w:rFonts w:asciiTheme="majorBidi" w:hAnsiTheme="majorBidi"/>
          <w:sz w:val="24"/>
          <w:szCs w:val="24"/>
        </w:rPr>
      </w:pPr>
      <w:bookmarkStart w:id="9" w:name="_Toc136959557"/>
      <w:r>
        <w:rPr>
          <w:rFonts w:asciiTheme="majorBidi" w:hAnsiTheme="majorBidi"/>
          <w:sz w:val="24"/>
          <w:szCs w:val="24"/>
        </w:rPr>
        <w:t>Limitations of the Study</w:t>
      </w:r>
      <w:bookmarkEnd w:id="9"/>
    </w:p>
    <w:p w14:paraId="719887D3">
      <w:pPr>
        <w:spacing w:line="276" w:lineRule="auto"/>
        <w:rPr>
          <w:rFonts w:asciiTheme="majorBidi" w:hAnsiTheme="majorBidi" w:cstheme="majorBidi"/>
        </w:rPr>
      </w:pPr>
      <w:r>
        <w:rPr>
          <w:rFonts w:asciiTheme="majorBidi" w:hAnsiTheme="majorBidi" w:cstheme="majorBidi"/>
        </w:rPr>
        <w:t xml:space="preserve">It's crucial to consider the </w:t>
      </w:r>
      <w:r>
        <w:rPr>
          <w:rFonts w:asciiTheme="majorBidi" w:hAnsiTheme="majorBidi" w:cstheme="majorBidi"/>
          <w:lang w:val="en-US"/>
        </w:rPr>
        <w:t>documentation</w:t>
      </w:r>
      <w:r>
        <w:rPr>
          <w:rFonts w:asciiTheme="majorBidi" w:hAnsiTheme="majorBidi" w:cstheme="majorBidi"/>
        </w:rPr>
        <w:t xml:space="preserve"> resource restrictions. Since public financial management reforms are a wide-ranging topic that touches on many aspects of governmental operations, this research did not fully address all aspects </w:t>
      </w:r>
      <w:r>
        <w:rPr>
          <w:rFonts w:asciiTheme="majorBidi" w:hAnsiTheme="majorBidi" w:cstheme="majorBidi"/>
          <w:lang w:val="en-US"/>
        </w:rPr>
        <w:t>of</w:t>
      </w:r>
      <w:r>
        <w:rPr>
          <w:rFonts w:asciiTheme="majorBidi" w:hAnsiTheme="majorBidi" w:cstheme="majorBidi"/>
        </w:rPr>
        <w:t xml:space="preserve"> the study's indicated aims.</w:t>
      </w:r>
      <w:r>
        <w:rPr>
          <w:rFonts w:asciiTheme="majorBidi" w:hAnsiTheme="majorBidi" w:cstheme="majorBidi"/>
        </w:rPr>
        <w:br w:type="textWrapping"/>
      </w:r>
      <w:r>
        <w:rPr>
          <w:rFonts w:asciiTheme="majorBidi" w:hAnsiTheme="majorBidi" w:cstheme="majorBidi"/>
        </w:rPr>
        <w:t xml:space="preserve">There were few studies on public financial reforms in Puntland, which made it difficult to access pertinent </w:t>
      </w:r>
      <w:r>
        <w:rPr>
          <w:rFonts w:asciiTheme="majorBidi" w:hAnsiTheme="majorBidi" w:cstheme="majorBidi"/>
          <w:lang w:val="en-US"/>
        </w:rPr>
        <w:t>effects</w:t>
      </w:r>
      <w:r>
        <w:rPr>
          <w:rFonts w:asciiTheme="majorBidi" w:hAnsiTheme="majorBidi" w:cstheme="majorBidi"/>
        </w:rPr>
        <w:t xml:space="preserve"> works about difficulties and respondents' perceptions of the state of current PFM reforms, in addition to additional reports, as Puntland's Ministry of Finance failed to create an efficient mechanism to keep track of earlier works and reporting on public financial management reform progress.</w:t>
      </w:r>
    </w:p>
    <w:p w14:paraId="0B2E32C5">
      <w:pPr>
        <w:pStyle w:val="3"/>
        <w:spacing w:line="276" w:lineRule="auto"/>
        <w:ind w:firstLine="0"/>
        <w:jc w:val="center"/>
        <w:rPr>
          <w:rFonts w:asciiTheme="majorBidi" w:hAnsiTheme="majorBidi"/>
          <w:sz w:val="24"/>
          <w:szCs w:val="24"/>
        </w:rPr>
      </w:pPr>
      <w:bookmarkStart w:id="10" w:name="_Toc136959582"/>
      <w:r>
        <w:rPr>
          <w:rFonts w:asciiTheme="majorBidi" w:hAnsiTheme="majorBidi"/>
          <w:sz w:val="24"/>
          <w:szCs w:val="24"/>
          <w:lang w:val="en-IN"/>
        </w:rPr>
        <w:t>literature Gap</w:t>
      </w:r>
      <w:bookmarkEnd w:id="10"/>
    </w:p>
    <w:p w14:paraId="065E6F90">
      <w:pPr>
        <w:spacing w:line="276" w:lineRule="auto"/>
        <w:rPr>
          <w:rFonts w:asciiTheme="majorBidi" w:hAnsiTheme="majorBidi" w:cstheme="majorBidi"/>
        </w:rPr>
      </w:pPr>
      <w:r>
        <w:rPr>
          <w:rFonts w:asciiTheme="majorBidi" w:hAnsiTheme="majorBidi" w:cstheme="majorBidi"/>
        </w:rPr>
        <w:t xml:space="preserve">This literature brought out critical issues on public financial management in </w:t>
      </w:r>
      <w:r>
        <w:rPr>
          <w:rFonts w:asciiTheme="majorBidi" w:hAnsiTheme="majorBidi" w:cstheme="majorBidi"/>
          <w:lang w:val="en-US"/>
        </w:rPr>
        <w:t xml:space="preserve">the Ministry </w:t>
      </w:r>
      <w:r>
        <w:rPr>
          <w:rFonts w:asciiTheme="majorBidi" w:hAnsiTheme="majorBidi" w:cstheme="majorBidi"/>
        </w:rPr>
        <w:t xml:space="preserve">of </w:t>
      </w:r>
      <w:r>
        <w:rPr>
          <w:rFonts w:asciiTheme="majorBidi" w:hAnsiTheme="majorBidi" w:cstheme="majorBidi"/>
          <w:lang w:val="en-US"/>
        </w:rPr>
        <w:t>Finance</w:t>
      </w:r>
      <w:r>
        <w:rPr>
          <w:rFonts w:asciiTheme="majorBidi" w:hAnsiTheme="majorBidi" w:cstheme="majorBidi"/>
        </w:rPr>
        <w:t xml:space="preserve"> of Puntland state of Somalia. First, it is argued that public financial</w:t>
      </w:r>
      <w:r>
        <w:rPr>
          <w:rFonts w:asciiTheme="majorBidi" w:hAnsiTheme="majorBidi" w:cstheme="majorBidi"/>
          <w:lang w:val="en-US"/>
        </w:rPr>
        <w:t xml:space="preserve"> </w:t>
      </w:r>
      <w:r>
        <w:rPr>
          <w:rFonts w:asciiTheme="majorBidi" w:hAnsiTheme="majorBidi" w:cstheme="majorBidi"/>
        </w:rPr>
        <w:t>management practices such as financial planning and budgeting, internal control, public</w:t>
      </w:r>
      <w:r>
        <w:rPr>
          <w:rFonts w:asciiTheme="majorBidi" w:hAnsiTheme="majorBidi" w:cstheme="majorBidi"/>
          <w:lang w:val="en-US"/>
        </w:rPr>
        <w:t xml:space="preserve"> </w:t>
      </w:r>
      <w:r>
        <w:rPr>
          <w:rFonts w:asciiTheme="majorBidi" w:hAnsiTheme="majorBidi" w:cstheme="majorBidi"/>
        </w:rPr>
        <w:t>finance procurement, revenue mobilization as well as public financial governance plays a</w:t>
      </w:r>
      <w:r>
        <w:rPr>
          <w:rFonts w:asciiTheme="majorBidi" w:hAnsiTheme="majorBidi" w:cstheme="majorBidi"/>
          <w:lang w:val="en-US"/>
        </w:rPr>
        <w:t xml:space="preserve"> </w:t>
      </w:r>
      <w:r>
        <w:rPr>
          <w:rFonts w:asciiTheme="majorBidi" w:hAnsiTheme="majorBidi" w:cstheme="majorBidi"/>
        </w:rPr>
        <w:t>crucial role</w:t>
      </w:r>
      <w:r>
        <w:rPr>
          <w:rFonts w:asciiTheme="majorBidi" w:hAnsiTheme="majorBidi" w:cstheme="majorBidi"/>
          <w:lang w:val="en-US"/>
        </w:rPr>
        <w:t xml:space="preserve"> </w:t>
      </w:r>
      <w:r>
        <w:rPr>
          <w:rFonts w:asciiTheme="majorBidi" w:hAnsiTheme="majorBidi" w:cstheme="majorBidi"/>
        </w:rPr>
        <w:t>in enabling public authorities to control public funds giving taxpayers value</w:t>
      </w:r>
      <w:r>
        <w:rPr>
          <w:rFonts w:asciiTheme="majorBidi" w:hAnsiTheme="majorBidi" w:cstheme="majorBidi"/>
          <w:lang w:val="en-US"/>
        </w:rPr>
        <w:t xml:space="preserve"> </w:t>
      </w:r>
      <w:r>
        <w:rPr>
          <w:rFonts w:asciiTheme="majorBidi" w:hAnsiTheme="majorBidi" w:cstheme="majorBidi"/>
        </w:rPr>
        <w:t>for money,</w:t>
      </w:r>
      <w:r>
        <w:rPr>
          <w:rFonts w:asciiTheme="majorBidi" w:hAnsiTheme="majorBidi" w:cstheme="majorBidi"/>
          <w:lang w:val="en-US"/>
        </w:rPr>
        <w:t xml:space="preserve"> </w:t>
      </w:r>
      <w:r>
        <w:rPr>
          <w:rFonts w:asciiTheme="majorBidi" w:hAnsiTheme="majorBidi" w:cstheme="majorBidi"/>
        </w:rPr>
        <w:t>improving the quality of government service delivery and permitting better</w:t>
      </w:r>
      <w:r>
        <w:rPr>
          <w:rFonts w:asciiTheme="majorBidi" w:hAnsiTheme="majorBidi" w:cstheme="majorBidi"/>
          <w:lang w:val="en-US"/>
        </w:rPr>
        <w:t xml:space="preserve"> </w:t>
      </w:r>
      <w:r>
        <w:rPr>
          <w:rFonts w:asciiTheme="majorBidi" w:hAnsiTheme="majorBidi" w:cstheme="majorBidi"/>
        </w:rPr>
        <w:t xml:space="preserve">allocation of resources. Until recently, </w:t>
      </w:r>
      <w:r>
        <w:rPr>
          <w:rFonts w:asciiTheme="majorBidi" w:hAnsiTheme="majorBidi" w:cstheme="majorBidi"/>
          <w:lang w:val="en-US"/>
        </w:rPr>
        <w:t>the effect</w:t>
      </w:r>
      <w:r>
        <w:rPr>
          <w:rFonts w:asciiTheme="majorBidi" w:hAnsiTheme="majorBidi" w:cstheme="majorBidi"/>
        </w:rPr>
        <w:t xml:space="preserve"> of PFM reform progress has been</w:t>
      </w:r>
      <w:r>
        <w:rPr>
          <w:rFonts w:asciiTheme="majorBidi" w:hAnsiTheme="majorBidi" w:cstheme="majorBidi"/>
          <w:lang w:val="en-US"/>
        </w:rPr>
        <w:t xml:space="preserve"> </w:t>
      </w:r>
      <w:r>
        <w:rPr>
          <w:rFonts w:asciiTheme="majorBidi" w:hAnsiTheme="majorBidi" w:cstheme="majorBidi"/>
        </w:rPr>
        <w:t>hampered by the lack of</w:t>
      </w:r>
      <w:r>
        <w:rPr>
          <w:rFonts w:asciiTheme="majorBidi" w:hAnsiTheme="majorBidi" w:cstheme="majorBidi"/>
          <w:lang w:val="en-US"/>
        </w:rPr>
        <w:t xml:space="preserve"> </w:t>
      </w:r>
      <w:r>
        <w:rPr>
          <w:rFonts w:asciiTheme="majorBidi" w:hAnsiTheme="majorBidi" w:cstheme="majorBidi"/>
        </w:rPr>
        <w:t>performance-based indicators.</w:t>
      </w:r>
    </w:p>
    <w:p w14:paraId="6FEA9010">
      <w:pPr>
        <w:pStyle w:val="3"/>
        <w:spacing w:line="276" w:lineRule="auto"/>
        <w:rPr>
          <w:rFonts w:asciiTheme="majorBidi" w:hAnsiTheme="majorBidi"/>
          <w:sz w:val="24"/>
          <w:szCs w:val="24"/>
        </w:rPr>
      </w:pPr>
      <w:r>
        <w:rPr>
          <w:rFonts w:asciiTheme="majorBidi" w:hAnsiTheme="majorBidi"/>
          <w:sz w:val="24"/>
          <w:szCs w:val="24"/>
        </w:rPr>
        <w:t xml:space="preserve"> </w:t>
      </w:r>
      <w:bookmarkStart w:id="11" w:name="_Toc136959583"/>
      <w:r>
        <w:rPr>
          <w:rFonts w:asciiTheme="majorBidi" w:hAnsiTheme="majorBidi"/>
          <w:sz w:val="24"/>
          <w:szCs w:val="24"/>
        </w:rPr>
        <w:t>Conceptual Framework</w:t>
      </w:r>
      <w:bookmarkEnd w:id="11"/>
      <w:r>
        <w:rPr>
          <w:rFonts w:asciiTheme="majorBidi" w:hAnsiTheme="majorBidi"/>
          <w:sz w:val="24"/>
          <w:szCs w:val="24"/>
        </w:rPr>
        <w:t xml:space="preserve"> </w:t>
      </w:r>
    </w:p>
    <w:p w14:paraId="14A59F91">
      <w:pPr>
        <w:spacing w:line="276" w:lineRule="auto"/>
        <w:rPr>
          <w:rFonts w:asciiTheme="majorBidi" w:hAnsiTheme="majorBidi" w:cstheme="majorBidi"/>
          <w:b/>
          <w:bCs/>
        </w:rPr>
      </w:pPr>
      <w:r>
        <w:rPr>
          <w:rFonts w:asciiTheme="majorBidi" w:hAnsiTheme="majorBidi" w:cstheme="majorBidi"/>
          <w:b/>
          <w:bCs/>
        </w:rPr>
        <w:t>Dependent Variable Independent Variable</w:t>
      </w:r>
    </w:p>
    <w:p w14:paraId="30E743E3">
      <w:pPr>
        <w:spacing w:line="276" w:lineRule="auto"/>
        <w:ind w:firstLine="0"/>
        <w:rPr>
          <w:rFonts w:asciiTheme="majorBidi" w:hAnsiTheme="majorBidi" w:cstheme="majorBidi"/>
          <w:lang w:val="en-US"/>
        </w:rPr>
      </w:pPr>
      <w:r>
        <w:rPr>
          <w:rFonts w:asciiTheme="majorBidi" w:hAnsiTheme="majorBidi" w:cstheme="majorBidi"/>
          <w:lang w:val="en-US"/>
        </w:rPr>
        <mc:AlternateContent>
          <mc:Choice Requires="wps">
            <w:drawing>
              <wp:anchor distT="0" distB="0" distL="114300" distR="114300" simplePos="0" relativeHeight="251665408" behindDoc="0" locked="0" layoutInCell="1" allowOverlap="1">
                <wp:simplePos x="0" y="0"/>
                <wp:positionH relativeFrom="column">
                  <wp:posOffset>1747520</wp:posOffset>
                </wp:positionH>
                <wp:positionV relativeFrom="paragraph">
                  <wp:posOffset>241300</wp:posOffset>
                </wp:positionV>
                <wp:extent cx="2039620" cy="193040"/>
                <wp:effectExtent l="114300" t="38100" r="0" b="54610"/>
                <wp:wrapNone/>
                <wp:docPr id="5" name="Arrow: Left 15"/>
                <wp:cNvGraphicFramePr/>
                <a:graphic xmlns:a="http://schemas.openxmlformats.org/drawingml/2006/main">
                  <a:graphicData uri="http://schemas.microsoft.com/office/word/2010/wordprocessingShape">
                    <wps:wsp>
                      <wps:cNvSpPr>
                        <a:spLocks noChangeArrowheads="1"/>
                      </wps:cNvSpPr>
                      <wps:spPr bwMode="auto">
                        <a:xfrm flipV="1">
                          <a:off x="0" y="0"/>
                          <a:ext cx="2039620" cy="193040"/>
                        </a:xfrm>
                        <a:prstGeom prst="leftArrow">
                          <a:avLst>
                            <a:gd name="adj1" fmla="val 50000"/>
                            <a:gd name="adj2" fmla="val 264145"/>
                          </a:avLst>
                        </a:prstGeom>
                        <a:solidFill>
                          <a:schemeClr val="accent4">
                            <a:lumMod val="100000"/>
                            <a:lumOff val="0"/>
                          </a:schemeClr>
                        </a:solidFill>
                        <a:ln w="38100">
                          <a:solidFill>
                            <a:schemeClr val="lt1">
                              <a:lumMod val="95000"/>
                              <a:lumOff val="0"/>
                            </a:schemeClr>
                          </a:solidFill>
                          <a:miter lim="800000"/>
                        </a:ln>
                        <a:effectLst>
                          <a:outerShdw dist="28398" dir="3806097" algn="ctr" rotWithShape="0">
                            <a:schemeClr val="accent4">
                              <a:lumMod val="50000"/>
                              <a:lumOff val="0"/>
                              <a:alpha val="50000"/>
                            </a:schemeClr>
                          </a:outerShdw>
                        </a:effectLst>
                      </wps:spPr>
                      <wps:bodyPr rot="0" vert="horz" wrap="square" lIns="91440" tIns="45720" rIns="91440" bIns="45720" anchor="t" anchorCtr="0" upright="1">
                        <a:noAutofit/>
                      </wps:bodyPr>
                    </wps:wsp>
                  </a:graphicData>
                </a:graphic>
              </wp:anchor>
            </w:drawing>
          </mc:Choice>
          <mc:Fallback>
            <w:pict>
              <v:shape id="Arrow: Left 15" o:spid="_x0000_s1026" o:spt="66" type="#_x0000_t66" style="position:absolute;left:0pt;flip:y;margin-left:137.6pt;margin-top:19pt;height:15.2pt;width:160.6pt;z-index:251665408;mso-width-relative:page;mso-height-relative:page;" fillcolor="#FFC000 [3223]" filled="t" stroked="t" coordsize="21600,21600" o:gfxdata="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DNMm1p2AAA&#10;AAkBAAAPAAAAAAAAAAEAIAAAACIAAABkcnMvZG93bnJldi54bWxQSwECFAAUAAAACACHTuJAT68s&#10;iskCAAATBgAADgAAAAAAAAABACAAAAAnAQAAZHJzL2Uyb0RvYy54bWxQSwUGAAAAAAYABgBZAQAA&#10;YgYAAAAA&#10;" adj="5400,5400">
                <v:fill on="t" focussize="0,0"/>
                <v:stroke weight="3pt" color="#F2F2F2 [3201]" miterlimit="8" joinstyle="miter"/>
                <v:imagedata o:title=""/>
                <o:lock v:ext="edit" aspectratio="f"/>
                <v:shadow on="t" color="#806000 [3207]" opacity="32768f" offset="1pt,2pt" origin="0f,0f" matrix="65536f,0f,0f,65536f"/>
              </v:shape>
            </w:pict>
          </mc:Fallback>
        </mc:AlternateContent>
      </w:r>
      <w:r>
        <w:rPr>
          <w:rFonts w:asciiTheme="majorBidi" w:hAnsiTheme="majorBidi" w:cstheme="majorBidi"/>
          <w:lang w:val="en-US"/>
        </w:rPr>
        <mc:AlternateContent>
          <mc:Choice Requires="wps">
            <w:drawing>
              <wp:anchor distT="0" distB="0" distL="114300" distR="114300" simplePos="0" relativeHeight="251659264" behindDoc="0" locked="0" layoutInCell="1" allowOverlap="1">
                <wp:simplePos x="0" y="0"/>
                <wp:positionH relativeFrom="column">
                  <wp:posOffset>-403860</wp:posOffset>
                </wp:positionH>
                <wp:positionV relativeFrom="paragraph">
                  <wp:posOffset>241300</wp:posOffset>
                </wp:positionV>
                <wp:extent cx="2179320" cy="1158240"/>
                <wp:effectExtent l="0" t="0" r="11430" b="22860"/>
                <wp:wrapNone/>
                <wp:docPr id="11" name="Rectangle 13"/>
                <wp:cNvGraphicFramePr/>
                <a:graphic xmlns:a="http://schemas.openxmlformats.org/drawingml/2006/main">
                  <a:graphicData uri="http://schemas.microsoft.com/office/word/2010/wordprocessingShape">
                    <wps:wsp>
                      <wps:cNvSpPr/>
                      <wps:spPr>
                        <a:xfrm>
                          <a:off x="0" y="0"/>
                          <a:ext cx="2179320" cy="1158240"/>
                        </a:xfrm>
                        <a:prstGeom prst="rect">
                          <a:avLst/>
                        </a:prstGeom>
                      </wps:spPr>
                      <wps:style>
                        <a:lnRef idx="2">
                          <a:schemeClr val="accent6">
                            <a:shade val="50000"/>
                          </a:schemeClr>
                        </a:lnRef>
                        <a:fillRef idx="1">
                          <a:schemeClr val="accent6"/>
                        </a:fillRef>
                        <a:effectRef idx="0">
                          <a:schemeClr val="accent6"/>
                        </a:effectRef>
                        <a:fontRef idx="minor">
                          <a:schemeClr val="lt1"/>
                        </a:fontRef>
                      </wps:style>
                      <wps:txbx>
                        <w:txbxContent>
                          <w:p w14:paraId="4DF9A63E">
                            <w:pPr>
                              <w:ind w:firstLine="0"/>
                            </w:pPr>
                            <w:r>
                              <w:rPr>
                                <w:b/>
                                <w:bCs/>
                                <w:sz w:val="28"/>
                                <w:szCs w:val="28"/>
                              </w:rPr>
                              <w:t>Financial Operations</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13" o:spid="_x0000_s1026" o:spt="1" style="position:absolute;left:0pt;margin-left:-31.8pt;margin-top:19pt;height:91.2pt;width:171.6pt;z-index:251659264;v-text-anchor:middle;mso-width-relative:page;mso-height-relative:page;" fillcolor="#70AD47 [3209]" filled="t" stroked="t" coordsize="21600,21600" o:gfxdata="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">
                <v:fill on="t" focussize="0,0"/>
                <v:stroke weight="1pt" color="#507E32 [3209]" miterlimit="8" joinstyle="miter"/>
                <v:imagedata o:title=""/>
                <o:lock v:ext="edit" aspectratio="f"/>
                <v:textbox>
                  <w:txbxContent>
                    <w:p w14:paraId="4DF9A63E">
                      <w:pPr>
                        <w:ind w:firstLine="0"/>
                      </w:pPr>
                      <w:r>
                        <w:rPr>
                          <w:b/>
                          <w:bCs/>
                          <w:sz w:val="28"/>
                          <w:szCs w:val="28"/>
                        </w:rPr>
                        <w:t>Financial Operations</w:t>
                      </w:r>
                    </w:p>
                  </w:txbxContent>
                </v:textbox>
              </v:rect>
            </w:pict>
          </mc:Fallback>
        </mc:AlternateContent>
      </w:r>
      <w:r>
        <w:rPr>
          <w:rFonts w:asciiTheme="majorBidi" w:hAnsiTheme="majorBidi" w:cstheme="majorBidi"/>
          <w:lang w:val="en-US"/>
        </w:rPr>
        <mc:AlternateContent>
          <mc:Choice Requires="wps">
            <w:drawing>
              <wp:anchor distT="0" distB="0" distL="114300" distR="114300" simplePos="0" relativeHeight="251660288" behindDoc="0" locked="0" layoutInCell="1" allowOverlap="1">
                <wp:simplePos x="0" y="0"/>
                <wp:positionH relativeFrom="column">
                  <wp:posOffset>3794760</wp:posOffset>
                </wp:positionH>
                <wp:positionV relativeFrom="paragraph">
                  <wp:posOffset>181610</wp:posOffset>
                </wp:positionV>
                <wp:extent cx="1859280" cy="388620"/>
                <wp:effectExtent l="0" t="0" r="26670" b="11430"/>
                <wp:wrapNone/>
                <wp:docPr id="12" name="Rectangle 12"/>
                <wp:cNvGraphicFramePr/>
                <a:graphic xmlns:a="http://schemas.openxmlformats.org/drawingml/2006/main">
                  <a:graphicData uri="http://schemas.microsoft.com/office/word/2010/wordprocessingShape">
                    <wps:wsp>
                      <wps:cNvSpPr/>
                      <wps:spPr>
                        <a:xfrm>
                          <a:off x="0" y="0"/>
                          <a:ext cx="1859280" cy="388620"/>
                        </a:xfrm>
                        <a:prstGeom prst="rect">
                          <a:avLst/>
                        </a:prstGeom>
                      </wps:spPr>
                      <wps:style>
                        <a:lnRef idx="2">
                          <a:schemeClr val="accent4">
                            <a:shade val="50000"/>
                          </a:schemeClr>
                        </a:lnRef>
                        <a:fillRef idx="1">
                          <a:schemeClr val="accent4"/>
                        </a:fillRef>
                        <a:effectRef idx="0">
                          <a:schemeClr val="accent4"/>
                        </a:effectRef>
                        <a:fontRef idx="minor">
                          <a:schemeClr val="lt1"/>
                        </a:fontRef>
                      </wps:style>
                      <wps:txbx>
                        <w:txbxContent>
                          <w:p w14:paraId="7D6B78A7">
                            <w:pPr>
                              <w:ind w:firstLine="0"/>
                              <w:rPr>
                                <w:lang w:val="en-US"/>
                              </w:rPr>
                            </w:pPr>
                            <w:r>
                              <w:rPr>
                                <w:b/>
                                <w:bCs/>
                              </w:rPr>
                              <w:t>Political Commitment</w:t>
                            </w:r>
                          </w:p>
                          <w:p w14:paraId="1F00A099">
                            <w:pPr>
                              <w:ind w:firstLine="0"/>
                              <w:rPr>
                                <w:lang w:val="en-US"/>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12" o:spid="_x0000_s1026" o:spt="1" style="position:absolute;left:0pt;margin-left:298.8pt;margin-top:14.3pt;height:30.6pt;width:146.4pt;z-index:251660288;v-text-anchor:middle;mso-width-relative:page;mso-height-relative:page;" fillcolor="#FFC000 [3207]" filled="t" stroked="t" coordsize="21600,21600" o:gfxdata="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GOHcNfYAAAACQEAAA8AAAAAAAAAAQAgAAAA&#10;IgAAAGRycy9kb3ducmV2LnhtbFBLAQIUABQAAAAIAIdO4kDEGSQlfQIAACUFAAAOAAAAAAAAAAEA&#10;IAAAACcBAABkcnMvZTJvRG9jLnhtbFBLBQYAAAAABgAGAFkBAAAWBgAAAAA=&#10;">
                <v:fill on="t" focussize="0,0"/>
                <v:stroke weight="1pt" color="#BC8C00 [3207]" miterlimit="8" joinstyle="miter"/>
                <v:imagedata o:title=""/>
                <o:lock v:ext="edit" aspectratio="f"/>
                <v:textbox>
                  <w:txbxContent>
                    <w:p w14:paraId="7D6B78A7">
                      <w:pPr>
                        <w:ind w:firstLine="0"/>
                        <w:rPr>
                          <w:lang w:val="en-US"/>
                        </w:rPr>
                      </w:pPr>
                      <w:r>
                        <w:rPr>
                          <w:b/>
                          <w:bCs/>
                        </w:rPr>
                        <w:t>Political Commitment</w:t>
                      </w:r>
                    </w:p>
                    <w:p w14:paraId="1F00A099">
                      <w:pPr>
                        <w:ind w:firstLine="0"/>
                        <w:rPr>
                          <w:lang w:val="en-US"/>
                        </w:rPr>
                      </w:pPr>
                    </w:p>
                  </w:txbxContent>
                </v:textbox>
              </v:rect>
            </w:pict>
          </mc:Fallback>
        </mc:AlternateContent>
      </w:r>
      <w:r>
        <w:rPr>
          <w:rFonts w:asciiTheme="majorBidi" w:hAnsiTheme="majorBidi" w:cstheme="majorBidi"/>
          <w:lang w:val="en-US"/>
        </w:rPr>
        <w:t xml:space="preserve">                                                                       </w:t>
      </w:r>
    </w:p>
    <w:p w14:paraId="33241682">
      <w:pPr>
        <w:spacing w:line="276" w:lineRule="auto"/>
        <w:ind w:firstLine="0"/>
        <w:rPr>
          <w:rFonts w:asciiTheme="majorBidi" w:hAnsiTheme="majorBidi" w:cstheme="majorBidi"/>
          <w:lang w:val="en-US"/>
        </w:rPr>
      </w:pPr>
      <w:r>
        <w:rPr>
          <w:rFonts w:asciiTheme="majorBidi" w:hAnsiTheme="majorBidi" w:cstheme="majorBidi"/>
          <w:lang w:val="en-US"/>
        </w:rPr>
        <mc:AlternateContent>
          <mc:Choice Requires="wps">
            <w:drawing>
              <wp:anchor distT="0" distB="0" distL="114300" distR="114300" simplePos="0" relativeHeight="251664384" behindDoc="0" locked="0" layoutInCell="1" allowOverlap="1">
                <wp:simplePos x="0" y="0"/>
                <wp:positionH relativeFrom="column">
                  <wp:posOffset>1714500</wp:posOffset>
                </wp:positionH>
                <wp:positionV relativeFrom="paragraph">
                  <wp:posOffset>294640</wp:posOffset>
                </wp:positionV>
                <wp:extent cx="2039620" cy="193040"/>
                <wp:effectExtent l="114300" t="38100" r="0" b="54610"/>
                <wp:wrapNone/>
                <wp:docPr id="4" name="Arrow: Left 10"/>
                <wp:cNvGraphicFramePr/>
                <a:graphic xmlns:a="http://schemas.openxmlformats.org/drawingml/2006/main">
                  <a:graphicData uri="http://schemas.microsoft.com/office/word/2010/wordprocessingShape">
                    <wps:wsp>
                      <wps:cNvSpPr>
                        <a:spLocks noChangeArrowheads="1"/>
                      </wps:cNvSpPr>
                      <wps:spPr bwMode="auto">
                        <a:xfrm flipV="1">
                          <a:off x="0" y="0"/>
                          <a:ext cx="2039620" cy="193040"/>
                        </a:xfrm>
                        <a:prstGeom prst="leftArrow">
                          <a:avLst>
                            <a:gd name="adj1" fmla="val 50000"/>
                            <a:gd name="adj2" fmla="val 264145"/>
                          </a:avLst>
                        </a:prstGeom>
                        <a:solidFill>
                          <a:schemeClr val="accent2">
                            <a:lumMod val="100000"/>
                            <a:lumOff val="0"/>
                          </a:schemeClr>
                        </a:solidFill>
                        <a:ln w="38100">
                          <a:solidFill>
                            <a:schemeClr val="lt1">
                              <a:lumMod val="95000"/>
                              <a:lumOff val="0"/>
                            </a:schemeClr>
                          </a:solidFill>
                          <a:miter lim="800000"/>
                        </a:ln>
                        <a:effectLst>
                          <a:outerShdw dist="28398" dir="3806097" algn="ctr" rotWithShape="0">
                            <a:schemeClr val="accent2">
                              <a:lumMod val="50000"/>
                              <a:lumOff val="0"/>
                              <a:alpha val="50000"/>
                            </a:schemeClr>
                          </a:outerShdw>
                        </a:effectLst>
                      </wps:spPr>
                      <wps:bodyPr rot="0" vert="horz" wrap="square" lIns="91440" tIns="45720" rIns="91440" bIns="45720" anchor="t" anchorCtr="0" upright="1">
                        <a:noAutofit/>
                      </wps:bodyPr>
                    </wps:wsp>
                  </a:graphicData>
                </a:graphic>
              </wp:anchor>
            </w:drawing>
          </mc:Choice>
          <mc:Fallback>
            <w:pict>
              <v:shape id="Arrow: Left 10" o:spid="_x0000_s1026" o:spt="66" type="#_x0000_t66" style="position:absolute;left:0pt;flip:y;margin-left:135pt;margin-top:23.2pt;height:15.2pt;width:160.6pt;z-index:251664384;mso-width-relative:page;mso-height-relative:page;" fillcolor="#ED7D31 [3221]" filled="t" stroked="t" coordsize="21600,21600" o:gfxdata="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OccxU9gAAAAJAQAADwAAAAAAAAABACAAAAAiAAAAZHJzL2Rvd25yZXYueG1sUEsBAhQAFAAAAAgA&#10;h07iQBAsRvDQAgAAEwYAAA4AAAAAAAAAAQAgAAAAJwEAAGRycy9lMm9Eb2MueG1sUEsFBgAAAAAG&#10;AAYAWQEAAGkGAAAAAA==&#10;" adj="5400,5400">
                <v:fill on="t" focussize="0,0"/>
                <v:stroke weight="3pt" color="#F2F2F2 [3201]" miterlimit="8" joinstyle="miter"/>
                <v:imagedata o:title=""/>
                <o:lock v:ext="edit" aspectratio="f"/>
                <v:shadow on="t" color="#843C0B [3205]" opacity="32768f" offset="1pt,2pt" origin="0f,0f" matrix="65536f,0f,0f,65536f"/>
              </v:shape>
            </w:pict>
          </mc:Fallback>
        </mc:AlternateContent>
      </w:r>
      <w:r>
        <w:rPr>
          <w:rFonts w:asciiTheme="majorBidi" w:hAnsiTheme="majorBidi" w:cstheme="majorBidi"/>
          <w:lang w:val="en-US"/>
        </w:rPr>
        <mc:AlternateContent>
          <mc:Choice Requires="wps">
            <w:drawing>
              <wp:anchor distT="0" distB="0" distL="114300" distR="114300" simplePos="0" relativeHeight="251661312" behindDoc="0" locked="0" layoutInCell="1" allowOverlap="1">
                <wp:simplePos x="0" y="0"/>
                <wp:positionH relativeFrom="margin">
                  <wp:posOffset>3787140</wp:posOffset>
                </wp:positionH>
                <wp:positionV relativeFrom="paragraph">
                  <wp:posOffset>224790</wp:posOffset>
                </wp:positionV>
                <wp:extent cx="1897380" cy="388620"/>
                <wp:effectExtent l="0" t="0" r="26670" b="11430"/>
                <wp:wrapNone/>
                <wp:docPr id="13" name="Rectangle 9"/>
                <wp:cNvGraphicFramePr/>
                <a:graphic xmlns:a="http://schemas.openxmlformats.org/drawingml/2006/main">
                  <a:graphicData uri="http://schemas.microsoft.com/office/word/2010/wordprocessingShape">
                    <wps:wsp>
                      <wps:cNvSpPr/>
                      <wps:spPr>
                        <a:xfrm>
                          <a:off x="0" y="0"/>
                          <a:ext cx="1897380" cy="388620"/>
                        </a:xfrm>
                        <a:prstGeom prst="rect">
                          <a:avLst/>
                        </a:prstGeom>
                      </wps:spPr>
                      <wps:style>
                        <a:lnRef idx="1">
                          <a:schemeClr val="accent2"/>
                        </a:lnRef>
                        <a:fillRef idx="2">
                          <a:schemeClr val="accent2"/>
                        </a:fillRef>
                        <a:effectRef idx="1">
                          <a:schemeClr val="accent2"/>
                        </a:effectRef>
                        <a:fontRef idx="minor">
                          <a:schemeClr val="dk1"/>
                        </a:fontRef>
                      </wps:style>
                      <wps:txbx>
                        <w:txbxContent>
                          <w:p w14:paraId="761DBFDB">
                            <w:pPr>
                              <w:ind w:firstLine="0"/>
                              <w:rPr>
                                <w:b/>
                                <w:bCs/>
                              </w:rPr>
                            </w:pPr>
                            <w:r>
                              <w:rPr>
                                <w:b/>
                                <w:bCs/>
                              </w:rPr>
                              <w:t>Technical Capacity</w:t>
                            </w:r>
                          </w:p>
                          <w:p w14:paraId="6E563030">
                            <w:pPr>
                              <w:ind w:firstLine="0"/>
                              <w:rPr>
                                <w:lang w:val="en-US"/>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9" o:spid="_x0000_s1026" o:spt="1" style="position:absolute;left:0pt;margin-left:298.2pt;margin-top:17.7pt;height:30.6pt;width:149.4pt;mso-position-horizontal-relative:margin;z-index:251661312;v-text-anchor:middle;mso-width-relative:page;mso-height-relative:page;" fillcolor="#F7BDA4 [3536]" filled="t" stroked="t" coordsize="21600,21600" o:gfxdata="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">
                <v:fill type="gradient" on="t" color2="#F8A581 [3376]" colors="0f #F7BDA4;32768f #F5B195;65536f #F8A581" focus="100%" focussize="0,0" rotate="t">
                  <o:fill type="gradientUnscaled" v:ext="backwardCompatible"/>
                </v:fill>
                <v:stroke weight="0.5pt" color="#ED7D31 [3205]" miterlimit="8" joinstyle="miter"/>
                <v:imagedata o:title=""/>
                <o:lock v:ext="edit" aspectratio="f"/>
                <v:textbox>
                  <w:txbxContent>
                    <w:p w14:paraId="761DBFDB">
                      <w:pPr>
                        <w:ind w:firstLine="0"/>
                        <w:rPr>
                          <w:b/>
                          <w:bCs/>
                        </w:rPr>
                      </w:pPr>
                      <w:r>
                        <w:rPr>
                          <w:b/>
                          <w:bCs/>
                        </w:rPr>
                        <w:t>Technical Capacity</w:t>
                      </w:r>
                    </w:p>
                    <w:p w14:paraId="6E563030">
                      <w:pPr>
                        <w:ind w:firstLine="0"/>
                        <w:rPr>
                          <w:lang w:val="en-US"/>
                        </w:rPr>
                      </w:pPr>
                    </w:p>
                  </w:txbxContent>
                </v:textbox>
              </v:rect>
            </w:pict>
          </mc:Fallback>
        </mc:AlternateContent>
      </w:r>
    </w:p>
    <w:p w14:paraId="0A80582A">
      <w:pPr>
        <w:spacing w:line="276" w:lineRule="auto"/>
        <w:ind w:firstLine="0"/>
        <w:rPr>
          <w:rFonts w:asciiTheme="majorBidi" w:hAnsiTheme="majorBidi" w:cstheme="majorBidi"/>
          <w:lang w:val="en-US"/>
        </w:rPr>
      </w:pPr>
      <w:r>
        <w:rPr>
          <w:rFonts w:asciiTheme="majorBidi" w:hAnsiTheme="majorBidi" w:cstheme="majorBidi"/>
          <w:lang w:val="en-US"/>
        </w:rPr>
        <mc:AlternateContent>
          <mc:Choice Requires="wps">
            <w:drawing>
              <wp:anchor distT="0" distB="0" distL="114300" distR="114300" simplePos="0" relativeHeight="251662336" behindDoc="0" locked="0" layoutInCell="1" allowOverlap="1">
                <wp:simplePos x="0" y="0"/>
                <wp:positionH relativeFrom="margin">
                  <wp:posOffset>3776980</wp:posOffset>
                </wp:positionH>
                <wp:positionV relativeFrom="paragraph">
                  <wp:posOffset>283210</wp:posOffset>
                </wp:positionV>
                <wp:extent cx="1916430" cy="464820"/>
                <wp:effectExtent l="57150" t="38100" r="64770" b="68580"/>
                <wp:wrapNone/>
                <wp:docPr id="14" name="Rectangle 7"/>
                <wp:cNvGraphicFramePr/>
                <a:graphic xmlns:a="http://schemas.openxmlformats.org/drawingml/2006/main">
                  <a:graphicData uri="http://schemas.microsoft.com/office/word/2010/wordprocessingShape">
                    <wps:wsp>
                      <wps:cNvSpPr/>
                      <wps:spPr>
                        <a:xfrm>
                          <a:off x="0" y="0"/>
                          <a:ext cx="1916430" cy="464820"/>
                        </a:xfrm>
                        <a:prstGeom prst="rect">
                          <a:avLst/>
                        </a:prstGeom>
                      </wps:spPr>
                      <wps:style>
                        <a:lnRef idx="0">
                          <a:schemeClr val="accent5"/>
                        </a:lnRef>
                        <a:fillRef idx="3">
                          <a:schemeClr val="accent5"/>
                        </a:fillRef>
                        <a:effectRef idx="3">
                          <a:schemeClr val="accent5"/>
                        </a:effectRef>
                        <a:fontRef idx="minor">
                          <a:schemeClr val="lt1"/>
                        </a:fontRef>
                      </wps:style>
                      <wps:txbx>
                        <w:txbxContent>
                          <w:p w14:paraId="7B83968C">
                            <w:pPr>
                              <w:ind w:firstLine="0"/>
                              <w:rPr>
                                <w:lang w:val="en-US"/>
                              </w:rPr>
                            </w:pPr>
                            <w:r>
                              <w:rPr>
                                <w:b/>
                                <w:bCs/>
                              </w:rPr>
                              <w:t>Role of Donors support</w:t>
                            </w:r>
                          </w:p>
                          <w:p w14:paraId="02337578">
                            <w:pPr>
                              <w:ind w:firstLine="0"/>
                              <w:rPr>
                                <w:lang w:val="en-US"/>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7" o:spid="_x0000_s1026" o:spt="1" style="position:absolute;left:0pt;margin-left:297.4pt;margin-top:22.3pt;height:36.6pt;width:150.9pt;mso-position-horizontal-relative:margin;z-index:251662336;v-text-anchor:middle;mso-width-relative:page;mso-height-relative:page;" fillcolor="#71A6DB [3280]" filled="t" stroked="f" coordsize="21600,21600" o:gfxdata="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oaLH3NkAAAAKAQAADwAAAAAAAAABACAAAAAiAAAAZHJzL2Rvd25yZXYueG1sUEsBAhQAFAAA&#10;AAgAh07iQAkCgbsLAwAA1AYAAA4AAAAAAAAAAQAgAAAAKAEAAGRycy9lMm9Eb2MueG1sUEsFBgAA&#10;AAAGAAYAWQEAAKUGAAAAAA==&#10;">
                <v:fill type="gradient" on="t" color2="#438AC9 [3184]" colors="0f #71A6DB;32768f #559BDB;65536f #438AC9" focus="100%" focussize="0,0" rotate="t">
                  <o:fill type="gradientUnscaled" v:ext="backwardCompatible"/>
                </v:fill>
                <v:stroke on="f"/>
                <v:imagedata o:title=""/>
                <o:lock v:ext="edit" aspectratio="f"/>
                <v:shadow on="t" color="#000000" opacity="41287f" offset="0pt,1.5pt" origin="0f,0f" matrix="65536f,0f,0f,65536f"/>
                <v:textbox>
                  <w:txbxContent>
                    <w:p w14:paraId="7B83968C">
                      <w:pPr>
                        <w:ind w:firstLine="0"/>
                        <w:rPr>
                          <w:lang w:val="en-US"/>
                        </w:rPr>
                      </w:pPr>
                      <w:r>
                        <w:rPr>
                          <w:b/>
                          <w:bCs/>
                        </w:rPr>
                        <w:t>Role of Donors support</w:t>
                      </w:r>
                    </w:p>
                    <w:p w14:paraId="02337578">
                      <w:pPr>
                        <w:ind w:firstLine="0"/>
                        <w:rPr>
                          <w:lang w:val="en-US"/>
                        </w:rPr>
                      </w:pPr>
                    </w:p>
                  </w:txbxContent>
                </v:textbox>
              </v:rect>
            </w:pict>
          </mc:Fallback>
        </mc:AlternateContent>
      </w:r>
    </w:p>
    <w:p w14:paraId="78C2FC0D">
      <w:pPr>
        <w:spacing w:line="276" w:lineRule="auto"/>
        <w:ind w:firstLine="0"/>
        <w:rPr>
          <w:rFonts w:asciiTheme="majorBidi" w:hAnsiTheme="majorBidi" w:cstheme="majorBidi"/>
          <w:lang w:val="en-US"/>
        </w:rPr>
      </w:pPr>
      <w:r>
        <w:rPr>
          <w:rFonts w:asciiTheme="majorBidi" w:hAnsiTheme="majorBidi" w:cstheme="majorBidi"/>
          <w:color w:val="ED7D31" w:themeColor="accent2"/>
          <w:lang w:val="en-IN" w:eastAsia="en-IN"/>
          <w14:textFill>
            <w14:solidFill>
              <w14:schemeClr w14:val="accent2"/>
            </w14:solidFill>
          </w14:textFill>
        </w:rPr>
        <mc:AlternateContent>
          <mc:Choice Requires="wps">
            <w:drawing>
              <wp:anchor distT="0" distB="0" distL="114300" distR="114300" simplePos="0" relativeHeight="251663360" behindDoc="0" locked="0" layoutInCell="1" allowOverlap="1">
                <wp:simplePos x="0" y="0"/>
                <wp:positionH relativeFrom="column">
                  <wp:posOffset>1722120</wp:posOffset>
                </wp:positionH>
                <wp:positionV relativeFrom="paragraph">
                  <wp:posOffset>182880</wp:posOffset>
                </wp:positionV>
                <wp:extent cx="2039620" cy="193040"/>
                <wp:effectExtent l="114300" t="38100" r="0" b="54610"/>
                <wp:wrapNone/>
                <wp:docPr id="3" name="Arrow: Left 5"/>
                <wp:cNvGraphicFramePr/>
                <a:graphic xmlns:a="http://schemas.openxmlformats.org/drawingml/2006/main">
                  <a:graphicData uri="http://schemas.microsoft.com/office/word/2010/wordprocessingShape">
                    <wps:wsp>
                      <wps:cNvSpPr>
                        <a:spLocks noChangeArrowheads="1"/>
                      </wps:cNvSpPr>
                      <wps:spPr bwMode="auto">
                        <a:xfrm flipV="1">
                          <a:off x="0" y="0"/>
                          <a:ext cx="2039620" cy="193040"/>
                        </a:xfrm>
                        <a:prstGeom prst="leftArrow">
                          <a:avLst>
                            <a:gd name="adj1" fmla="val 50000"/>
                            <a:gd name="adj2" fmla="val 264145"/>
                          </a:avLst>
                        </a:prstGeom>
                        <a:solidFill>
                          <a:schemeClr val="accent5">
                            <a:lumMod val="100000"/>
                            <a:lumOff val="0"/>
                          </a:schemeClr>
                        </a:solidFill>
                        <a:ln w="38100">
                          <a:solidFill>
                            <a:schemeClr val="lt1">
                              <a:lumMod val="95000"/>
                              <a:lumOff val="0"/>
                            </a:schemeClr>
                          </a:solidFill>
                          <a:miter lim="800000"/>
                        </a:ln>
                        <a:effectLst>
                          <a:outerShdw dist="28398" dir="3806097" algn="ctr" rotWithShape="0">
                            <a:schemeClr val="accent5">
                              <a:lumMod val="50000"/>
                              <a:lumOff val="0"/>
                              <a:alpha val="50000"/>
                            </a:schemeClr>
                          </a:outerShdw>
                        </a:effectLst>
                      </wps:spPr>
                      <wps:bodyPr rot="0" vert="horz" wrap="square" lIns="91440" tIns="45720" rIns="91440" bIns="45720" anchor="t" anchorCtr="0" upright="1">
                        <a:noAutofit/>
                      </wps:bodyPr>
                    </wps:wsp>
                  </a:graphicData>
                </a:graphic>
              </wp:anchor>
            </w:drawing>
          </mc:Choice>
          <mc:Fallback>
            <w:pict>
              <v:shape id="Arrow: Left 5" o:spid="_x0000_s1026" o:spt="66" type="#_x0000_t66" style="position:absolute;left:0pt;flip:y;margin-left:135.6pt;margin-top:14.4pt;height:15.2pt;width:160.6pt;z-index:251663360;mso-width-relative:page;mso-height-relative:page;" fillcolor="#5B9BD5 [3224]" filled="t" stroked="t" coordsize="21600,21600" o:gfxdata="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AE+ERz&#10;1wAAAAkBAAAPAAAAAAAAAAEAIAAAACIAAABkcnMvZG93bnJldi54bWxQSwECFAAUAAAACACHTuJA&#10;r4YZac0CAAASBgAADgAAAAAAAAABACAAAAAmAQAAZHJzL2Uyb0RvYy54bWxQSwUGAAAAAAYABgBZ&#10;AQAAZQYAAAAA&#10;" adj="5400,5400">
                <v:fill on="t" focussize="0,0"/>
                <v:stroke weight="3pt" color="#F2F2F2 [3201]" miterlimit="8" joinstyle="miter"/>
                <v:imagedata o:title=""/>
                <o:lock v:ext="edit" aspectratio="f"/>
                <v:shadow on="t" color="#1F4E79 [3208]" opacity="32768f" offset="1pt,2pt" origin="0f,0f" matrix="65536f,0f,0f,65536f"/>
              </v:shape>
            </w:pict>
          </mc:Fallback>
        </mc:AlternateContent>
      </w:r>
    </w:p>
    <w:p w14:paraId="6B4C72C9">
      <w:pPr>
        <w:spacing w:line="276" w:lineRule="auto"/>
        <w:ind w:firstLine="0"/>
        <w:rPr>
          <w:rFonts w:asciiTheme="majorBidi" w:hAnsiTheme="majorBidi" w:cstheme="majorBidi"/>
          <w:lang w:val="en-US"/>
        </w:rPr>
      </w:pPr>
    </w:p>
    <w:p w14:paraId="6EDC70CB">
      <w:pPr>
        <w:spacing w:line="276" w:lineRule="auto"/>
        <w:ind w:firstLine="0"/>
        <w:rPr>
          <w:rFonts w:asciiTheme="majorBidi" w:hAnsiTheme="majorBidi" w:cstheme="majorBidi"/>
          <w:lang w:val="en-US"/>
        </w:rPr>
      </w:pPr>
    </w:p>
    <w:p w14:paraId="5124DC26">
      <w:pPr>
        <w:pStyle w:val="3"/>
        <w:spacing w:line="276" w:lineRule="auto"/>
        <w:jc w:val="center"/>
        <w:rPr>
          <w:rFonts w:asciiTheme="majorBidi" w:hAnsiTheme="majorBidi"/>
          <w:sz w:val="24"/>
          <w:szCs w:val="24"/>
        </w:rPr>
      </w:pPr>
      <w:bookmarkStart w:id="12" w:name="_Toc136959587"/>
      <w:r>
        <w:rPr>
          <w:rFonts w:asciiTheme="majorBidi" w:hAnsiTheme="majorBidi"/>
          <w:sz w:val="24"/>
          <w:szCs w:val="24"/>
        </w:rPr>
        <w:t>Description of the Study Area</w:t>
      </w:r>
      <w:bookmarkEnd w:id="12"/>
    </w:p>
    <w:p w14:paraId="0E1E6B82">
      <w:pPr>
        <w:pStyle w:val="27"/>
        <w:spacing w:line="276" w:lineRule="auto"/>
        <w:rPr>
          <w:rFonts w:asciiTheme="majorBidi" w:hAnsiTheme="majorBidi" w:cstheme="majorBidi"/>
        </w:rPr>
      </w:pPr>
      <w:r>
        <w:rPr>
          <w:rFonts w:asciiTheme="majorBidi" w:hAnsiTheme="majorBidi" w:cstheme="majorBidi"/>
        </w:rPr>
        <w:t>Puntland State of Somalia is a </w:t>
      </w:r>
      <w:r>
        <w:fldChar w:fldCharType="begin"/>
      </w:r>
      <w:r>
        <w:instrText xml:space="preserve"> HYPERLINK "https://en.wikipedia.org/wiki/States_and_regions_of_Somalia" \o "States and regions of Somalia" </w:instrText>
      </w:r>
      <w:r>
        <w:fldChar w:fldCharType="separate"/>
      </w:r>
      <w:r>
        <w:t>Federal Member State</w:t>
      </w:r>
      <w:r>
        <w:fldChar w:fldCharType="end"/>
      </w:r>
      <w:r>
        <w:rPr>
          <w:rFonts w:asciiTheme="majorBidi" w:hAnsiTheme="majorBidi" w:cstheme="majorBidi"/>
        </w:rPr>
        <w:t> in northeastern </w:t>
      </w:r>
      <w:r>
        <w:fldChar w:fldCharType="begin"/>
      </w:r>
      <w:r>
        <w:instrText xml:space="preserve"> HYPERLINK "https://en.wikipedia.org/wiki/Somalia" \o "Somalia" </w:instrText>
      </w:r>
      <w:r>
        <w:fldChar w:fldCharType="separate"/>
      </w:r>
      <w:r>
        <w:t>Somalia</w:t>
      </w:r>
      <w:r>
        <w:fldChar w:fldCharType="end"/>
      </w:r>
      <w:r>
        <w:rPr>
          <w:rFonts w:asciiTheme="majorBidi" w:hAnsiTheme="majorBidi" w:cstheme="majorBidi"/>
        </w:rPr>
        <w:t>. The capital city is the city of </w:t>
      </w:r>
      <w:r>
        <w:fldChar w:fldCharType="begin"/>
      </w:r>
      <w:r>
        <w:instrText xml:space="preserve"> HYPERLINK "https://en.wikipedia.org/wiki/Garoowe" \o "Garoowe" </w:instrText>
      </w:r>
      <w:r>
        <w:fldChar w:fldCharType="separate"/>
      </w:r>
      <w:r>
        <w:t>Garoowe</w:t>
      </w:r>
      <w:r>
        <w:fldChar w:fldCharType="end"/>
      </w:r>
      <w:r>
        <w:rPr>
          <w:rFonts w:asciiTheme="majorBidi" w:hAnsiTheme="majorBidi" w:cstheme="majorBidi"/>
        </w:rPr>
        <w:t> in the </w:t>
      </w:r>
      <w:r>
        <w:fldChar w:fldCharType="begin"/>
      </w:r>
      <w:r>
        <w:instrText xml:space="preserve"> HYPERLINK "https://en.wikipedia.org/wiki/Nugal,_Somalia" \o "Nugal, Somalia" </w:instrText>
      </w:r>
      <w:r>
        <w:fldChar w:fldCharType="separate"/>
      </w:r>
      <w:r>
        <w:t>Nugal</w:t>
      </w:r>
      <w:r>
        <w:fldChar w:fldCharType="end"/>
      </w:r>
      <w:r>
        <w:rPr>
          <w:rFonts w:asciiTheme="majorBidi" w:hAnsiTheme="majorBidi" w:cstheme="majorBidi"/>
        </w:rPr>
        <w:t> region, and its leaders declared the territory an </w:t>
      </w:r>
      <w:r>
        <w:fldChar w:fldCharType="begin"/>
      </w:r>
      <w:r>
        <w:instrText xml:space="preserve"> HYPERLINK "https://en.wikipedia.org/wiki/States_and_regions_of_Somalia" \o "States and regions of Somalia" </w:instrText>
      </w:r>
      <w:r>
        <w:fldChar w:fldCharType="separate"/>
      </w:r>
      <w:r>
        <w:t>autonomous state</w:t>
      </w:r>
      <w:r>
        <w:fldChar w:fldCharType="end"/>
      </w:r>
      <w:r>
        <w:rPr>
          <w:rFonts w:asciiTheme="majorBidi" w:hAnsiTheme="majorBidi" w:cstheme="majorBidi"/>
        </w:rPr>
        <w:t> in 1998. Geographically to the west, Puntland lays claim to the </w:t>
      </w:r>
      <w:r>
        <w:fldChar w:fldCharType="begin"/>
      </w:r>
      <w:r>
        <w:instrText xml:space="preserve"> HYPERLINK "https://en.wikipedia.org/wiki/Ciid" \l "46th_meridian" \o "Ciid" </w:instrText>
      </w:r>
      <w:r>
        <w:fldChar w:fldCharType="separate"/>
      </w:r>
      <w:r>
        <w:t>antemeridian</w:t>
      </w:r>
      <w:r>
        <w:fldChar w:fldCharType="end"/>
      </w:r>
      <w:r>
        <w:rPr>
          <w:rFonts w:asciiTheme="majorBidi" w:hAnsiTheme="majorBidi" w:cstheme="majorBidi"/>
        </w:rPr>
        <w:t> territories that were outside European colonial rule during parts of the </w:t>
      </w:r>
      <w:r>
        <w:fldChar w:fldCharType="begin"/>
      </w:r>
      <w:r>
        <w:instrText xml:space="preserve"> HYPERLINK "https://en.wikipedia.org/wiki/Scramble_for_Africa" \o "Scramble for Africa" </w:instrText>
      </w:r>
      <w:r>
        <w:fldChar w:fldCharType="separate"/>
      </w:r>
      <w:r>
        <w:t>Scramble for Africa</w:t>
      </w:r>
      <w:r>
        <w:fldChar w:fldCharType="end"/>
      </w:r>
      <w:r>
        <w:rPr>
          <w:rFonts w:asciiTheme="majorBidi" w:hAnsiTheme="majorBidi" w:cstheme="majorBidi"/>
        </w:rPr>
        <w:t> period.</w:t>
      </w:r>
    </w:p>
    <w:p w14:paraId="400F1B90">
      <w:pPr>
        <w:pStyle w:val="27"/>
        <w:spacing w:line="276" w:lineRule="auto"/>
        <w:rPr>
          <w:rFonts w:asciiTheme="majorBidi" w:hAnsiTheme="majorBidi" w:cstheme="majorBidi"/>
        </w:rPr>
      </w:pPr>
      <w:r>
        <w:rPr>
          <w:rFonts w:asciiTheme="majorBidi" w:hAnsiTheme="majorBidi" w:cstheme="majorBidi"/>
        </w:rPr>
        <w:t>Puntland is bordered by </w:t>
      </w:r>
      <w:r>
        <w:fldChar w:fldCharType="begin"/>
      </w:r>
      <w:r>
        <w:instrText xml:space="preserve"> HYPERLINK "https://en.wikipedia.org/wiki/Somaliland" \o "Somaliland" </w:instrText>
      </w:r>
      <w:r>
        <w:fldChar w:fldCharType="separate"/>
      </w:r>
      <w:r>
        <w:t>Somaliland</w:t>
      </w:r>
      <w:r>
        <w:fldChar w:fldCharType="end"/>
      </w:r>
      <w:r>
        <w:rPr>
          <w:rFonts w:asciiTheme="majorBidi" w:hAnsiTheme="majorBidi" w:cstheme="majorBidi"/>
        </w:rPr>
        <w:t> to its west, the </w:t>
      </w:r>
      <w:r>
        <w:fldChar w:fldCharType="begin"/>
      </w:r>
      <w:r>
        <w:instrText xml:space="preserve"> HYPERLINK "https://en.wikipedia.org/wiki/Gulf_of_Aden" \o "Gulf of Aden" </w:instrText>
      </w:r>
      <w:r>
        <w:fldChar w:fldCharType="separate"/>
      </w:r>
      <w:r>
        <w:t>Gulf of Aden</w:t>
      </w:r>
      <w:r>
        <w:fldChar w:fldCharType="end"/>
      </w:r>
      <w:r>
        <w:rPr>
          <w:rFonts w:asciiTheme="majorBidi" w:hAnsiTheme="majorBidi" w:cstheme="majorBidi"/>
        </w:rPr>
        <w:t> in the north, the </w:t>
      </w:r>
      <w:r>
        <w:fldChar w:fldCharType="begin"/>
      </w:r>
      <w:r>
        <w:instrText xml:space="preserve"> HYPERLINK "https://en.wikipedia.org/wiki/Guardafui_Channel" \o "Guardafui Channel" </w:instrText>
      </w:r>
      <w:r>
        <w:fldChar w:fldCharType="separate"/>
      </w:r>
      <w:r>
        <w:t>Guardafui Channel</w:t>
      </w:r>
      <w:r>
        <w:fldChar w:fldCharType="end"/>
      </w:r>
      <w:r>
        <w:rPr>
          <w:rFonts w:asciiTheme="majorBidi" w:hAnsiTheme="majorBidi" w:cstheme="majorBidi"/>
        </w:rPr>
        <w:t> in the northeast, the </w:t>
      </w:r>
      <w:r>
        <w:fldChar w:fldCharType="begin"/>
      </w:r>
      <w:r>
        <w:instrText xml:space="preserve"> HYPERLINK "https://en.wikipedia.org/wiki/Indian_Ocean" \o "Indian Ocean" </w:instrText>
      </w:r>
      <w:r>
        <w:fldChar w:fldCharType="separate"/>
      </w:r>
      <w:r>
        <w:t>Indian Ocean</w:t>
      </w:r>
      <w:r>
        <w:fldChar w:fldCharType="end"/>
      </w:r>
      <w:r>
        <w:rPr>
          <w:rFonts w:asciiTheme="majorBidi" w:hAnsiTheme="majorBidi" w:cstheme="majorBidi"/>
        </w:rPr>
        <w:t> in the southeast, the central </w:t>
      </w:r>
      <w:r>
        <w:fldChar w:fldCharType="begin"/>
      </w:r>
      <w:r>
        <w:instrText xml:space="preserve"> HYPERLINK "https://en.wikipedia.org/wiki/Galmudug" \o "Galmudug" </w:instrText>
      </w:r>
      <w:r>
        <w:fldChar w:fldCharType="separate"/>
      </w:r>
      <w:r>
        <w:t>Galmudug</w:t>
      </w:r>
      <w:r>
        <w:fldChar w:fldCharType="end"/>
      </w:r>
      <w:r>
        <w:rPr>
          <w:rFonts w:asciiTheme="majorBidi" w:hAnsiTheme="majorBidi" w:cstheme="majorBidi"/>
        </w:rPr>
        <w:t> region in the south, and </w:t>
      </w:r>
      <w:r>
        <w:fldChar w:fldCharType="begin"/>
      </w:r>
      <w:r>
        <w:instrText xml:space="preserve"> HYPERLINK "https://en.wikipedia.org/wiki/Ethiopia" \o "Ethiopia" </w:instrText>
      </w:r>
      <w:r>
        <w:fldChar w:fldCharType="separate"/>
      </w:r>
      <w:r>
        <w:t>Ethiopia</w:t>
      </w:r>
      <w:r>
        <w:fldChar w:fldCharType="end"/>
      </w:r>
      <w:r>
        <w:rPr>
          <w:rFonts w:asciiTheme="majorBidi" w:hAnsiTheme="majorBidi" w:cstheme="majorBidi"/>
        </w:rPr>
        <w:t> in the southwest. There are several major geographical apexes in Puntland, including the </w:t>
      </w:r>
      <w:r>
        <w:fldChar w:fldCharType="begin"/>
      </w:r>
      <w:r>
        <w:instrText xml:space="preserve"> HYPERLINK "https://en.wikipedia.org/wiki/Cape_Guardafui" \o "Cape Guardafui" </w:instrText>
      </w:r>
      <w:r>
        <w:fldChar w:fldCharType="separate"/>
      </w:r>
      <w:r>
        <w:t>Cape Guardafui</w:t>
      </w:r>
      <w:r>
        <w:fldChar w:fldCharType="end"/>
      </w:r>
      <w:r>
        <w:rPr>
          <w:rFonts w:asciiTheme="majorBidi" w:hAnsiTheme="majorBidi" w:cstheme="majorBidi"/>
        </w:rPr>
        <w:t>, which forms the tip of the Horn of Africa, </w:t>
      </w:r>
      <w:r>
        <w:fldChar w:fldCharType="begin"/>
      </w:r>
      <w:r>
        <w:instrText xml:space="preserve"> HYPERLINK "https://en.wikipedia.org/wiki/Ras_Hafun" \o "Ras Hafun" </w:instrText>
      </w:r>
      <w:r>
        <w:fldChar w:fldCharType="separate"/>
      </w:r>
      <w:r>
        <w:t>Ras Hafun</w:t>
      </w:r>
      <w:r>
        <w:fldChar w:fldCharType="end"/>
      </w:r>
      <w:r>
        <w:rPr>
          <w:rFonts w:asciiTheme="majorBidi" w:hAnsiTheme="majorBidi" w:cstheme="majorBidi"/>
        </w:rPr>
        <w:t> the easternmost place on the entire African continent, and the beginning of the </w:t>
      </w:r>
      <w:r>
        <w:fldChar w:fldCharType="begin"/>
      </w:r>
      <w:r>
        <w:instrText xml:space="preserve"> HYPERLINK "https://en.wikipedia.org/wiki/Karkaar" \o "Karkaar" </w:instrText>
      </w:r>
      <w:r>
        <w:fldChar w:fldCharType="separate"/>
      </w:r>
      <w:r>
        <w:t>Karkaar</w:t>
      </w:r>
      <w:r>
        <w:fldChar w:fldCharType="end"/>
      </w:r>
      <w:r>
        <w:rPr>
          <w:rFonts w:asciiTheme="majorBidi" w:hAnsiTheme="majorBidi" w:cstheme="majorBidi"/>
        </w:rPr>
        <w:t> mountain range. It also has the northernmost major city in Somalia, </w:t>
      </w:r>
      <w:r>
        <w:fldChar w:fldCharType="begin"/>
      </w:r>
      <w:r>
        <w:instrText xml:space="preserve"> HYPERLINK "https://en.wikipedia.org/wiki/Bosaso" \o "Bosaso" </w:instrText>
      </w:r>
      <w:r>
        <w:fldChar w:fldCharType="separate"/>
      </w:r>
      <w:r>
        <w:t>Bosaso</w:t>
      </w:r>
      <w:r>
        <w:fldChar w:fldCharType="end"/>
      </w:r>
      <w:r>
        <w:rPr>
          <w:rFonts w:asciiTheme="majorBidi" w:hAnsiTheme="majorBidi" w:cstheme="majorBidi"/>
        </w:rPr>
        <w:t>.</w:t>
      </w:r>
    </w:p>
    <w:p w14:paraId="1EA14C24">
      <w:pPr>
        <w:pStyle w:val="27"/>
        <w:spacing w:line="276" w:lineRule="auto"/>
        <w:rPr>
          <w:rFonts w:asciiTheme="majorBidi" w:hAnsiTheme="majorBidi" w:cstheme="majorBidi"/>
        </w:rPr>
      </w:pPr>
      <w:r>
        <w:rPr>
          <w:rFonts w:asciiTheme="majorBidi" w:hAnsiTheme="majorBidi" w:cstheme="majorBidi"/>
        </w:rPr>
        <w:t>The name "Puntland" is derived from the </w:t>
      </w:r>
      <w:r>
        <w:fldChar w:fldCharType="begin"/>
      </w:r>
      <w:r>
        <w:instrText xml:space="preserve"> HYPERLINK "https://en.wikipedia.org/wiki/Land_of_Punt" \o "Land of Punt" </w:instrText>
      </w:r>
      <w:r>
        <w:fldChar w:fldCharType="separate"/>
      </w:r>
      <w:r>
        <w:t>Land of Punt</w:t>
      </w:r>
      <w:r>
        <w:fldChar w:fldCharType="end"/>
      </w:r>
      <w:r>
        <w:rPr>
          <w:rFonts w:asciiTheme="majorBidi" w:hAnsiTheme="majorBidi" w:cstheme="majorBidi"/>
        </w:rPr>
        <w:t> mentioned in </w:t>
      </w:r>
      <w:r>
        <w:fldChar w:fldCharType="begin"/>
      </w:r>
      <w:r>
        <w:instrText xml:space="preserve"> HYPERLINK "https://en.wikipedia.org/wiki/Ancient_Egypt" \o "Ancient Egypt" </w:instrText>
      </w:r>
      <w:r>
        <w:fldChar w:fldCharType="separate"/>
      </w:r>
      <w:r>
        <w:t>ancient Egyptian</w:t>
      </w:r>
      <w:r>
        <w:fldChar w:fldCharType="end"/>
      </w:r>
      <w:r>
        <w:rPr>
          <w:rFonts w:asciiTheme="majorBidi" w:hAnsiTheme="majorBidi" w:cstheme="majorBidi"/>
        </w:rPr>
        <w:t> sources, although the exact location of the fabled territory is still a mystery. Many studies suggest that the Land of Punt was located in present-day Somalia, whereas others propose that it was situated elsewhere</w:t>
      </w:r>
      <w:sdt>
        <w:sdtPr>
          <w:rPr>
            <w:rFonts w:asciiTheme="majorBidi" w:hAnsiTheme="majorBidi" w:cstheme="majorBidi"/>
          </w:rPr>
          <w:id w:val="-1368977968"/>
        </w:sdtPr>
        <w:sdtEndPr>
          <w:rPr>
            <w:rFonts w:asciiTheme="majorBidi" w:hAnsiTheme="majorBidi" w:cstheme="majorBidi"/>
          </w:rPr>
        </w:sdtEndPr>
        <w:sdtContent>
          <w:r>
            <w:rPr>
              <w:rFonts w:asciiTheme="majorBidi" w:hAnsiTheme="majorBidi" w:cstheme="majorBidi"/>
            </w:rPr>
            <w:fldChar w:fldCharType="begin"/>
          </w:r>
          <w:r>
            <w:rPr>
              <w:rFonts w:asciiTheme="majorBidi" w:hAnsiTheme="majorBidi" w:cstheme="majorBidi"/>
            </w:rPr>
            <w:instrText xml:space="preserve">CITATION Moh23 \l 1033 </w:instrText>
          </w:r>
          <w:r>
            <w:rPr>
              <w:rFonts w:asciiTheme="majorBidi" w:hAnsiTheme="majorBidi" w:cstheme="majorBidi"/>
            </w:rPr>
            <w:fldChar w:fldCharType="separate"/>
          </w:r>
          <w:r>
            <w:rPr>
              <w:rFonts w:asciiTheme="majorBidi" w:hAnsiTheme="majorBidi" w:cstheme="majorBidi"/>
            </w:rPr>
            <w:t xml:space="preserve"> (Hussein Mohamed, 2023)</w:t>
          </w:r>
          <w:r>
            <w:rPr>
              <w:rFonts w:asciiTheme="majorBidi" w:hAnsiTheme="majorBidi" w:cstheme="majorBidi"/>
            </w:rPr>
            <w:fldChar w:fldCharType="end"/>
          </w:r>
        </w:sdtContent>
      </w:sdt>
      <w:r>
        <w:rPr>
          <w:rFonts w:asciiTheme="majorBidi" w:hAnsiTheme="majorBidi" w:cstheme="majorBidi"/>
        </w:rPr>
        <w:t>.</w:t>
      </w:r>
    </w:p>
    <w:p w14:paraId="2CF2B8FA">
      <w:pPr>
        <w:pStyle w:val="27"/>
        <w:spacing w:line="276" w:lineRule="auto"/>
        <w:ind w:firstLine="0"/>
        <w:rPr>
          <w:rFonts w:asciiTheme="majorBidi" w:hAnsiTheme="majorBidi" w:cstheme="majorBidi"/>
        </w:rPr>
      </w:pPr>
    </w:p>
    <w:p w14:paraId="76AF15A0">
      <w:pPr>
        <w:spacing w:line="276" w:lineRule="auto"/>
        <w:jc w:val="center"/>
        <w:rPr>
          <w:rFonts w:asciiTheme="majorBidi" w:hAnsiTheme="majorBidi" w:cstheme="majorBidi"/>
          <w:b/>
          <w:bCs/>
        </w:rPr>
      </w:pPr>
    </w:p>
    <w:p w14:paraId="35DD8DEB">
      <w:pPr>
        <w:spacing w:line="276" w:lineRule="auto"/>
        <w:jc w:val="center"/>
        <w:rPr>
          <w:rFonts w:asciiTheme="majorBidi" w:hAnsiTheme="majorBidi" w:cstheme="majorBidi"/>
          <w:b/>
          <w:bCs/>
        </w:rPr>
      </w:pPr>
    </w:p>
    <w:p w14:paraId="0F9A2E57">
      <w:pPr>
        <w:spacing w:line="276" w:lineRule="auto"/>
        <w:ind w:firstLine="0"/>
        <w:rPr>
          <w:rFonts w:asciiTheme="majorBidi" w:hAnsiTheme="majorBidi" w:cstheme="majorBidi"/>
          <w:b/>
          <w:bCs/>
        </w:rPr>
      </w:pPr>
    </w:p>
    <w:p w14:paraId="28F07B66">
      <w:pPr>
        <w:spacing w:line="276" w:lineRule="auto"/>
        <w:ind w:firstLine="0"/>
        <w:rPr>
          <w:rFonts w:asciiTheme="majorBidi" w:hAnsiTheme="majorBidi" w:cstheme="majorBidi"/>
          <w:b/>
          <w:bCs/>
        </w:rPr>
      </w:pPr>
    </w:p>
    <w:p w14:paraId="15C8533B">
      <w:pPr>
        <w:spacing w:line="276" w:lineRule="auto"/>
        <w:rPr>
          <w:rFonts w:asciiTheme="majorBidi" w:hAnsiTheme="majorBidi" w:cstheme="majorBidi"/>
        </w:rPr>
      </w:pPr>
      <w:r>
        <w:rPr>
          <w:rFonts w:asciiTheme="majorBidi" w:hAnsiTheme="majorBidi" w:cstheme="majorBidi"/>
          <w:lang w:val="en-IN" w:eastAsia="en-IN"/>
        </w:rPr>
        <w:drawing>
          <wp:inline distT="0" distB="0" distL="0" distR="0">
            <wp:extent cx="5539740" cy="4320540"/>
            <wp:effectExtent l="76200" t="76200" r="137160" b="13716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7" cstate="print">
                      <a:extLst>
                        <a:ext uri="{BEBA8EAE-BF5A-486C-A8C5-ECC9F3942E4B}">
                          <a14:imgProps xmlns:a14="http://schemas.microsoft.com/office/drawing/2010/main">
                            <a14:imgLayer r:embed="rId8">
                              <a14:imgEffect>
                                <a14:colorTemperature colorTemp="8800"/>
                              </a14:imgEffect>
                            </a14:imgLayer>
                          </a14:imgProps>
                        </a:ext>
                        <a:ext uri="{28A0092B-C50C-407E-A947-70E740481C1C}">
                          <a14:useLocalDpi xmlns:a14="http://schemas.microsoft.com/office/drawing/2010/main" val="0"/>
                        </a:ext>
                      </a:extLst>
                    </a:blip>
                    <a:stretch>
                      <a:fillRect/>
                    </a:stretch>
                  </pic:blipFill>
                  <pic:spPr>
                    <a:xfrm>
                      <a:off x="0" y="0"/>
                      <a:ext cx="5540220" cy="4320914"/>
                    </a:xfrm>
                    <a:prstGeom prst="rect">
                      <a:avLst/>
                    </a:prstGeom>
                    <a:ln w="38100" cap="sq">
                      <a:solidFill>
                        <a:srgbClr val="000000"/>
                      </a:solidFill>
                      <a:prstDash val="solid"/>
                      <a:miter lim="800000"/>
                      <a:headEnd/>
                      <a:tailEnd/>
                    </a:ln>
                    <a:effectLst>
                      <a:outerShdw blurRad="50800" dist="38100" dir="2700000" algn="tl" rotWithShape="0">
                        <a:srgbClr val="000000">
                          <a:alpha val="43000"/>
                        </a:srgbClr>
                      </a:outerShdw>
                    </a:effectLst>
                  </pic:spPr>
                </pic:pic>
              </a:graphicData>
            </a:graphic>
          </wp:inline>
        </w:drawing>
      </w:r>
    </w:p>
    <w:p w14:paraId="412DA985">
      <w:pPr>
        <w:spacing w:line="276" w:lineRule="auto"/>
        <w:rPr>
          <w:rFonts w:asciiTheme="majorBidi" w:hAnsiTheme="majorBidi" w:cstheme="majorBidi"/>
        </w:rPr>
      </w:pPr>
      <w:r>
        <w:rPr>
          <w:rFonts w:asciiTheme="majorBidi" w:hAnsiTheme="majorBidi" w:cstheme="majorBidi"/>
          <w:b/>
          <w:bCs/>
          <w:i/>
          <w:iCs/>
        </w:rPr>
        <w:t>SOURCE WEBSITE:</w:t>
      </w:r>
      <w:r>
        <w:rPr>
          <w:rFonts w:asciiTheme="majorBidi" w:hAnsiTheme="majorBidi" w:cstheme="majorBidi"/>
        </w:rPr>
        <w:t xml:space="preserve"> </w:t>
      </w:r>
      <w:r>
        <w:fldChar w:fldCharType="begin"/>
      </w:r>
      <w:r>
        <w:instrText xml:space="preserve"> HYPERLINK "https://en.wikipedia.org/wiki/Puntland" \t "_blank" </w:instrText>
      </w:r>
      <w:r>
        <w:fldChar w:fldCharType="separate"/>
      </w:r>
      <w:r>
        <w:rPr>
          <w:rStyle w:val="26"/>
          <w:rFonts w:asciiTheme="majorBidi" w:hAnsiTheme="majorBidi" w:cstheme="majorBidi"/>
          <w:color w:val="1A0DAB"/>
          <w:shd w:val="clear" w:color="auto" w:fill="FFFFFF"/>
        </w:rPr>
        <w:t>https://en.wikipedia.org/wiki/Puntland</w:t>
      </w:r>
      <w:r>
        <w:rPr>
          <w:rStyle w:val="26"/>
          <w:rFonts w:asciiTheme="majorBidi" w:hAnsiTheme="majorBidi" w:cstheme="majorBidi"/>
          <w:color w:val="1A0DAB"/>
          <w:shd w:val="clear" w:color="auto" w:fill="FFFFFF"/>
        </w:rPr>
        <w:fldChar w:fldCharType="end"/>
      </w:r>
    </w:p>
    <w:p w14:paraId="0FCD17CE">
      <w:pPr>
        <w:spacing w:line="276" w:lineRule="auto"/>
        <w:rPr>
          <w:rFonts w:asciiTheme="majorBidi" w:hAnsiTheme="majorBidi" w:cstheme="majorBidi"/>
          <w:lang w:val="en-US"/>
        </w:rPr>
      </w:pPr>
    </w:p>
    <w:p w14:paraId="4A16EE10">
      <w:pPr>
        <w:pStyle w:val="3"/>
        <w:spacing w:line="276" w:lineRule="auto"/>
        <w:ind w:left="720" w:firstLine="0"/>
        <w:jc w:val="center"/>
        <w:rPr>
          <w:rFonts w:asciiTheme="majorBidi" w:hAnsiTheme="majorBidi"/>
          <w:sz w:val="24"/>
          <w:szCs w:val="24"/>
        </w:rPr>
      </w:pPr>
      <w:bookmarkStart w:id="13" w:name="_Toc136959588"/>
      <w:r>
        <w:rPr>
          <w:rFonts w:asciiTheme="majorBidi" w:hAnsiTheme="majorBidi"/>
          <w:sz w:val="24"/>
          <w:szCs w:val="24"/>
        </w:rPr>
        <w:t>Research Approach</w:t>
      </w:r>
      <w:bookmarkEnd w:id="13"/>
    </w:p>
    <w:p w14:paraId="6CB7A670">
      <w:pPr>
        <w:spacing w:line="276" w:lineRule="auto"/>
        <w:rPr>
          <w:rFonts w:asciiTheme="majorBidi" w:hAnsiTheme="majorBidi" w:cstheme="majorBidi"/>
          <w:lang w:val="en-US"/>
        </w:rPr>
      </w:pPr>
      <w:r>
        <w:rPr>
          <w:rFonts w:asciiTheme="majorBidi" w:hAnsiTheme="majorBidi" w:cstheme="majorBidi"/>
        </w:rPr>
        <w:t>In this study, a quantitative research approach</w:t>
      </w:r>
      <w:r>
        <w:rPr>
          <w:rFonts w:asciiTheme="majorBidi" w:hAnsiTheme="majorBidi" w:cstheme="majorBidi"/>
          <w:lang w:val="en-US"/>
        </w:rPr>
        <w:t xml:space="preserve"> </w:t>
      </w:r>
      <w:r>
        <w:rPr>
          <w:rFonts w:asciiTheme="majorBidi" w:hAnsiTheme="majorBidi" w:cstheme="majorBidi"/>
        </w:rPr>
        <w:t>adopted because it permits the</w:t>
      </w:r>
      <w:r>
        <w:rPr>
          <w:rFonts w:asciiTheme="majorBidi" w:hAnsiTheme="majorBidi" w:cstheme="majorBidi"/>
          <w:lang w:val="en-US"/>
        </w:rPr>
        <w:t xml:space="preserve"> </w:t>
      </w:r>
      <w:r>
        <w:rPr>
          <w:rFonts w:asciiTheme="majorBidi" w:hAnsiTheme="majorBidi" w:cstheme="majorBidi"/>
        </w:rPr>
        <w:t>researcher to get information from quantitative data for better understanding of the</w:t>
      </w:r>
      <w:r>
        <w:rPr>
          <w:rFonts w:asciiTheme="majorBidi" w:hAnsiTheme="majorBidi" w:cstheme="majorBidi"/>
          <w:lang w:val="en-US"/>
        </w:rPr>
        <w:t xml:space="preserve"> </w:t>
      </w:r>
      <w:r>
        <w:rPr>
          <w:rFonts w:asciiTheme="majorBidi" w:hAnsiTheme="majorBidi" w:cstheme="majorBidi"/>
        </w:rPr>
        <w:t xml:space="preserve">problem. Moreover, the existence of shortcomings, </w:t>
      </w:r>
      <w:r>
        <w:rPr>
          <w:rFonts w:asciiTheme="majorBidi" w:hAnsiTheme="majorBidi" w:cstheme="majorBidi"/>
          <w:lang w:val="en-US"/>
        </w:rPr>
        <w:t xml:space="preserve">in </w:t>
      </w:r>
      <w:r>
        <w:rPr>
          <w:rFonts w:asciiTheme="majorBidi" w:hAnsiTheme="majorBidi" w:cstheme="majorBidi"/>
        </w:rPr>
        <w:t>the use of this method ensures that</w:t>
      </w:r>
      <w:r>
        <w:rPr>
          <w:rFonts w:asciiTheme="majorBidi" w:hAnsiTheme="majorBidi" w:cstheme="majorBidi"/>
          <w:lang w:val="en-US"/>
        </w:rPr>
        <w:t xml:space="preserve"> </w:t>
      </w:r>
      <w:r>
        <w:rPr>
          <w:rFonts w:asciiTheme="majorBidi" w:hAnsiTheme="majorBidi" w:cstheme="majorBidi"/>
        </w:rPr>
        <w:t>biases built in either of the methods were neutralized by the strength of the other.</w:t>
      </w:r>
      <w:r>
        <w:rPr>
          <w:rFonts w:asciiTheme="majorBidi" w:hAnsiTheme="majorBidi" w:cstheme="majorBidi"/>
          <w:lang w:val="en-US"/>
        </w:rPr>
        <w:t xml:space="preserve"> </w:t>
      </w:r>
    </w:p>
    <w:p w14:paraId="5C791397">
      <w:pPr>
        <w:spacing w:line="276" w:lineRule="auto"/>
        <w:rPr>
          <w:rFonts w:asciiTheme="majorBidi" w:hAnsiTheme="majorBidi" w:cstheme="majorBidi"/>
          <w:lang w:val="en-US"/>
        </w:rPr>
      </w:pPr>
      <w:r>
        <w:rPr>
          <w:rFonts w:asciiTheme="majorBidi" w:hAnsiTheme="majorBidi" w:cstheme="majorBidi"/>
        </w:rPr>
        <w:t>Quantitative research is based on the measurement of quantity</w:t>
      </w:r>
      <w:r>
        <w:rPr>
          <w:rFonts w:asciiTheme="majorBidi" w:hAnsiTheme="majorBidi" w:cstheme="majorBidi"/>
          <w:lang w:val="en-US"/>
        </w:rPr>
        <w:t xml:space="preserve"> </w:t>
      </w:r>
      <w:r>
        <w:rPr>
          <w:rFonts w:asciiTheme="majorBidi" w:hAnsiTheme="majorBidi" w:cstheme="majorBidi"/>
        </w:rPr>
        <w:t>or amount. It applies to phenomena that can be expressed in quantity</w:t>
      </w:r>
      <w:sdt>
        <w:sdtPr>
          <w:rPr>
            <w:rFonts w:asciiTheme="majorBidi" w:hAnsiTheme="majorBidi" w:cstheme="majorBidi"/>
          </w:rPr>
          <w:id w:val="-1394190761"/>
        </w:sdtPr>
        <w:sdtEndPr>
          <w:rPr>
            <w:rFonts w:asciiTheme="majorBidi" w:hAnsiTheme="majorBidi" w:cstheme="majorBidi"/>
          </w:rPr>
        </w:sdtEndPr>
        <w:sdtContent>
          <w:r>
            <w:rPr>
              <w:rFonts w:asciiTheme="majorBidi" w:hAnsiTheme="majorBidi" w:cstheme="majorBidi"/>
            </w:rPr>
            <w:fldChar w:fldCharType="begin"/>
          </w:r>
          <w:r>
            <w:rPr>
              <w:rFonts w:asciiTheme="majorBidi" w:hAnsiTheme="majorBidi" w:cstheme="majorBidi"/>
              <w:lang w:val="en-US"/>
            </w:rPr>
            <w:instrText xml:space="preserve"> CITATION CRK04 \l 1033 </w:instrText>
          </w:r>
          <w:r>
            <w:rPr>
              <w:rFonts w:asciiTheme="majorBidi" w:hAnsiTheme="majorBidi" w:cstheme="majorBidi"/>
            </w:rPr>
            <w:fldChar w:fldCharType="separate"/>
          </w:r>
          <w:r>
            <w:rPr>
              <w:rFonts w:asciiTheme="majorBidi" w:hAnsiTheme="majorBidi" w:cstheme="majorBidi"/>
              <w:lang w:val="en-US"/>
            </w:rPr>
            <w:t xml:space="preserve"> (KOTHARI, 2004)</w:t>
          </w:r>
          <w:r>
            <w:rPr>
              <w:rFonts w:asciiTheme="majorBidi" w:hAnsiTheme="majorBidi" w:cstheme="majorBidi"/>
            </w:rPr>
            <w:fldChar w:fldCharType="end"/>
          </w:r>
        </w:sdtContent>
      </w:sdt>
      <w:r>
        <w:rPr>
          <w:rFonts w:asciiTheme="majorBidi" w:hAnsiTheme="majorBidi" w:cstheme="majorBidi"/>
        </w:rPr>
        <w:t>.</w:t>
      </w:r>
      <w:r>
        <w:rPr>
          <w:rFonts w:asciiTheme="majorBidi" w:hAnsiTheme="majorBidi" w:cstheme="majorBidi"/>
          <w:lang w:val="en-US"/>
        </w:rPr>
        <w:t xml:space="preserve"> </w:t>
      </w:r>
    </w:p>
    <w:p w14:paraId="6AD28692">
      <w:pPr>
        <w:pStyle w:val="3"/>
        <w:spacing w:line="276" w:lineRule="auto"/>
        <w:ind w:left="720" w:firstLine="0"/>
        <w:rPr>
          <w:rFonts w:asciiTheme="majorBidi" w:hAnsiTheme="majorBidi"/>
          <w:sz w:val="24"/>
          <w:szCs w:val="24"/>
        </w:rPr>
      </w:pPr>
      <w:bookmarkStart w:id="14" w:name="_Toc136959589"/>
      <w:r>
        <w:rPr>
          <w:rFonts w:asciiTheme="majorBidi" w:hAnsiTheme="majorBidi"/>
          <w:sz w:val="24"/>
          <w:szCs w:val="24"/>
        </w:rPr>
        <w:t>Research Design</w:t>
      </w:r>
      <w:bookmarkEnd w:id="14"/>
    </w:p>
    <w:p w14:paraId="29816F06">
      <w:pPr>
        <w:spacing w:line="276" w:lineRule="auto"/>
        <w:rPr>
          <w:rFonts w:asciiTheme="majorBidi" w:hAnsiTheme="majorBidi" w:cstheme="majorBidi"/>
          <w:color w:val="000000"/>
        </w:rPr>
      </w:pPr>
      <w:r>
        <w:rPr>
          <w:rFonts w:asciiTheme="majorBidi" w:hAnsiTheme="majorBidi" w:cstheme="majorBidi"/>
        </w:rPr>
        <w:t xml:space="preserve">The researcher </w:t>
      </w:r>
      <w:r>
        <w:rPr>
          <w:rFonts w:asciiTheme="majorBidi" w:hAnsiTheme="majorBidi" w:cstheme="majorBidi"/>
          <w:lang w:val="en-US"/>
        </w:rPr>
        <w:t>was</w:t>
      </w:r>
      <w:r>
        <w:rPr>
          <w:rFonts w:asciiTheme="majorBidi" w:hAnsiTheme="majorBidi" w:cstheme="majorBidi"/>
        </w:rPr>
        <w:t xml:space="preserve"> employed an explanatory research design because the research conducted to determine whether the dependent variable is explained by independent</w:t>
      </w:r>
      <w:r>
        <w:rPr>
          <w:rFonts w:asciiTheme="majorBidi" w:hAnsiTheme="majorBidi" w:cstheme="majorBidi"/>
          <w:lang w:val="en-US"/>
        </w:rPr>
        <w:t xml:space="preserve"> </w:t>
      </w:r>
      <w:r>
        <w:rPr>
          <w:rFonts w:asciiTheme="majorBidi" w:hAnsiTheme="majorBidi" w:cstheme="majorBidi"/>
        </w:rPr>
        <w:t>variables.</w:t>
      </w:r>
      <w:r>
        <w:rPr>
          <w:rFonts w:asciiTheme="majorBidi" w:hAnsiTheme="majorBidi" w:cstheme="majorBidi"/>
          <w:lang w:val="en-US"/>
        </w:rPr>
        <w:t xml:space="preserve"> </w:t>
      </w:r>
      <w:r>
        <w:rPr>
          <w:rFonts w:asciiTheme="majorBidi" w:hAnsiTheme="majorBidi" w:cstheme="majorBidi"/>
        </w:rPr>
        <w:t xml:space="preserve">Simply the study tries to determine whether the </w:t>
      </w:r>
      <w:r>
        <w:rPr>
          <w:rFonts w:asciiTheme="majorBidi" w:hAnsiTheme="majorBidi" w:cstheme="majorBidi"/>
          <w:lang w:val="en-US"/>
        </w:rPr>
        <w:t xml:space="preserve">financial operations  in ministry of finance of Puntland </w:t>
      </w:r>
      <w:r>
        <w:rPr>
          <w:rFonts w:asciiTheme="majorBidi" w:hAnsiTheme="majorBidi" w:cstheme="majorBidi"/>
        </w:rPr>
        <w:t xml:space="preserve">is significantly affected by </w:t>
      </w:r>
      <w:r>
        <w:rPr>
          <w:rFonts w:asciiTheme="majorBidi" w:hAnsiTheme="majorBidi" w:cstheme="majorBidi"/>
          <w:lang w:val="en-US"/>
        </w:rPr>
        <w:t>political commitment, technical capacity and donor’s support</w:t>
      </w:r>
      <w:r>
        <w:rPr>
          <w:rFonts w:asciiTheme="majorBidi" w:hAnsiTheme="majorBidi" w:cstheme="majorBidi"/>
        </w:rPr>
        <w:t xml:space="preserve"> is there components.</w:t>
      </w:r>
      <w:r>
        <w:rPr>
          <w:rFonts w:asciiTheme="majorBidi" w:hAnsiTheme="majorBidi" w:cstheme="majorBidi"/>
          <w:b/>
          <w:bCs/>
        </w:rPr>
        <w:t xml:space="preserve">  </w:t>
      </w:r>
      <w:r>
        <w:rPr>
          <w:rFonts w:asciiTheme="majorBidi" w:hAnsiTheme="majorBidi" w:cstheme="majorBidi"/>
        </w:rPr>
        <w:t>So the appropriate research design for this study is explanatory.</w:t>
      </w:r>
    </w:p>
    <w:p w14:paraId="658D06E1">
      <w:pPr>
        <w:pStyle w:val="3"/>
        <w:spacing w:line="276" w:lineRule="auto"/>
        <w:ind w:left="720" w:firstLine="0"/>
        <w:rPr>
          <w:rFonts w:asciiTheme="majorBidi" w:hAnsiTheme="majorBidi"/>
          <w:sz w:val="24"/>
          <w:szCs w:val="24"/>
        </w:rPr>
      </w:pPr>
      <w:r>
        <w:rPr>
          <w:rFonts w:asciiTheme="majorBidi" w:hAnsiTheme="majorBidi"/>
          <w:sz w:val="24"/>
          <w:szCs w:val="24"/>
        </w:rPr>
        <w:t xml:space="preserve"> </w:t>
      </w:r>
      <w:bookmarkStart w:id="15" w:name="_Toc136959590"/>
      <w:r>
        <w:rPr>
          <w:rFonts w:asciiTheme="majorBidi" w:hAnsiTheme="majorBidi"/>
          <w:sz w:val="24"/>
          <w:szCs w:val="24"/>
        </w:rPr>
        <w:t>Population and Sampling Size</w:t>
      </w:r>
      <w:bookmarkEnd w:id="15"/>
    </w:p>
    <w:p w14:paraId="6E4DCD70">
      <w:pPr>
        <w:spacing w:line="276" w:lineRule="auto"/>
        <w:rPr>
          <w:rFonts w:asciiTheme="majorBidi" w:hAnsiTheme="majorBidi" w:cstheme="majorBidi"/>
          <w:lang w:val="en-US"/>
        </w:rPr>
      </w:pPr>
      <w:r>
        <w:rPr>
          <w:rFonts w:asciiTheme="majorBidi" w:hAnsiTheme="majorBidi" w:cstheme="majorBidi"/>
          <w:lang w:val="en-US"/>
        </w:rPr>
        <w:t xml:space="preserve">Population means a </w:t>
      </w:r>
      <w:r>
        <w:rPr>
          <w:rFonts w:asciiTheme="majorBidi" w:hAnsiTheme="majorBidi" w:cstheme="majorBidi"/>
        </w:rPr>
        <w:t>complete set of elements (persons or objects) that possess some common characteristic defined by the sampling criteria established by the researcher</w:t>
      </w:r>
      <w:r>
        <w:rPr>
          <w:rFonts w:asciiTheme="majorBidi" w:hAnsiTheme="majorBidi" w:cstheme="majorBidi"/>
          <w:lang w:val="en-US"/>
        </w:rPr>
        <w:t>.</w:t>
      </w:r>
    </w:p>
    <w:p w14:paraId="39CF2A83">
      <w:pPr>
        <w:spacing w:line="276" w:lineRule="auto"/>
        <w:rPr>
          <w:rFonts w:asciiTheme="majorBidi" w:hAnsiTheme="majorBidi" w:cstheme="majorBidi"/>
        </w:rPr>
      </w:pPr>
      <w:r>
        <w:rPr>
          <w:rFonts w:asciiTheme="majorBidi" w:hAnsiTheme="majorBidi" w:cstheme="majorBidi"/>
          <w:lang w:val="en-US"/>
        </w:rPr>
        <w:t xml:space="preserve">According to </w:t>
      </w:r>
      <w:sdt>
        <w:sdtPr>
          <w:rPr>
            <w:rFonts w:asciiTheme="majorBidi" w:hAnsiTheme="majorBidi" w:cstheme="majorBidi"/>
            <w:lang w:val="en-US"/>
          </w:rPr>
          <w:id w:val="639856323"/>
        </w:sdtPr>
        <w:sdtEndPr>
          <w:rPr>
            <w:rFonts w:asciiTheme="majorBidi" w:hAnsiTheme="majorBidi" w:cstheme="majorBidi"/>
            <w:lang w:val="en-US"/>
          </w:rPr>
        </w:sdtEndPr>
        <w:sdtContent>
          <w:r>
            <w:rPr>
              <w:rFonts w:asciiTheme="majorBidi" w:hAnsiTheme="majorBidi" w:cstheme="majorBidi"/>
              <w:lang w:val="en-US"/>
            </w:rPr>
            <w:fldChar w:fldCharType="begin"/>
          </w:r>
          <w:r>
            <w:rPr>
              <w:rFonts w:asciiTheme="majorBidi" w:hAnsiTheme="majorBidi" w:cstheme="majorBidi"/>
              <w:lang w:val="en-US"/>
            </w:rPr>
            <w:instrText xml:space="preserve"> CITATION CRK04 \l 1033 </w:instrText>
          </w:r>
          <w:r>
            <w:rPr>
              <w:rFonts w:asciiTheme="majorBidi" w:hAnsiTheme="majorBidi" w:cstheme="majorBidi"/>
              <w:lang w:val="en-US"/>
            </w:rPr>
            <w:fldChar w:fldCharType="separate"/>
          </w:r>
          <w:r>
            <w:rPr>
              <w:rFonts w:asciiTheme="majorBidi" w:hAnsiTheme="majorBidi" w:cstheme="majorBidi"/>
              <w:lang w:val="en-US"/>
            </w:rPr>
            <w:t>(KOTHARI, 2004)</w:t>
          </w:r>
          <w:r>
            <w:rPr>
              <w:rFonts w:asciiTheme="majorBidi" w:hAnsiTheme="majorBidi" w:cstheme="majorBidi"/>
              <w:lang w:val="en-US"/>
            </w:rPr>
            <w:fldChar w:fldCharType="end"/>
          </w:r>
        </w:sdtContent>
      </w:sdt>
      <w:r>
        <w:rPr>
          <w:rFonts w:asciiTheme="majorBidi" w:hAnsiTheme="majorBidi" w:cstheme="majorBidi"/>
          <w:lang w:val="en-US"/>
        </w:rPr>
        <w:t xml:space="preserve"> </w:t>
      </w:r>
      <w:r>
        <w:rPr>
          <w:rFonts w:asciiTheme="majorBidi" w:hAnsiTheme="majorBidi" w:cstheme="majorBidi"/>
        </w:rPr>
        <w:t>target population refers to the entire group of people, things, or events that are of</w:t>
      </w:r>
      <w:r>
        <w:rPr>
          <w:rFonts w:asciiTheme="majorBidi" w:hAnsiTheme="majorBidi" w:cstheme="majorBidi"/>
          <w:lang w:val="en-US"/>
        </w:rPr>
        <w:t xml:space="preserve"> </w:t>
      </w:r>
      <w:r>
        <w:rPr>
          <w:rFonts w:asciiTheme="majorBidi" w:hAnsiTheme="majorBidi" w:cstheme="majorBidi"/>
        </w:rPr>
        <w:t>interest to a researcher, who would like to investigate further.</w:t>
      </w:r>
      <w:r>
        <w:rPr>
          <w:rFonts w:asciiTheme="majorBidi" w:hAnsiTheme="majorBidi" w:cstheme="majorBidi"/>
          <w:lang w:val="en-US"/>
        </w:rPr>
        <w:t xml:space="preserve"> </w:t>
      </w:r>
      <w:r>
        <w:rPr>
          <w:rFonts w:asciiTheme="majorBidi" w:hAnsiTheme="majorBidi" w:cstheme="majorBidi"/>
        </w:rPr>
        <w:t>Population refers to the</w:t>
      </w:r>
      <w:r>
        <w:rPr>
          <w:rFonts w:asciiTheme="majorBidi" w:hAnsiTheme="majorBidi" w:cstheme="majorBidi"/>
          <w:lang w:val="en-US"/>
        </w:rPr>
        <w:t xml:space="preserve"> </w:t>
      </w:r>
      <w:r>
        <w:rPr>
          <w:rFonts w:asciiTheme="majorBidi" w:hAnsiTheme="majorBidi" w:cstheme="majorBidi"/>
        </w:rPr>
        <w:t>total of items about which the information is desired.</w:t>
      </w:r>
      <w:r>
        <w:rPr>
          <w:rFonts w:asciiTheme="majorBidi" w:hAnsiTheme="majorBidi" w:cstheme="majorBidi"/>
          <w:lang w:val="en-US"/>
        </w:rPr>
        <w:t xml:space="preserve"> </w:t>
      </w:r>
      <w:r>
        <w:rPr>
          <w:rFonts w:asciiTheme="majorBidi" w:hAnsiTheme="majorBidi" w:cstheme="majorBidi"/>
        </w:rPr>
        <w:t>The target</w:t>
      </w:r>
      <w:r>
        <w:rPr>
          <w:rFonts w:asciiTheme="majorBidi" w:hAnsiTheme="majorBidi" w:cstheme="majorBidi"/>
          <w:lang w:val="en-US"/>
        </w:rPr>
        <w:t xml:space="preserve"> </w:t>
      </w:r>
      <w:r>
        <w:rPr>
          <w:rFonts w:asciiTheme="majorBidi" w:hAnsiTheme="majorBidi" w:cstheme="majorBidi"/>
        </w:rPr>
        <w:t>population for this study</w:t>
      </w:r>
      <w:r>
        <w:rPr>
          <w:rFonts w:asciiTheme="majorBidi" w:hAnsiTheme="majorBidi" w:cstheme="majorBidi"/>
          <w:lang w:val="en-US"/>
        </w:rPr>
        <w:t xml:space="preserve"> </w:t>
      </w:r>
      <w:r>
        <w:rPr>
          <w:rFonts w:asciiTheme="majorBidi" w:hAnsiTheme="majorBidi" w:cstheme="majorBidi"/>
        </w:rPr>
        <w:t xml:space="preserve">consist of 120 employees in the Ministry of </w:t>
      </w:r>
      <w:r>
        <w:rPr>
          <w:rFonts w:asciiTheme="majorBidi" w:hAnsiTheme="majorBidi" w:cstheme="majorBidi"/>
          <w:lang w:val="en-US"/>
        </w:rPr>
        <w:t>Finance</w:t>
      </w:r>
      <w:r>
        <w:rPr>
          <w:rFonts w:asciiTheme="majorBidi" w:hAnsiTheme="majorBidi" w:cstheme="majorBidi"/>
        </w:rPr>
        <w:t xml:space="preserve"> heard</w:t>
      </w:r>
      <w:r>
        <w:rPr>
          <w:rFonts w:asciiTheme="majorBidi" w:hAnsiTheme="majorBidi" w:cstheme="majorBidi"/>
          <w:lang w:val="en-US"/>
        </w:rPr>
        <w:t>-</w:t>
      </w:r>
      <w:r>
        <w:rPr>
          <w:rFonts w:asciiTheme="majorBidi" w:hAnsiTheme="majorBidi" w:cstheme="majorBidi"/>
        </w:rPr>
        <w:t>quarter in Garowe</w:t>
      </w:r>
      <w:r>
        <w:rPr>
          <w:rFonts w:asciiTheme="majorBidi" w:hAnsiTheme="majorBidi" w:cstheme="majorBidi"/>
          <w:lang w:val="en-US"/>
        </w:rPr>
        <w:t xml:space="preserve"> </w:t>
      </w:r>
      <w:r>
        <w:rPr>
          <w:rFonts w:asciiTheme="majorBidi" w:hAnsiTheme="majorBidi" w:cstheme="majorBidi"/>
        </w:rPr>
        <w:t>Puntland.</w:t>
      </w:r>
      <w:r>
        <w:rPr>
          <w:rFonts w:asciiTheme="majorBidi" w:hAnsiTheme="majorBidi" w:cstheme="majorBidi"/>
          <w:lang w:val="en-US"/>
        </w:rPr>
        <w:t xml:space="preserve"> </w:t>
      </w:r>
      <w:r>
        <w:rPr>
          <w:rFonts w:asciiTheme="majorBidi" w:hAnsiTheme="majorBidi" w:cstheme="majorBidi"/>
        </w:rPr>
        <w:t>The populations of the research were taken from the number</w:t>
      </w:r>
      <w:r>
        <w:rPr>
          <w:rFonts w:asciiTheme="majorBidi" w:hAnsiTheme="majorBidi" w:cstheme="majorBidi"/>
          <w:lang w:val="en-US"/>
        </w:rPr>
        <w:t xml:space="preserve"> </w:t>
      </w:r>
      <w:r>
        <w:rPr>
          <w:rFonts w:asciiTheme="majorBidi" w:hAnsiTheme="majorBidi" w:cstheme="majorBidi"/>
        </w:rPr>
        <w:t xml:space="preserve">of employees of the Ministry of Finance in Puntland state of Somalia, so </w:t>
      </w:r>
      <w:r>
        <w:rPr>
          <w:rFonts w:asciiTheme="majorBidi" w:hAnsiTheme="majorBidi" w:cstheme="majorBidi"/>
          <w:lang w:val="en-US"/>
        </w:rPr>
        <w:t>the</w:t>
      </w:r>
      <w:r>
        <w:rPr>
          <w:rFonts w:asciiTheme="majorBidi" w:hAnsiTheme="majorBidi" w:cstheme="majorBidi"/>
        </w:rPr>
        <w:t xml:space="preserve"> target</w:t>
      </w:r>
      <w:r>
        <w:rPr>
          <w:rFonts w:asciiTheme="majorBidi" w:hAnsiTheme="majorBidi" w:cstheme="majorBidi"/>
          <w:lang w:val="en-US"/>
        </w:rPr>
        <w:t xml:space="preserve"> </w:t>
      </w:r>
      <w:r>
        <w:rPr>
          <w:rFonts w:asciiTheme="majorBidi" w:hAnsiTheme="majorBidi" w:cstheme="majorBidi"/>
        </w:rPr>
        <w:t>population of the study</w:t>
      </w:r>
      <w:r>
        <w:rPr>
          <w:rFonts w:asciiTheme="majorBidi" w:hAnsiTheme="majorBidi" w:cstheme="majorBidi"/>
          <w:lang w:val="en-US"/>
        </w:rPr>
        <w:t xml:space="preserve"> </w:t>
      </w:r>
      <w:r>
        <w:rPr>
          <w:rFonts w:asciiTheme="majorBidi" w:hAnsiTheme="majorBidi" w:cstheme="majorBidi"/>
        </w:rPr>
        <w:t>are divided into five</w:t>
      </w:r>
      <w:r>
        <w:rPr>
          <w:rFonts w:asciiTheme="majorBidi" w:hAnsiTheme="majorBidi" w:cstheme="majorBidi"/>
          <w:lang w:val="en-US"/>
        </w:rPr>
        <w:t xml:space="preserve"> </w:t>
      </w:r>
      <w:r>
        <w:rPr>
          <w:rFonts w:asciiTheme="majorBidi" w:hAnsiTheme="majorBidi" w:cstheme="majorBidi"/>
        </w:rPr>
        <w:t>departments; Admin &amp;Finance, Planning &amp;</w:t>
      </w:r>
      <w:r>
        <w:rPr>
          <w:rFonts w:asciiTheme="majorBidi" w:hAnsiTheme="majorBidi" w:cstheme="majorBidi"/>
          <w:lang w:val="en-US"/>
        </w:rPr>
        <w:t xml:space="preserve"> </w:t>
      </w:r>
      <w:r>
        <w:rPr>
          <w:rFonts w:asciiTheme="majorBidi" w:hAnsiTheme="majorBidi" w:cstheme="majorBidi"/>
        </w:rPr>
        <w:t>Statistics,</w:t>
      </w:r>
      <w:r>
        <w:rPr>
          <w:rFonts w:asciiTheme="majorBidi" w:hAnsiTheme="majorBidi" w:cstheme="majorBidi"/>
          <w:lang w:val="en-US"/>
        </w:rPr>
        <w:t xml:space="preserve"> </w:t>
      </w:r>
      <w:r>
        <w:rPr>
          <w:rFonts w:asciiTheme="majorBidi" w:hAnsiTheme="majorBidi" w:cstheme="majorBidi"/>
        </w:rPr>
        <w:t>Inland Revenue,</w:t>
      </w:r>
      <w:r>
        <w:rPr>
          <w:rFonts w:asciiTheme="majorBidi" w:hAnsiTheme="majorBidi" w:cstheme="majorBidi"/>
          <w:lang w:val="en-US"/>
        </w:rPr>
        <w:t xml:space="preserve"> </w:t>
      </w:r>
      <w:r>
        <w:rPr>
          <w:rFonts w:asciiTheme="majorBidi" w:hAnsiTheme="majorBidi" w:cstheme="majorBidi"/>
        </w:rPr>
        <w:t>Customs Department and Budget Department that was chosen</w:t>
      </w:r>
      <w:r>
        <w:rPr>
          <w:rFonts w:asciiTheme="majorBidi" w:hAnsiTheme="majorBidi" w:cstheme="majorBidi"/>
          <w:lang w:val="en-US"/>
        </w:rPr>
        <w:t xml:space="preserve"> </w:t>
      </w:r>
      <w:r>
        <w:rPr>
          <w:rFonts w:asciiTheme="majorBidi" w:hAnsiTheme="majorBidi" w:cstheme="majorBidi"/>
        </w:rPr>
        <w:t xml:space="preserve">by headquarter of Ministry of Finance in </w:t>
      </w:r>
      <w:r>
        <w:rPr>
          <w:rFonts w:asciiTheme="majorBidi" w:hAnsiTheme="majorBidi" w:cstheme="majorBidi"/>
          <w:lang w:val="en-US"/>
        </w:rPr>
        <w:t>Puntland from</w:t>
      </w:r>
      <w:r>
        <w:rPr>
          <w:rFonts w:asciiTheme="majorBidi" w:hAnsiTheme="majorBidi" w:cstheme="majorBidi"/>
        </w:rPr>
        <w:t xml:space="preserve"> which the sample size of the</w:t>
      </w:r>
      <w:r>
        <w:rPr>
          <w:rFonts w:asciiTheme="majorBidi" w:hAnsiTheme="majorBidi" w:cstheme="majorBidi"/>
          <w:lang w:val="en-US"/>
        </w:rPr>
        <w:t xml:space="preserve"> </w:t>
      </w:r>
      <w:r>
        <w:rPr>
          <w:rFonts w:asciiTheme="majorBidi" w:hAnsiTheme="majorBidi" w:cstheme="majorBidi"/>
        </w:rPr>
        <w:t>study  drawn from 92.</w:t>
      </w:r>
    </w:p>
    <w:p w14:paraId="5B9EC1EC">
      <w:pPr>
        <w:spacing w:line="276" w:lineRule="auto"/>
        <w:rPr>
          <w:rFonts w:asciiTheme="majorBidi" w:hAnsiTheme="majorBidi" w:cstheme="majorBidi"/>
          <w:b/>
          <w:bCs/>
          <w:i/>
          <w:iCs/>
          <w:lang w:val="en-US"/>
        </w:rPr>
      </w:pPr>
      <w:r>
        <w:rPr>
          <w:rFonts w:asciiTheme="majorBidi" w:hAnsiTheme="majorBidi" w:cstheme="majorBidi"/>
          <w:b/>
          <w:bCs/>
          <w:i/>
          <w:iCs/>
          <w:lang w:val="en-US"/>
        </w:rPr>
        <w:t>Source: Keenadiid Ali - Director General - Ministry of Finance Puntland.</w:t>
      </w:r>
    </w:p>
    <w:p w14:paraId="74826EDF">
      <w:pPr>
        <w:pStyle w:val="4"/>
        <w:spacing w:line="276" w:lineRule="auto"/>
        <w:ind w:left="720" w:firstLine="0"/>
        <w:rPr>
          <w:rFonts w:asciiTheme="majorBidi" w:hAnsiTheme="majorBidi"/>
          <w:sz w:val="24"/>
          <w:szCs w:val="24"/>
        </w:rPr>
      </w:pPr>
      <w:bookmarkStart w:id="16" w:name="_Toc136959591"/>
      <w:r>
        <w:rPr>
          <w:rFonts w:asciiTheme="majorBidi" w:hAnsiTheme="majorBidi"/>
          <w:sz w:val="24"/>
          <w:szCs w:val="24"/>
        </w:rPr>
        <w:t>Sample Size</w:t>
      </w:r>
      <w:bookmarkEnd w:id="16"/>
    </w:p>
    <w:p w14:paraId="0D999184">
      <w:pPr>
        <w:spacing w:line="276" w:lineRule="auto"/>
        <w:rPr>
          <w:rFonts w:asciiTheme="majorBidi" w:hAnsiTheme="majorBidi" w:cstheme="majorBidi"/>
        </w:rPr>
      </w:pPr>
      <w:r>
        <w:rPr>
          <w:rFonts w:asciiTheme="majorBidi" w:hAnsiTheme="majorBidi" w:cstheme="majorBidi"/>
          <w:lang w:val="en-US"/>
        </w:rPr>
        <w:t>The size</w:t>
      </w:r>
      <w:r>
        <w:rPr>
          <w:rFonts w:asciiTheme="majorBidi" w:hAnsiTheme="majorBidi" w:cstheme="majorBidi"/>
        </w:rPr>
        <w:t xml:space="preserve"> of sample refers to the number of items to be selected from the universe to</w:t>
      </w:r>
      <w:r>
        <w:rPr>
          <w:rFonts w:asciiTheme="majorBidi" w:hAnsiTheme="majorBidi" w:cstheme="majorBidi"/>
          <w:lang w:val="en-US"/>
        </w:rPr>
        <w:t xml:space="preserve"> </w:t>
      </w:r>
      <w:r>
        <w:rPr>
          <w:rFonts w:asciiTheme="majorBidi" w:hAnsiTheme="majorBidi" w:cstheme="majorBidi"/>
        </w:rPr>
        <w:t xml:space="preserve">constitute a sample. The size of </w:t>
      </w:r>
      <w:r>
        <w:rPr>
          <w:rFonts w:asciiTheme="majorBidi" w:hAnsiTheme="majorBidi" w:cstheme="majorBidi"/>
          <w:lang w:val="en-US"/>
        </w:rPr>
        <w:t xml:space="preserve">the </w:t>
      </w:r>
      <w:r>
        <w:rPr>
          <w:rFonts w:asciiTheme="majorBidi" w:hAnsiTheme="majorBidi" w:cstheme="majorBidi"/>
        </w:rPr>
        <w:t>sample should</w:t>
      </w:r>
      <w:r>
        <w:rPr>
          <w:rFonts w:asciiTheme="majorBidi" w:hAnsiTheme="majorBidi" w:cstheme="majorBidi"/>
          <w:lang w:val="en-US"/>
        </w:rPr>
        <w:t xml:space="preserve"> </w:t>
      </w:r>
      <w:r>
        <w:rPr>
          <w:rFonts w:asciiTheme="majorBidi" w:hAnsiTheme="majorBidi" w:cstheme="majorBidi"/>
        </w:rPr>
        <w:t>neither be excessively large nor too small</w:t>
      </w:r>
      <w:sdt>
        <w:sdtPr>
          <w:rPr>
            <w:rFonts w:asciiTheme="majorBidi" w:hAnsiTheme="majorBidi" w:cstheme="majorBidi"/>
          </w:rPr>
          <w:id w:val="-2128698016"/>
        </w:sdtPr>
        <w:sdtEndPr>
          <w:rPr>
            <w:rFonts w:asciiTheme="majorBidi" w:hAnsiTheme="majorBidi" w:cstheme="majorBidi"/>
          </w:rPr>
        </w:sdtEndPr>
        <w:sdtContent>
          <w:r>
            <w:rPr>
              <w:rFonts w:asciiTheme="majorBidi" w:hAnsiTheme="majorBidi" w:cstheme="majorBidi"/>
            </w:rPr>
            <w:fldChar w:fldCharType="begin"/>
          </w:r>
          <w:r>
            <w:rPr>
              <w:rFonts w:asciiTheme="majorBidi" w:hAnsiTheme="majorBidi" w:cstheme="majorBidi"/>
              <w:lang w:val="en-US"/>
            </w:rPr>
            <w:instrText xml:space="preserve"> CITATION CRK04 \l 1033 </w:instrText>
          </w:r>
          <w:r>
            <w:rPr>
              <w:rFonts w:asciiTheme="majorBidi" w:hAnsiTheme="majorBidi" w:cstheme="majorBidi"/>
            </w:rPr>
            <w:fldChar w:fldCharType="separate"/>
          </w:r>
          <w:r>
            <w:rPr>
              <w:rFonts w:asciiTheme="majorBidi" w:hAnsiTheme="majorBidi" w:cstheme="majorBidi"/>
              <w:lang w:val="en-US"/>
            </w:rPr>
            <w:t xml:space="preserve"> (KOTHARI, 2004)</w:t>
          </w:r>
          <w:r>
            <w:rPr>
              <w:rFonts w:asciiTheme="majorBidi" w:hAnsiTheme="majorBidi" w:cstheme="majorBidi"/>
            </w:rPr>
            <w:fldChar w:fldCharType="end"/>
          </w:r>
        </w:sdtContent>
      </w:sdt>
      <w:r>
        <w:rPr>
          <w:rFonts w:asciiTheme="majorBidi" w:hAnsiTheme="majorBidi" w:cstheme="majorBidi"/>
        </w:rPr>
        <w:t>.</w:t>
      </w:r>
      <w:r>
        <w:rPr>
          <w:rFonts w:asciiTheme="majorBidi" w:hAnsiTheme="majorBidi" w:cstheme="majorBidi"/>
          <w:lang w:val="en-US"/>
        </w:rPr>
        <w:t xml:space="preserve"> </w:t>
      </w:r>
      <w:r>
        <w:rPr>
          <w:rFonts w:asciiTheme="majorBidi" w:hAnsiTheme="majorBidi" w:cstheme="majorBidi"/>
        </w:rPr>
        <w:t>The sample size for this study w</w:t>
      </w:r>
      <w:r>
        <w:rPr>
          <w:rFonts w:asciiTheme="majorBidi" w:hAnsiTheme="majorBidi" w:cstheme="majorBidi"/>
          <w:lang w:val="en-US"/>
        </w:rPr>
        <w:t xml:space="preserve">I’ll be </w:t>
      </w:r>
      <w:r>
        <w:rPr>
          <w:rFonts w:asciiTheme="majorBidi" w:hAnsiTheme="majorBidi" w:cstheme="majorBidi"/>
        </w:rPr>
        <w:t xml:space="preserve"> 92 from the</w:t>
      </w:r>
      <w:r>
        <w:rPr>
          <w:rFonts w:asciiTheme="majorBidi" w:hAnsiTheme="majorBidi" w:cstheme="majorBidi"/>
          <w:lang w:val="en-US"/>
        </w:rPr>
        <w:t xml:space="preserve"> </w:t>
      </w:r>
      <w:r>
        <w:rPr>
          <w:rFonts w:asciiTheme="majorBidi" w:hAnsiTheme="majorBidi" w:cstheme="majorBidi"/>
        </w:rPr>
        <w:t>target population of 120 that</w:t>
      </w:r>
      <w:r>
        <w:rPr>
          <w:rFonts w:asciiTheme="majorBidi" w:hAnsiTheme="majorBidi" w:cstheme="majorBidi"/>
          <w:lang w:val="en-US"/>
        </w:rPr>
        <w:t xml:space="preserve"> drawn</w:t>
      </w:r>
      <w:r>
        <w:rPr>
          <w:rFonts w:asciiTheme="majorBidi" w:hAnsiTheme="majorBidi" w:cstheme="majorBidi"/>
        </w:rPr>
        <w:t xml:space="preserve"> from departments of </w:t>
      </w:r>
      <w:r>
        <w:rPr>
          <w:rFonts w:asciiTheme="majorBidi" w:hAnsiTheme="majorBidi" w:cstheme="majorBidi"/>
          <w:lang w:val="en-US"/>
        </w:rPr>
        <w:t>Ministry</w:t>
      </w:r>
      <w:r>
        <w:rPr>
          <w:rFonts w:asciiTheme="majorBidi" w:hAnsiTheme="majorBidi" w:cstheme="majorBidi"/>
        </w:rPr>
        <w:t xml:space="preserve"> of finance of</w:t>
      </w:r>
      <w:r>
        <w:rPr>
          <w:rFonts w:asciiTheme="majorBidi" w:hAnsiTheme="majorBidi" w:cstheme="majorBidi"/>
          <w:lang w:val="en-US"/>
        </w:rPr>
        <w:t xml:space="preserve"> </w:t>
      </w:r>
      <w:r>
        <w:rPr>
          <w:rFonts w:asciiTheme="majorBidi" w:hAnsiTheme="majorBidi" w:cstheme="majorBidi"/>
        </w:rPr>
        <w:t xml:space="preserve">Puntland. The study </w:t>
      </w:r>
      <w:r>
        <w:rPr>
          <w:rFonts w:asciiTheme="majorBidi" w:hAnsiTheme="majorBidi" w:cstheme="majorBidi"/>
          <w:lang w:val="en-US"/>
        </w:rPr>
        <w:t xml:space="preserve"> </w:t>
      </w:r>
      <w:r>
        <w:rPr>
          <w:rFonts w:asciiTheme="majorBidi" w:hAnsiTheme="majorBidi" w:cstheme="majorBidi"/>
        </w:rPr>
        <w:t>employed Sloven’s formula to determine the sample size of the</w:t>
      </w:r>
      <w:r>
        <w:rPr>
          <w:rFonts w:asciiTheme="majorBidi" w:hAnsiTheme="majorBidi" w:cstheme="majorBidi"/>
          <w:lang w:val="en-US"/>
        </w:rPr>
        <w:t xml:space="preserve"> </w:t>
      </w:r>
      <w:r>
        <w:rPr>
          <w:rFonts w:asciiTheme="majorBidi" w:hAnsiTheme="majorBidi" w:cstheme="majorBidi"/>
        </w:rPr>
        <w:t>actual respondents.</w:t>
      </w:r>
    </w:p>
    <w:p w14:paraId="5770341E">
      <w:pPr>
        <w:spacing w:line="276" w:lineRule="auto"/>
        <w:rPr>
          <w:rFonts w:asciiTheme="majorBidi" w:hAnsiTheme="majorBidi" w:cstheme="majorBidi"/>
          <w:b/>
          <w:bCs/>
        </w:rPr>
      </w:pPr>
    </w:p>
    <w:p w14:paraId="068C4176">
      <w:pPr>
        <w:spacing w:line="276" w:lineRule="auto"/>
        <w:rPr>
          <w:rFonts w:asciiTheme="majorBidi" w:hAnsiTheme="majorBidi" w:cstheme="majorBidi"/>
          <w:b/>
          <w:bCs/>
          <w:lang w:val="en-US"/>
        </w:rPr>
      </w:pPr>
      <w:r>
        <w:rPr>
          <w:rFonts w:asciiTheme="majorBidi" w:hAnsiTheme="majorBidi" w:cstheme="majorBidi"/>
          <w:b/>
          <w:bCs/>
        </w:rPr>
        <w:t>Sloven’s formula</w:t>
      </w:r>
      <w:r>
        <w:rPr>
          <w:rFonts w:asciiTheme="majorBidi" w:hAnsiTheme="majorBidi" w:cstheme="majorBidi"/>
          <w:b/>
          <w:bCs/>
          <w:lang w:val="en-US"/>
        </w:rPr>
        <w:t xml:space="preserve"> states that </w:t>
      </w:r>
    </w:p>
    <w:p w14:paraId="4DB8082F">
      <w:pPr>
        <w:spacing w:line="276" w:lineRule="auto"/>
        <w:rPr>
          <w:rFonts w:asciiTheme="majorBidi" w:hAnsiTheme="majorBidi" w:eastAsiaTheme="minorEastAsia" w:cstheme="majorBidi"/>
        </w:rPr>
      </w:pPr>
      <w:r>
        <w:rPr>
          <w:rFonts w:asciiTheme="majorBidi" w:hAnsiTheme="majorBidi" w:cstheme="majorBidi"/>
          <w:lang w:val="en-US"/>
        </w:rPr>
        <w:t>n</w:t>
      </w:r>
      <m:oMath>
        <m:r>
          <m:rPr/>
          <w:rPr>
            <w:rFonts w:ascii="Cambria Math" w:hAnsi="Cambria Math" w:cstheme="majorBidi"/>
          </w:rPr>
          <m:t>=</m:t>
        </m:r>
        <m:f>
          <m:fPr>
            <m:ctrlPr>
              <w:rPr>
                <w:rFonts w:ascii="Cambria Math" w:hAnsi="Cambria Math" w:cstheme="majorBidi"/>
                <w:i/>
              </w:rPr>
            </m:ctrlPr>
          </m:fPr>
          <m:num>
            <m:r>
              <m:rPr/>
              <w:rPr>
                <w:rFonts w:ascii="Cambria Math" w:hAnsi="Cambria Math" w:cstheme="majorBidi"/>
              </w:rPr>
              <m:t>N</m:t>
            </m:r>
            <m:ctrlPr>
              <w:rPr>
                <w:rFonts w:ascii="Cambria Math" w:hAnsi="Cambria Math" w:cstheme="majorBidi"/>
                <w:i/>
              </w:rPr>
            </m:ctrlPr>
          </m:num>
          <m:den>
            <m:r>
              <m:rPr/>
              <w:rPr>
                <w:rFonts w:ascii="Cambria Math" w:hAnsi="Cambria Math" w:cstheme="majorBidi"/>
              </w:rPr>
              <m:t>(1+N</m:t>
            </m:r>
            <m:sSup>
              <m:sSupPr>
                <m:ctrlPr>
                  <w:rPr>
                    <w:rFonts w:ascii="Cambria Math" w:hAnsi="Cambria Math" w:cstheme="majorBidi"/>
                    <w:i/>
                  </w:rPr>
                </m:ctrlPr>
              </m:sSupPr>
              <m:e>
                <m:r>
                  <m:rPr/>
                  <w:rPr>
                    <w:rFonts w:ascii="Cambria Math" w:hAnsi="Cambria Math" w:cstheme="majorBidi"/>
                  </w:rPr>
                  <m:t>e</m:t>
                </m:r>
                <m:ctrlPr>
                  <w:rPr>
                    <w:rFonts w:ascii="Cambria Math" w:hAnsi="Cambria Math" w:cstheme="majorBidi"/>
                    <w:i/>
                  </w:rPr>
                </m:ctrlPr>
              </m:e>
              <m:sup>
                <m:r>
                  <m:rPr/>
                  <w:rPr>
                    <w:rFonts w:ascii="Cambria Math" w:hAnsi="Cambria Math" w:cstheme="majorBidi"/>
                  </w:rPr>
                  <m:t>2</m:t>
                </m:r>
                <m:ctrlPr>
                  <w:rPr>
                    <w:rFonts w:ascii="Cambria Math" w:hAnsi="Cambria Math" w:cstheme="majorBidi"/>
                    <w:i/>
                  </w:rPr>
                </m:ctrlPr>
              </m:sup>
            </m:sSup>
            <m:ctrlPr>
              <w:rPr>
                <w:rFonts w:ascii="Cambria Math" w:hAnsi="Cambria Math" w:cstheme="majorBidi"/>
                <w:i/>
              </w:rPr>
            </m:ctrlPr>
          </m:den>
        </m:f>
      </m:oMath>
    </w:p>
    <w:p w14:paraId="281ED562">
      <w:pPr>
        <w:spacing w:line="276" w:lineRule="auto"/>
        <w:rPr>
          <w:rFonts w:asciiTheme="majorBidi" w:hAnsiTheme="majorBidi" w:eastAsiaTheme="minorEastAsia" w:cstheme="majorBidi"/>
          <w:lang w:val="en-US"/>
        </w:rPr>
      </w:pPr>
      <w:r>
        <w:rPr>
          <w:rFonts w:asciiTheme="majorBidi" w:hAnsiTheme="majorBidi" w:eastAsiaTheme="minorEastAsia" w:cstheme="majorBidi"/>
          <w:lang w:val="en-US"/>
        </w:rPr>
        <w:t>where:</w:t>
      </w:r>
    </w:p>
    <w:p w14:paraId="41ECD011">
      <w:pPr>
        <w:tabs>
          <w:tab w:val="left" w:pos="7844"/>
        </w:tabs>
        <w:spacing w:line="276" w:lineRule="auto"/>
        <w:rPr>
          <w:rFonts w:asciiTheme="majorBidi" w:hAnsiTheme="majorBidi" w:eastAsiaTheme="minorEastAsia" w:cstheme="majorBidi"/>
          <w:lang w:val="en-US"/>
        </w:rPr>
      </w:pPr>
      <w:r>
        <w:rPr>
          <w:rFonts w:asciiTheme="majorBidi" w:hAnsiTheme="majorBidi" w:eastAsiaTheme="minorEastAsia" w:cstheme="majorBidi"/>
          <w:lang w:val="en-US"/>
        </w:rPr>
        <w:t xml:space="preserve">n= Sample Size </w:t>
      </w:r>
      <w:r>
        <w:rPr>
          <w:rFonts w:asciiTheme="majorBidi" w:hAnsiTheme="majorBidi" w:eastAsiaTheme="minorEastAsia" w:cstheme="majorBidi"/>
          <w:lang w:val="en-US"/>
        </w:rPr>
        <w:tab/>
      </w:r>
    </w:p>
    <w:p w14:paraId="34F6F03F">
      <w:pPr>
        <w:spacing w:line="276" w:lineRule="auto"/>
        <w:rPr>
          <w:rFonts w:asciiTheme="majorBidi" w:hAnsiTheme="majorBidi" w:eastAsiaTheme="minorEastAsia" w:cstheme="majorBidi"/>
          <w:lang w:val="en-US"/>
        </w:rPr>
      </w:pPr>
      <w:r>
        <w:rPr>
          <w:rFonts w:asciiTheme="majorBidi" w:hAnsiTheme="majorBidi" w:eastAsiaTheme="minorEastAsia" w:cstheme="majorBidi"/>
          <w:lang w:val="en-US"/>
        </w:rPr>
        <w:t>N= Population Size (120)</w:t>
      </w:r>
    </w:p>
    <w:p w14:paraId="006B7316">
      <w:pPr>
        <w:spacing w:line="276" w:lineRule="auto"/>
        <w:rPr>
          <w:rFonts w:asciiTheme="majorBidi" w:hAnsiTheme="majorBidi" w:eastAsiaTheme="minorEastAsia" w:cstheme="majorBidi"/>
          <w:lang w:val="en-US"/>
        </w:rPr>
      </w:pPr>
      <w:r>
        <w:rPr>
          <w:rFonts w:asciiTheme="majorBidi" w:hAnsiTheme="majorBidi" w:eastAsiaTheme="minorEastAsia" w:cstheme="majorBidi"/>
          <w:lang w:val="en-US"/>
        </w:rPr>
        <w:t>e= Marginal Error (0.05)</w:t>
      </w:r>
    </w:p>
    <w:p w14:paraId="352AD06F">
      <w:pPr>
        <w:spacing w:line="276" w:lineRule="auto"/>
        <w:rPr>
          <w:rFonts w:asciiTheme="majorBidi" w:hAnsiTheme="majorBidi" w:eastAsiaTheme="minorEastAsia" w:cstheme="majorBidi"/>
          <w:lang w:val="en-US"/>
        </w:rPr>
      </w:pPr>
      <w:r>
        <w:rPr>
          <w:rFonts w:asciiTheme="majorBidi" w:hAnsiTheme="majorBidi" w:eastAsiaTheme="minorEastAsia" w:cstheme="majorBidi"/>
          <w:lang w:val="en-US"/>
        </w:rPr>
        <w:t>n</w:t>
      </w:r>
      <m:oMath>
        <m:r>
          <m:rPr>
            <m:sty m:val="bi"/>
          </m:rPr>
          <w:rPr>
            <w:rFonts w:ascii="Cambria Math" w:hAnsi="Cambria Math" w:cstheme="majorBidi"/>
          </w:rPr>
          <m:t>=</m:t>
        </m:r>
        <m:f>
          <m:fPr>
            <m:ctrlPr>
              <w:rPr>
                <w:rFonts w:ascii="Cambria Math" w:hAnsi="Cambria Math" w:cstheme="majorBidi"/>
                <w:b/>
                <w:bCs/>
                <w:i/>
              </w:rPr>
            </m:ctrlPr>
          </m:fPr>
          <m:num>
            <m:r>
              <m:rPr>
                <m:sty m:val="bi"/>
              </m:rPr>
              <w:rPr>
                <w:rFonts w:ascii="Cambria Math" w:hAnsi="Cambria Math" w:cstheme="majorBidi"/>
              </w:rPr>
              <m:t>120</m:t>
            </m:r>
            <m:ctrlPr>
              <w:rPr>
                <w:rFonts w:ascii="Cambria Math" w:hAnsi="Cambria Math" w:cstheme="majorBidi"/>
                <w:b/>
                <w:bCs/>
                <w:i/>
              </w:rPr>
            </m:ctrlPr>
          </m:num>
          <m:den>
            <m:r>
              <m:rPr>
                <m:sty m:val="bi"/>
              </m:rPr>
              <w:rPr>
                <w:rFonts w:ascii="Cambria Math" w:hAnsi="Cambria Math" w:cstheme="majorBidi"/>
              </w:rPr>
              <m:t>(1+120∗</m:t>
            </m:r>
            <m:sSup>
              <m:sSupPr>
                <m:ctrlPr>
                  <w:rPr>
                    <w:rFonts w:ascii="Cambria Math" w:hAnsi="Cambria Math" w:cstheme="majorBidi"/>
                    <w:b/>
                    <w:bCs/>
                    <w:i/>
                  </w:rPr>
                </m:ctrlPr>
              </m:sSupPr>
              <m:e>
                <m:r>
                  <m:rPr>
                    <m:sty m:val="bi"/>
                  </m:rPr>
                  <w:rPr>
                    <w:rFonts w:ascii="Cambria Math" w:hAnsi="Cambria Math" w:cstheme="majorBidi"/>
                  </w:rPr>
                  <m:t>0.05</m:t>
                </m:r>
                <m:ctrlPr>
                  <w:rPr>
                    <w:rFonts w:ascii="Cambria Math" w:hAnsi="Cambria Math" w:cstheme="majorBidi"/>
                    <w:b/>
                    <w:bCs/>
                    <w:i/>
                  </w:rPr>
                </m:ctrlPr>
              </m:e>
              <m:sup>
                <m:r>
                  <m:rPr>
                    <m:sty m:val="bi"/>
                  </m:rPr>
                  <w:rPr>
                    <w:rFonts w:ascii="Cambria Math" w:hAnsi="Cambria Math" w:cstheme="majorBidi"/>
                  </w:rPr>
                  <m:t>2</m:t>
                </m:r>
                <m:ctrlPr>
                  <w:rPr>
                    <w:rFonts w:ascii="Cambria Math" w:hAnsi="Cambria Math" w:cstheme="majorBidi"/>
                    <w:b/>
                    <w:bCs/>
                    <w:i/>
                  </w:rPr>
                </m:ctrlPr>
              </m:sup>
            </m:sSup>
            <m:ctrlPr>
              <w:rPr>
                <w:rFonts w:ascii="Cambria Math" w:hAnsi="Cambria Math" w:cstheme="majorBidi"/>
                <w:b/>
                <w:bCs/>
                <w:i/>
              </w:rPr>
            </m:ctrlPr>
          </m:den>
        </m:f>
      </m:oMath>
      <w:r>
        <w:rPr>
          <w:rFonts w:asciiTheme="majorBidi" w:hAnsiTheme="majorBidi" w:eastAsiaTheme="minorEastAsia" w:cstheme="majorBidi"/>
        </w:rPr>
        <w:tab/>
      </w:r>
      <w:r>
        <w:rPr>
          <w:rFonts w:asciiTheme="majorBidi" w:hAnsiTheme="majorBidi" w:eastAsiaTheme="minorEastAsia" w:cstheme="majorBidi"/>
        </w:rPr>
        <w:tab/>
      </w:r>
      <w:r>
        <w:rPr>
          <w:rFonts w:asciiTheme="majorBidi" w:hAnsiTheme="majorBidi" w:cstheme="majorBidi"/>
          <w:lang w:val="en-US"/>
        </w:rPr>
        <w:t>n</w:t>
      </w:r>
      <m:oMath>
        <m:r>
          <m:rPr>
            <m:sty m:val="bi"/>
          </m:rPr>
          <w:rPr>
            <w:rFonts w:ascii="Cambria Math" w:hAnsi="Cambria Math" w:cstheme="majorBidi"/>
          </w:rPr>
          <m:t>=</m:t>
        </m:r>
        <m:f>
          <m:fPr>
            <m:ctrlPr>
              <w:rPr>
                <w:rFonts w:ascii="Cambria Math" w:hAnsi="Cambria Math" w:cstheme="majorBidi"/>
                <w:b/>
                <w:bCs/>
                <w:i/>
              </w:rPr>
            </m:ctrlPr>
          </m:fPr>
          <m:num>
            <m:r>
              <m:rPr>
                <m:sty m:val="bi"/>
              </m:rPr>
              <w:rPr>
                <w:rFonts w:ascii="Cambria Math" w:hAnsi="Cambria Math" w:cstheme="majorBidi"/>
              </w:rPr>
              <m:t>120</m:t>
            </m:r>
            <m:ctrlPr>
              <w:rPr>
                <w:rFonts w:ascii="Cambria Math" w:hAnsi="Cambria Math" w:cstheme="majorBidi"/>
                <w:b/>
                <w:bCs/>
                <w:i/>
              </w:rPr>
            </m:ctrlPr>
          </m:num>
          <m:den>
            <m:r>
              <m:rPr>
                <m:sty m:val="bi"/>
              </m:rPr>
              <w:rPr>
                <w:rFonts w:ascii="Cambria Math" w:hAnsi="Cambria Math" w:cstheme="majorBidi"/>
              </w:rPr>
              <m:t>(1+120∗0.0025)</m:t>
            </m:r>
            <m:ctrlPr>
              <w:rPr>
                <w:rFonts w:ascii="Cambria Math" w:hAnsi="Cambria Math" w:cstheme="majorBidi"/>
                <w:b/>
                <w:bCs/>
                <w:i/>
              </w:rPr>
            </m:ctrlPr>
          </m:den>
        </m:f>
      </m:oMath>
      <w:r>
        <w:rPr>
          <w:rFonts w:asciiTheme="majorBidi" w:hAnsiTheme="majorBidi" w:eastAsiaTheme="minorEastAsia" w:cstheme="majorBidi"/>
          <w:lang w:val="en-US"/>
        </w:rPr>
        <w:t xml:space="preserve">  </w:t>
      </w:r>
      <w:r>
        <w:rPr>
          <w:rFonts w:asciiTheme="majorBidi" w:hAnsiTheme="majorBidi" w:eastAsiaTheme="minorEastAsia" w:cstheme="majorBidi"/>
          <w:lang w:val="en-US"/>
        </w:rPr>
        <w:tab/>
      </w:r>
      <w:r>
        <w:rPr>
          <w:rFonts w:asciiTheme="majorBidi" w:hAnsiTheme="majorBidi" w:cstheme="majorBidi"/>
          <w:lang w:val="en-US"/>
        </w:rPr>
        <w:t>n</w:t>
      </w:r>
      <m:oMath>
        <m:r>
          <m:rPr>
            <m:sty m:val="bi"/>
          </m:rPr>
          <w:rPr>
            <w:rFonts w:ascii="Cambria Math" w:hAnsi="Cambria Math" w:cstheme="majorBidi"/>
          </w:rPr>
          <m:t>=</m:t>
        </m:r>
        <m:f>
          <m:fPr>
            <m:ctrlPr>
              <w:rPr>
                <w:rFonts w:ascii="Cambria Math" w:hAnsi="Cambria Math" w:cstheme="majorBidi"/>
                <w:b/>
                <w:bCs/>
                <w:i/>
              </w:rPr>
            </m:ctrlPr>
          </m:fPr>
          <m:num>
            <m:r>
              <m:rPr>
                <m:sty m:val="bi"/>
              </m:rPr>
              <w:rPr>
                <w:rFonts w:ascii="Cambria Math" w:hAnsi="Cambria Math" w:cstheme="majorBidi"/>
              </w:rPr>
              <m:t>120</m:t>
            </m:r>
            <m:ctrlPr>
              <w:rPr>
                <w:rFonts w:ascii="Cambria Math" w:hAnsi="Cambria Math" w:cstheme="majorBidi"/>
                <w:b/>
                <w:bCs/>
                <w:i/>
              </w:rPr>
            </m:ctrlPr>
          </m:num>
          <m:den>
            <m:d>
              <m:dPr>
                <m:ctrlPr>
                  <w:rPr>
                    <w:rFonts w:ascii="Cambria Math" w:hAnsi="Cambria Math" w:cstheme="majorBidi"/>
                    <w:b/>
                    <w:bCs/>
                    <w:i/>
                  </w:rPr>
                </m:ctrlPr>
              </m:dPr>
              <m:e>
                <m:r>
                  <m:rPr>
                    <m:sty m:val="bi"/>
                  </m:rPr>
                  <w:rPr>
                    <w:rFonts w:ascii="Cambria Math" w:hAnsi="Cambria Math" w:cstheme="majorBidi"/>
                  </w:rPr>
                  <m:t>1+120∗0.0025</m:t>
                </m:r>
                <m:ctrlPr>
                  <w:rPr>
                    <w:rFonts w:ascii="Cambria Math" w:hAnsi="Cambria Math" w:cstheme="majorBidi"/>
                    <w:b/>
                    <w:bCs/>
                    <w:i/>
                  </w:rPr>
                </m:ctrlPr>
              </m:e>
            </m:d>
            <m:ctrlPr>
              <w:rPr>
                <w:rFonts w:ascii="Cambria Math" w:hAnsi="Cambria Math" w:cstheme="majorBidi"/>
                <w:b/>
                <w:bCs/>
                <w:i/>
              </w:rPr>
            </m:ctrlPr>
          </m:den>
        </m:f>
      </m:oMath>
      <w:r>
        <w:rPr>
          <w:rFonts w:asciiTheme="majorBidi" w:hAnsiTheme="majorBidi" w:eastAsiaTheme="minorEastAsia" w:cstheme="majorBidi"/>
          <w:lang w:val="en-US"/>
        </w:rPr>
        <w:t xml:space="preserve"> </w:t>
      </w:r>
    </w:p>
    <w:p w14:paraId="468B0A11">
      <w:pPr>
        <w:spacing w:line="276" w:lineRule="auto"/>
        <w:rPr>
          <w:rFonts w:asciiTheme="majorBidi" w:hAnsiTheme="majorBidi" w:eastAsiaTheme="minorEastAsia" w:cstheme="majorBidi"/>
          <w:lang w:val="en-US"/>
        </w:rPr>
      </w:pPr>
      <w:r>
        <w:rPr>
          <w:rFonts w:asciiTheme="majorBidi" w:hAnsiTheme="majorBidi" w:eastAsiaTheme="minorEastAsia" w:cstheme="majorBidi"/>
          <w:lang w:val="en-US"/>
        </w:rPr>
        <w:t xml:space="preserve"> </w:t>
      </w:r>
      <w:r>
        <w:rPr>
          <w:rFonts w:asciiTheme="majorBidi" w:hAnsiTheme="majorBidi" w:eastAsiaTheme="minorEastAsia" w:cstheme="majorBidi"/>
          <w:lang w:val="en-US"/>
        </w:rPr>
        <w:tab/>
      </w:r>
    </w:p>
    <w:p w14:paraId="5F0E080D">
      <w:pPr>
        <w:spacing w:line="276" w:lineRule="auto"/>
        <w:rPr>
          <w:rFonts w:asciiTheme="majorBidi" w:hAnsiTheme="majorBidi" w:eastAsiaTheme="minorEastAsia" w:cstheme="majorBidi"/>
        </w:rPr>
      </w:pPr>
      <w:r>
        <w:rPr>
          <w:rFonts w:asciiTheme="majorBidi" w:hAnsiTheme="majorBidi" w:cstheme="majorBidi"/>
          <w:lang w:val="en-US"/>
        </w:rPr>
        <w:t>n</w:t>
      </w:r>
      <m:oMath>
        <m:r>
          <m:rPr>
            <m:sty m:val="bi"/>
          </m:rPr>
          <w:rPr>
            <w:rFonts w:ascii="Cambria Math" w:hAnsi="Cambria Math" w:cstheme="majorBidi"/>
          </w:rPr>
          <m:t>=</m:t>
        </m:r>
        <m:f>
          <m:fPr>
            <m:ctrlPr>
              <w:rPr>
                <w:rFonts w:ascii="Cambria Math" w:hAnsi="Cambria Math" w:cstheme="majorBidi"/>
                <w:b/>
                <w:bCs/>
                <w:i/>
              </w:rPr>
            </m:ctrlPr>
          </m:fPr>
          <m:num>
            <m:r>
              <m:rPr>
                <m:sty m:val="bi"/>
              </m:rPr>
              <w:rPr>
                <w:rFonts w:ascii="Cambria Math" w:hAnsi="Cambria Math" w:cstheme="majorBidi"/>
              </w:rPr>
              <m:t>120</m:t>
            </m:r>
            <m:ctrlPr>
              <w:rPr>
                <w:rFonts w:ascii="Cambria Math" w:hAnsi="Cambria Math" w:cstheme="majorBidi"/>
                <w:b/>
                <w:bCs/>
                <w:i/>
              </w:rPr>
            </m:ctrlPr>
          </m:num>
          <m:den>
            <m:r>
              <m:rPr>
                <m:sty m:val="bi"/>
              </m:rPr>
              <w:rPr>
                <w:rFonts w:ascii="Cambria Math" w:hAnsi="Cambria Math" w:cstheme="majorBidi"/>
              </w:rPr>
              <m:t>(1+0.3)</m:t>
            </m:r>
            <m:ctrlPr>
              <w:rPr>
                <w:rFonts w:ascii="Cambria Math" w:hAnsi="Cambria Math" w:cstheme="majorBidi"/>
                <w:b/>
                <w:bCs/>
                <w:i/>
              </w:rPr>
            </m:ctrlPr>
          </m:den>
        </m:f>
      </m:oMath>
      <w:r>
        <w:rPr>
          <w:rFonts w:asciiTheme="majorBidi" w:hAnsiTheme="majorBidi" w:eastAsiaTheme="minorEastAsia" w:cstheme="majorBidi"/>
          <w:lang w:val="en-US"/>
        </w:rPr>
        <w:t xml:space="preserve">  </w:t>
      </w:r>
      <w:r>
        <w:rPr>
          <w:rFonts w:asciiTheme="majorBidi" w:hAnsiTheme="majorBidi" w:eastAsiaTheme="minorEastAsia" w:cstheme="majorBidi"/>
          <w:lang w:val="en-US"/>
        </w:rPr>
        <w:tab/>
      </w:r>
      <w:r>
        <w:rPr>
          <w:rFonts w:asciiTheme="majorBidi" w:hAnsiTheme="majorBidi" w:eastAsiaTheme="minorEastAsia" w:cstheme="majorBidi"/>
          <w:lang w:val="en-US"/>
        </w:rPr>
        <w:tab/>
      </w:r>
      <w:r>
        <w:rPr>
          <w:rFonts w:asciiTheme="majorBidi" w:hAnsiTheme="majorBidi" w:eastAsiaTheme="minorEastAsia" w:cstheme="majorBidi"/>
          <w:lang w:val="en-US"/>
        </w:rPr>
        <w:tab/>
      </w:r>
      <w:r>
        <w:rPr>
          <w:rFonts w:asciiTheme="majorBidi" w:hAnsiTheme="majorBidi" w:cstheme="majorBidi"/>
          <w:lang w:val="en-US"/>
        </w:rPr>
        <w:t>n</w:t>
      </w:r>
      <m:oMath>
        <m:r>
          <m:rPr>
            <m:sty m:val="b"/>
          </m:rPr>
          <w:rPr>
            <w:rFonts w:ascii="Cambria Math" w:hAnsi="Cambria Math" w:cstheme="majorBidi"/>
          </w:rPr>
          <m:t>=</m:t>
        </m:r>
        <m:f>
          <m:fPr>
            <m:ctrlPr>
              <w:rPr>
                <w:rFonts w:ascii="Cambria Math" w:hAnsi="Cambria Math" w:cstheme="majorBidi"/>
                <w:b/>
                <w:bCs/>
                <w:iCs/>
              </w:rPr>
            </m:ctrlPr>
          </m:fPr>
          <m:num>
            <m:r>
              <m:rPr>
                <m:sty m:val="b"/>
              </m:rPr>
              <w:rPr>
                <w:rFonts w:ascii="Cambria Math" w:hAnsi="Cambria Math" w:cstheme="majorBidi"/>
              </w:rPr>
              <m:t>120</m:t>
            </m:r>
            <m:ctrlPr>
              <w:rPr>
                <w:rFonts w:ascii="Cambria Math" w:hAnsi="Cambria Math" w:cstheme="majorBidi"/>
                <w:b/>
                <w:bCs/>
                <w:iCs/>
              </w:rPr>
            </m:ctrlPr>
          </m:num>
          <m:den>
            <m:r>
              <m:rPr>
                <m:sty m:val="b"/>
              </m:rPr>
              <w:rPr>
                <w:rFonts w:ascii="Cambria Math" w:hAnsi="Cambria Math" w:cstheme="majorBidi"/>
              </w:rPr>
              <m:t>1.3</m:t>
            </m:r>
            <m:ctrlPr>
              <w:rPr>
                <w:rFonts w:ascii="Cambria Math" w:hAnsi="Cambria Math" w:cstheme="majorBidi"/>
                <w:b/>
                <w:bCs/>
                <w:iCs/>
              </w:rPr>
            </m:ctrlPr>
          </m:den>
        </m:f>
      </m:oMath>
      <w:r>
        <w:rPr>
          <w:rFonts w:asciiTheme="majorBidi" w:hAnsiTheme="majorBidi" w:eastAsiaTheme="minorEastAsia" w:cstheme="majorBidi"/>
          <w:lang w:val="en-US"/>
        </w:rPr>
        <w:t xml:space="preserve">  </w:t>
      </w:r>
      <w:r>
        <w:rPr>
          <w:rFonts w:asciiTheme="majorBidi" w:hAnsiTheme="majorBidi" w:eastAsiaTheme="minorEastAsia" w:cstheme="majorBidi"/>
          <w:lang w:val="en-US"/>
        </w:rPr>
        <w:tab/>
      </w:r>
      <w:r>
        <w:rPr>
          <w:rFonts w:asciiTheme="majorBidi" w:hAnsiTheme="majorBidi" w:eastAsiaTheme="minorEastAsia" w:cstheme="majorBidi"/>
          <w:lang w:val="en-US"/>
        </w:rPr>
        <w:tab/>
      </w:r>
      <w:r>
        <w:rPr>
          <w:rFonts w:asciiTheme="majorBidi" w:hAnsiTheme="majorBidi" w:eastAsiaTheme="minorEastAsia" w:cstheme="majorBidi"/>
          <w:lang w:val="en-US"/>
        </w:rPr>
        <w:tab/>
      </w:r>
      <w:r>
        <w:rPr>
          <w:rFonts w:asciiTheme="majorBidi" w:hAnsiTheme="majorBidi" w:cstheme="majorBidi"/>
          <w:lang w:val="en-US"/>
        </w:rPr>
        <w:t>n</w:t>
      </w:r>
      <m:oMath>
        <m:r>
          <m:rPr>
            <m:sty m:val="bi"/>
          </m:rPr>
          <w:rPr>
            <w:rFonts w:ascii="Cambria Math" w:hAnsi="Cambria Math" w:cstheme="majorBidi"/>
          </w:rPr>
          <m:t>=92</m:t>
        </m:r>
      </m:oMath>
      <w:r>
        <w:rPr>
          <w:rFonts w:asciiTheme="majorBidi" w:hAnsiTheme="majorBidi" w:eastAsiaTheme="minorEastAsia" w:cstheme="majorBidi"/>
          <w:lang w:val="en-US"/>
        </w:rPr>
        <w:t xml:space="preserve">  </w:t>
      </w:r>
      <w:r>
        <w:rPr>
          <w:rFonts w:asciiTheme="majorBidi" w:hAnsiTheme="majorBidi" w:eastAsiaTheme="minorEastAsia" w:cstheme="majorBidi"/>
          <w:lang w:val="en-US"/>
        </w:rPr>
        <w:tab/>
      </w:r>
    </w:p>
    <w:p w14:paraId="3857C306">
      <w:pPr>
        <w:spacing w:line="276" w:lineRule="auto"/>
        <w:ind w:firstLine="0"/>
        <w:rPr>
          <w:rFonts w:asciiTheme="majorBidi" w:hAnsiTheme="majorBidi" w:eastAsiaTheme="minorEastAsia" w:cstheme="majorBidi"/>
          <w:lang w:val="en-US"/>
        </w:rPr>
      </w:pPr>
    </w:p>
    <w:p w14:paraId="19E19107">
      <w:pPr>
        <w:pStyle w:val="3"/>
        <w:spacing w:line="276" w:lineRule="auto"/>
        <w:rPr>
          <w:rFonts w:asciiTheme="majorBidi" w:hAnsiTheme="majorBidi"/>
          <w:sz w:val="24"/>
          <w:szCs w:val="24"/>
        </w:rPr>
      </w:pPr>
      <w:r>
        <w:rPr>
          <w:rFonts w:asciiTheme="majorBidi" w:hAnsiTheme="majorBidi"/>
          <w:sz w:val="24"/>
          <w:szCs w:val="24"/>
        </w:rPr>
        <w:t xml:space="preserve"> </w:t>
      </w:r>
      <w:bookmarkStart w:id="17" w:name="_Toc136959592"/>
      <w:r>
        <w:rPr>
          <w:rFonts w:asciiTheme="majorBidi" w:hAnsiTheme="majorBidi"/>
          <w:sz w:val="24"/>
          <w:szCs w:val="24"/>
        </w:rPr>
        <w:t>Sample Techniques</w:t>
      </w:r>
      <w:bookmarkEnd w:id="17"/>
      <w:r>
        <w:rPr>
          <w:rFonts w:asciiTheme="majorBidi" w:hAnsiTheme="majorBidi"/>
          <w:sz w:val="24"/>
          <w:szCs w:val="24"/>
        </w:rPr>
        <w:t xml:space="preserve"> </w:t>
      </w:r>
    </w:p>
    <w:p w14:paraId="7D8576D5">
      <w:pPr>
        <w:spacing w:line="276" w:lineRule="auto"/>
        <w:rPr>
          <w:rFonts w:asciiTheme="majorBidi" w:hAnsiTheme="majorBidi" w:cstheme="majorBidi"/>
        </w:rPr>
      </w:pPr>
      <w:r>
        <w:rPr>
          <w:rFonts w:asciiTheme="majorBidi" w:hAnsiTheme="majorBidi" w:cstheme="majorBidi"/>
        </w:rPr>
        <w:t>The sample of this research w</w:t>
      </w:r>
      <w:r>
        <w:rPr>
          <w:rFonts w:asciiTheme="majorBidi" w:hAnsiTheme="majorBidi" w:cstheme="majorBidi"/>
          <w:lang w:val="en-US"/>
        </w:rPr>
        <w:t>I’ll be</w:t>
      </w:r>
      <w:r>
        <w:rPr>
          <w:rFonts w:asciiTheme="majorBidi" w:hAnsiTheme="majorBidi" w:cstheme="majorBidi"/>
        </w:rPr>
        <w:t xml:space="preserve"> probability sampling techniques. The research used a probability sampling technique under probability sampling simple random</w:t>
      </w:r>
      <w:r>
        <w:rPr>
          <w:rFonts w:asciiTheme="majorBidi" w:hAnsiTheme="majorBidi" w:cstheme="majorBidi"/>
          <w:lang w:val="en-US"/>
        </w:rPr>
        <w:t xml:space="preserve"> </w:t>
      </w:r>
      <w:r>
        <w:rPr>
          <w:rFonts w:asciiTheme="majorBidi" w:hAnsiTheme="majorBidi" w:cstheme="majorBidi"/>
        </w:rPr>
        <w:t>sampling to select representative and unbiased sample respondents to select employees</w:t>
      </w:r>
      <w:r>
        <w:rPr>
          <w:rFonts w:asciiTheme="majorBidi" w:hAnsiTheme="majorBidi" w:cstheme="majorBidi"/>
          <w:lang w:val="en-US"/>
        </w:rPr>
        <w:t xml:space="preserve"> </w:t>
      </w:r>
      <w:r>
        <w:rPr>
          <w:rFonts w:asciiTheme="majorBidi" w:hAnsiTheme="majorBidi" w:cstheme="majorBidi"/>
        </w:rPr>
        <w:t xml:space="preserve">from the five departments of MOF by using </w:t>
      </w:r>
      <w:r>
        <w:rPr>
          <w:rFonts w:asciiTheme="majorBidi" w:hAnsiTheme="majorBidi" w:cstheme="majorBidi"/>
          <w:lang w:val="en-US"/>
        </w:rPr>
        <w:t xml:space="preserve">a </w:t>
      </w:r>
      <w:r>
        <w:rPr>
          <w:rFonts w:asciiTheme="majorBidi" w:hAnsiTheme="majorBidi" w:cstheme="majorBidi"/>
        </w:rPr>
        <w:t xml:space="preserve">questionnaire. </w:t>
      </w:r>
    </w:p>
    <w:p w14:paraId="4AC687D4">
      <w:pPr>
        <w:spacing w:line="276" w:lineRule="auto"/>
        <w:rPr>
          <w:rFonts w:asciiTheme="majorBidi" w:hAnsiTheme="majorBidi" w:cstheme="majorBidi"/>
        </w:rPr>
      </w:pPr>
    </w:p>
    <w:p w14:paraId="042CB98D">
      <w:pPr>
        <w:pStyle w:val="3"/>
        <w:spacing w:line="276" w:lineRule="auto"/>
        <w:rPr>
          <w:rFonts w:asciiTheme="majorBidi" w:hAnsiTheme="majorBidi"/>
          <w:sz w:val="24"/>
          <w:szCs w:val="24"/>
        </w:rPr>
      </w:pPr>
      <w:bookmarkStart w:id="18" w:name="_Toc136959593"/>
      <w:r>
        <w:rPr>
          <w:rFonts w:asciiTheme="majorBidi" w:hAnsiTheme="majorBidi"/>
          <w:sz w:val="24"/>
          <w:szCs w:val="24"/>
        </w:rPr>
        <w:t>Data Types and Sources</w:t>
      </w:r>
      <w:bookmarkEnd w:id="18"/>
    </w:p>
    <w:p w14:paraId="42D7068D">
      <w:pPr>
        <w:spacing w:line="276" w:lineRule="auto"/>
        <w:rPr>
          <w:rFonts w:asciiTheme="majorBidi" w:hAnsiTheme="majorBidi" w:cstheme="majorBidi"/>
        </w:rPr>
      </w:pPr>
      <w:r>
        <w:rPr>
          <w:rFonts w:asciiTheme="majorBidi" w:hAnsiTheme="majorBidi" w:cstheme="majorBidi"/>
        </w:rPr>
        <w:t xml:space="preserve">Primary and secondary data sources of data </w:t>
      </w:r>
      <w:r>
        <w:rPr>
          <w:rFonts w:asciiTheme="majorBidi" w:hAnsiTheme="majorBidi" w:cstheme="majorBidi"/>
          <w:lang w:val="en-US"/>
        </w:rPr>
        <w:t xml:space="preserve"> </w:t>
      </w:r>
      <w:r>
        <w:rPr>
          <w:rFonts w:asciiTheme="majorBidi" w:hAnsiTheme="majorBidi" w:cstheme="majorBidi"/>
        </w:rPr>
        <w:t>analyzed in this study. Primary data is</w:t>
      </w:r>
      <w:r>
        <w:rPr>
          <w:rFonts w:asciiTheme="majorBidi" w:hAnsiTheme="majorBidi" w:cstheme="majorBidi"/>
          <w:lang w:val="en-US"/>
        </w:rPr>
        <w:t xml:space="preserve"> </w:t>
      </w:r>
      <w:r>
        <w:rPr>
          <w:rFonts w:asciiTheme="majorBidi" w:hAnsiTheme="majorBidi" w:cstheme="majorBidi"/>
        </w:rPr>
        <w:t>original and unique data that the researcher receives directly from a source, such as</w:t>
      </w:r>
      <w:r>
        <w:rPr>
          <w:rFonts w:asciiTheme="majorBidi" w:hAnsiTheme="majorBidi" w:cstheme="majorBidi"/>
          <w:lang w:val="en-US"/>
        </w:rPr>
        <w:t xml:space="preserve"> </w:t>
      </w:r>
      <w:r>
        <w:rPr>
          <w:rFonts w:asciiTheme="majorBidi" w:hAnsiTheme="majorBidi" w:cstheme="majorBidi"/>
        </w:rPr>
        <w:t xml:space="preserve">findings, polls, </w:t>
      </w:r>
      <w:r>
        <w:rPr>
          <w:rFonts w:asciiTheme="majorBidi" w:hAnsiTheme="majorBidi" w:cstheme="majorBidi"/>
          <w:lang w:val="en-US"/>
        </w:rPr>
        <w:t xml:space="preserve">and </w:t>
      </w:r>
      <w:r>
        <w:rPr>
          <w:rFonts w:asciiTheme="majorBidi" w:hAnsiTheme="majorBidi" w:cstheme="majorBidi"/>
        </w:rPr>
        <w:t>questionnaires. And secondary data is data done by others and useful</w:t>
      </w:r>
      <w:r>
        <w:rPr>
          <w:rFonts w:asciiTheme="majorBidi" w:hAnsiTheme="majorBidi" w:cstheme="majorBidi"/>
          <w:lang w:val="en-US"/>
        </w:rPr>
        <w:t xml:space="preserve"> </w:t>
      </w:r>
      <w:r>
        <w:rPr>
          <w:rFonts w:asciiTheme="majorBidi" w:hAnsiTheme="majorBidi" w:cstheme="majorBidi"/>
        </w:rPr>
        <w:t>to the study.</w:t>
      </w:r>
    </w:p>
    <w:p w14:paraId="4E232F21">
      <w:pPr>
        <w:pStyle w:val="4"/>
        <w:spacing w:line="276" w:lineRule="auto"/>
        <w:ind w:left="720" w:firstLine="0"/>
        <w:rPr>
          <w:rFonts w:asciiTheme="majorBidi" w:hAnsiTheme="majorBidi"/>
          <w:sz w:val="24"/>
          <w:szCs w:val="24"/>
        </w:rPr>
      </w:pPr>
      <w:r>
        <w:rPr>
          <w:rFonts w:asciiTheme="majorBidi" w:hAnsiTheme="majorBidi"/>
          <w:sz w:val="24"/>
          <w:szCs w:val="24"/>
          <w:lang w:val="en-US"/>
        </w:rPr>
        <w:t xml:space="preserve"> </w:t>
      </w:r>
      <w:bookmarkStart w:id="19" w:name="_Toc136959594"/>
      <w:r>
        <w:rPr>
          <w:rFonts w:asciiTheme="majorBidi" w:hAnsiTheme="majorBidi"/>
          <w:sz w:val="24"/>
          <w:szCs w:val="24"/>
        </w:rPr>
        <w:t>Primary Data</w:t>
      </w:r>
      <w:bookmarkEnd w:id="19"/>
    </w:p>
    <w:p w14:paraId="36D3F203">
      <w:pPr>
        <w:spacing w:line="276" w:lineRule="auto"/>
        <w:rPr>
          <w:rFonts w:asciiTheme="majorBidi" w:hAnsiTheme="majorBidi" w:cstheme="majorBidi"/>
        </w:rPr>
      </w:pPr>
      <w:r>
        <w:rPr>
          <w:rFonts w:asciiTheme="majorBidi" w:hAnsiTheme="majorBidi" w:cstheme="majorBidi"/>
        </w:rPr>
        <w:t xml:space="preserve">Primary data is known as data that </w:t>
      </w:r>
      <w:r>
        <w:rPr>
          <w:rFonts w:asciiTheme="majorBidi" w:hAnsiTheme="majorBidi" w:cstheme="majorBidi"/>
          <w:lang w:val="en-US"/>
        </w:rPr>
        <w:t xml:space="preserve"> used</w:t>
      </w:r>
      <w:r>
        <w:rPr>
          <w:rFonts w:asciiTheme="majorBidi" w:hAnsiTheme="majorBidi" w:cstheme="majorBidi"/>
        </w:rPr>
        <w:t xml:space="preserve"> as a data collection tool for a particular study</w:t>
      </w:r>
      <w:r>
        <w:rPr>
          <w:rFonts w:asciiTheme="majorBidi" w:hAnsiTheme="majorBidi" w:cstheme="majorBidi"/>
          <w:lang w:val="en-US"/>
        </w:rPr>
        <w:t xml:space="preserve"> </w:t>
      </w:r>
      <w:r>
        <w:rPr>
          <w:rFonts w:asciiTheme="majorBidi" w:hAnsiTheme="majorBidi" w:cstheme="majorBidi"/>
        </w:rPr>
        <w:t>about a specific topic by, for example, questionnaire techniques. This primary data</w:t>
      </w:r>
      <w:r>
        <w:rPr>
          <w:rFonts w:asciiTheme="majorBidi" w:hAnsiTheme="majorBidi" w:cstheme="majorBidi"/>
          <w:lang w:val="en-US"/>
        </w:rPr>
        <w:t xml:space="preserve"> </w:t>
      </w:r>
      <w:r>
        <w:rPr>
          <w:rFonts w:asciiTheme="majorBidi" w:hAnsiTheme="majorBidi" w:cstheme="majorBidi"/>
        </w:rPr>
        <w:t>collected from questionnaires for public sector workers.</w:t>
      </w:r>
    </w:p>
    <w:p w14:paraId="7BF81B94">
      <w:pPr>
        <w:pStyle w:val="4"/>
        <w:spacing w:line="276" w:lineRule="auto"/>
        <w:ind w:left="720" w:firstLine="0"/>
        <w:rPr>
          <w:rFonts w:asciiTheme="majorBidi" w:hAnsiTheme="majorBidi"/>
          <w:sz w:val="24"/>
          <w:szCs w:val="24"/>
        </w:rPr>
      </w:pPr>
      <w:bookmarkStart w:id="20" w:name="_Toc136959595"/>
      <w:r>
        <w:rPr>
          <w:rFonts w:asciiTheme="majorBidi" w:hAnsiTheme="majorBidi"/>
          <w:sz w:val="24"/>
          <w:szCs w:val="24"/>
        </w:rPr>
        <w:t>Secondary Data</w:t>
      </w:r>
      <w:bookmarkEnd w:id="20"/>
    </w:p>
    <w:p w14:paraId="7846E955">
      <w:pPr>
        <w:spacing w:line="276" w:lineRule="auto"/>
        <w:rPr>
          <w:rFonts w:asciiTheme="majorBidi" w:hAnsiTheme="majorBidi" w:cstheme="majorBidi"/>
        </w:rPr>
      </w:pPr>
      <w:r>
        <w:rPr>
          <w:rFonts w:asciiTheme="majorBidi" w:hAnsiTheme="majorBidi" w:cstheme="majorBidi"/>
        </w:rPr>
        <w:t>Secondary data is data that already have been done by others, for further information</w:t>
      </w:r>
      <w:r>
        <w:rPr>
          <w:rFonts w:asciiTheme="majorBidi" w:hAnsiTheme="majorBidi" w:cstheme="majorBidi"/>
          <w:lang w:val="en-US"/>
        </w:rPr>
        <w:t xml:space="preserve"> s</w:t>
      </w:r>
      <w:r>
        <w:rPr>
          <w:rFonts w:asciiTheme="majorBidi" w:hAnsiTheme="majorBidi" w:cstheme="majorBidi"/>
        </w:rPr>
        <w:t>econdary data information can be obtained through various kinds of documents. For</w:t>
      </w:r>
      <w:r>
        <w:rPr>
          <w:rFonts w:asciiTheme="majorBidi" w:hAnsiTheme="majorBidi" w:cstheme="majorBidi"/>
          <w:lang w:val="en-US"/>
        </w:rPr>
        <w:t xml:space="preserve"> </w:t>
      </w:r>
      <w:r>
        <w:rPr>
          <w:rFonts w:asciiTheme="majorBidi" w:hAnsiTheme="majorBidi" w:cstheme="majorBidi"/>
        </w:rPr>
        <w:t xml:space="preserve">example, research reports, </w:t>
      </w:r>
      <w:r>
        <w:rPr>
          <w:rFonts w:asciiTheme="majorBidi" w:hAnsiTheme="majorBidi" w:cstheme="majorBidi"/>
          <w:lang w:val="en-US"/>
        </w:rPr>
        <w:t xml:space="preserve">and </w:t>
      </w:r>
      <w:r>
        <w:rPr>
          <w:rFonts w:asciiTheme="majorBidi" w:hAnsiTheme="majorBidi" w:cstheme="majorBidi"/>
        </w:rPr>
        <w:t>journals.</w:t>
      </w:r>
    </w:p>
    <w:p w14:paraId="537269B9">
      <w:pPr>
        <w:pStyle w:val="3"/>
        <w:spacing w:line="276" w:lineRule="auto"/>
        <w:ind w:left="720" w:firstLine="0"/>
        <w:rPr>
          <w:rFonts w:asciiTheme="majorBidi" w:hAnsiTheme="majorBidi"/>
          <w:sz w:val="24"/>
          <w:szCs w:val="24"/>
        </w:rPr>
      </w:pPr>
      <w:r>
        <w:rPr>
          <w:rFonts w:asciiTheme="majorBidi" w:hAnsiTheme="majorBidi"/>
          <w:sz w:val="24"/>
          <w:szCs w:val="24"/>
        </w:rPr>
        <w:t xml:space="preserve"> </w:t>
      </w:r>
      <w:bookmarkStart w:id="21" w:name="_Toc136959596"/>
      <w:r>
        <w:rPr>
          <w:rFonts w:asciiTheme="majorBidi" w:hAnsiTheme="majorBidi"/>
          <w:sz w:val="24"/>
          <w:szCs w:val="24"/>
        </w:rPr>
        <w:t>Data Collection Instruments</w:t>
      </w:r>
      <w:bookmarkEnd w:id="21"/>
    </w:p>
    <w:p w14:paraId="674EC42F">
      <w:pPr>
        <w:spacing w:line="276" w:lineRule="auto"/>
        <w:rPr>
          <w:rFonts w:asciiTheme="majorBidi" w:hAnsiTheme="majorBidi" w:cstheme="majorBidi"/>
          <w:lang w:val="en-US"/>
        </w:rPr>
      </w:pPr>
      <w:r>
        <w:rPr>
          <w:rFonts w:asciiTheme="majorBidi" w:hAnsiTheme="majorBidi" w:cstheme="majorBidi"/>
        </w:rPr>
        <w:t xml:space="preserve">The data collection instrument is </w:t>
      </w:r>
      <w:r>
        <w:rPr>
          <w:rFonts w:asciiTheme="majorBidi" w:hAnsiTheme="majorBidi" w:cstheme="majorBidi"/>
          <w:lang w:val="en-US"/>
        </w:rPr>
        <w:t xml:space="preserve">a </w:t>
      </w:r>
      <w:r>
        <w:rPr>
          <w:rFonts w:asciiTheme="majorBidi" w:hAnsiTheme="majorBidi" w:cstheme="majorBidi"/>
        </w:rPr>
        <w:t>questionnaire.</w:t>
      </w:r>
    </w:p>
    <w:p w14:paraId="53C92114">
      <w:pPr>
        <w:pStyle w:val="4"/>
        <w:spacing w:line="276" w:lineRule="auto"/>
        <w:ind w:left="720" w:firstLine="0"/>
        <w:rPr>
          <w:rFonts w:asciiTheme="majorBidi" w:hAnsiTheme="majorBidi"/>
          <w:sz w:val="24"/>
          <w:szCs w:val="24"/>
        </w:rPr>
      </w:pPr>
      <w:bookmarkStart w:id="22" w:name="_Toc136959597"/>
      <w:r>
        <w:rPr>
          <w:rFonts w:asciiTheme="majorBidi" w:hAnsiTheme="majorBidi"/>
          <w:sz w:val="24"/>
          <w:szCs w:val="24"/>
        </w:rPr>
        <w:t>Questionnaire</w:t>
      </w:r>
      <w:bookmarkEnd w:id="22"/>
    </w:p>
    <w:p w14:paraId="6606EC95">
      <w:pPr>
        <w:spacing w:line="276" w:lineRule="auto"/>
        <w:rPr>
          <w:rFonts w:asciiTheme="majorBidi" w:hAnsiTheme="majorBidi" w:cstheme="majorBidi"/>
        </w:rPr>
      </w:pPr>
      <w:r>
        <w:rPr>
          <w:rFonts w:asciiTheme="majorBidi" w:hAnsiTheme="majorBidi" w:cstheme="majorBidi"/>
        </w:rPr>
        <w:t>A questionnaire is a research instrument consisting of a set of questions (items) intended</w:t>
      </w:r>
      <w:r>
        <w:rPr>
          <w:rFonts w:asciiTheme="majorBidi" w:hAnsiTheme="majorBidi" w:cstheme="majorBidi"/>
          <w:lang w:val="en-US"/>
        </w:rPr>
        <w:t xml:space="preserve"> </w:t>
      </w:r>
      <w:r>
        <w:rPr>
          <w:rFonts w:asciiTheme="majorBidi" w:hAnsiTheme="majorBidi" w:cstheme="majorBidi"/>
        </w:rPr>
        <w:t>to capture responses from respondents in a standardized manner. Questions may be</w:t>
      </w:r>
      <w:r>
        <w:rPr>
          <w:rFonts w:asciiTheme="majorBidi" w:hAnsiTheme="majorBidi" w:cstheme="majorBidi"/>
          <w:lang w:val="en-US"/>
        </w:rPr>
        <w:t xml:space="preserve"> </w:t>
      </w:r>
      <w:r>
        <w:rPr>
          <w:rFonts w:asciiTheme="majorBidi" w:hAnsiTheme="majorBidi" w:cstheme="majorBidi"/>
        </w:rPr>
        <w:t>unstructured or structured. Unstructured questions ask respondents to respond in their</w:t>
      </w:r>
      <w:r>
        <w:rPr>
          <w:rFonts w:asciiTheme="majorBidi" w:hAnsiTheme="majorBidi" w:cstheme="majorBidi"/>
          <w:lang w:val="en-US"/>
        </w:rPr>
        <w:t xml:space="preserve"> </w:t>
      </w:r>
      <w:r>
        <w:rPr>
          <w:rFonts w:asciiTheme="majorBidi" w:hAnsiTheme="majorBidi" w:cstheme="majorBidi"/>
        </w:rPr>
        <w:t>own words, while structured questions ask respondents to select an answer from a given</w:t>
      </w:r>
      <w:r>
        <w:rPr>
          <w:rFonts w:asciiTheme="majorBidi" w:hAnsiTheme="majorBidi" w:cstheme="majorBidi"/>
          <w:lang w:val="en-US"/>
        </w:rPr>
        <w:t xml:space="preserve"> </w:t>
      </w:r>
      <w:r>
        <w:rPr>
          <w:rFonts w:asciiTheme="majorBidi" w:hAnsiTheme="majorBidi" w:cstheme="majorBidi"/>
        </w:rPr>
        <w:t>set of choices. Structured questionnaires are used to collect data. A structured</w:t>
      </w:r>
      <w:r>
        <w:rPr>
          <w:rFonts w:asciiTheme="majorBidi" w:hAnsiTheme="majorBidi" w:cstheme="majorBidi"/>
          <w:lang w:val="en-US"/>
        </w:rPr>
        <w:t xml:space="preserve"> </w:t>
      </w:r>
      <w:r>
        <w:rPr>
          <w:rFonts w:asciiTheme="majorBidi" w:hAnsiTheme="majorBidi" w:cstheme="majorBidi"/>
        </w:rPr>
        <w:t xml:space="preserve">questionnaire </w:t>
      </w:r>
      <w:r>
        <w:rPr>
          <w:rFonts w:asciiTheme="majorBidi" w:hAnsiTheme="majorBidi" w:cstheme="majorBidi"/>
          <w:lang w:val="en-US"/>
        </w:rPr>
        <w:t xml:space="preserve"> used </w:t>
      </w:r>
      <w:r>
        <w:rPr>
          <w:rFonts w:asciiTheme="majorBidi" w:hAnsiTheme="majorBidi" w:cstheme="majorBidi"/>
        </w:rPr>
        <w:t>as it contains a list of possible alternatives from which</w:t>
      </w:r>
      <w:r>
        <w:rPr>
          <w:rFonts w:asciiTheme="majorBidi" w:hAnsiTheme="majorBidi" w:cstheme="majorBidi"/>
          <w:lang w:val="en-US"/>
        </w:rPr>
        <w:t xml:space="preserve"> </w:t>
      </w:r>
      <w:r>
        <w:rPr>
          <w:rFonts w:asciiTheme="majorBidi" w:hAnsiTheme="majorBidi" w:cstheme="majorBidi"/>
        </w:rPr>
        <w:t xml:space="preserve">respondents can select an answer that best suits their situation. </w:t>
      </w:r>
    </w:p>
    <w:p w14:paraId="32AEF4AF">
      <w:pPr>
        <w:spacing w:line="276" w:lineRule="auto"/>
        <w:rPr>
          <w:rFonts w:asciiTheme="majorBidi" w:hAnsiTheme="majorBidi" w:cstheme="majorBidi"/>
        </w:rPr>
      </w:pPr>
      <w:r>
        <w:rPr>
          <w:rFonts w:asciiTheme="majorBidi" w:hAnsiTheme="majorBidi" w:cstheme="majorBidi"/>
        </w:rPr>
        <w:t xml:space="preserve">This survey </w:t>
      </w:r>
      <w:r>
        <w:rPr>
          <w:rFonts w:asciiTheme="majorBidi" w:hAnsiTheme="majorBidi" w:cstheme="majorBidi"/>
          <w:lang w:val="en-US"/>
        </w:rPr>
        <w:t xml:space="preserve"> </w:t>
      </w:r>
      <w:r>
        <w:rPr>
          <w:rFonts w:asciiTheme="majorBidi" w:hAnsiTheme="majorBidi" w:cstheme="majorBidi"/>
        </w:rPr>
        <w:t>used a</w:t>
      </w:r>
      <w:r>
        <w:rPr>
          <w:rFonts w:asciiTheme="majorBidi" w:hAnsiTheme="majorBidi" w:cstheme="majorBidi"/>
          <w:lang w:val="en-US"/>
        </w:rPr>
        <w:t xml:space="preserve"> </w:t>
      </w:r>
      <w:r>
        <w:rPr>
          <w:rFonts w:asciiTheme="majorBidi" w:hAnsiTheme="majorBidi" w:cstheme="majorBidi"/>
        </w:rPr>
        <w:t>structured questionnaire having close-ended questions. The questionnaire has two parts</w:t>
      </w:r>
      <w:r>
        <w:rPr>
          <w:rFonts w:asciiTheme="majorBidi" w:hAnsiTheme="majorBidi" w:cstheme="majorBidi"/>
          <w:lang w:val="en-US"/>
        </w:rPr>
        <w:t xml:space="preserve"> </w:t>
      </w:r>
      <w:r>
        <w:rPr>
          <w:rFonts w:asciiTheme="majorBidi" w:hAnsiTheme="majorBidi" w:cstheme="majorBidi"/>
        </w:rPr>
        <w:t xml:space="preserve">the first part is related to the demographic profiles and the second part is based </w:t>
      </w:r>
      <w:r>
        <w:rPr>
          <w:rFonts w:asciiTheme="majorBidi" w:hAnsiTheme="majorBidi" w:cstheme="majorBidi"/>
          <w:lang w:val="en-US"/>
        </w:rPr>
        <w:t>on</w:t>
      </w:r>
      <w:r>
        <w:rPr>
          <w:rFonts w:asciiTheme="majorBidi" w:hAnsiTheme="majorBidi" w:cstheme="majorBidi"/>
        </w:rPr>
        <w:t xml:space="preserve"> the</w:t>
      </w:r>
      <w:r>
        <w:rPr>
          <w:rFonts w:asciiTheme="majorBidi" w:hAnsiTheme="majorBidi" w:cstheme="majorBidi"/>
          <w:lang w:val="en-US"/>
        </w:rPr>
        <w:t xml:space="preserve"> </w:t>
      </w:r>
      <w:r>
        <w:rPr>
          <w:rFonts w:asciiTheme="majorBidi" w:hAnsiTheme="majorBidi" w:cstheme="majorBidi"/>
        </w:rPr>
        <w:t>main subject matters. In the demographic profiles, respondents’ age, sex, education, and</w:t>
      </w:r>
      <w:r>
        <w:rPr>
          <w:rFonts w:asciiTheme="majorBidi" w:hAnsiTheme="majorBidi" w:cstheme="majorBidi"/>
          <w:lang w:val="en-US"/>
        </w:rPr>
        <w:t xml:space="preserve"> </w:t>
      </w:r>
      <w:r>
        <w:rPr>
          <w:rFonts w:asciiTheme="majorBidi" w:hAnsiTheme="majorBidi" w:cstheme="majorBidi"/>
        </w:rPr>
        <w:t>experience. In the second part, question items were made in a statement based on</w:t>
      </w:r>
      <w:r>
        <w:rPr>
          <w:rFonts w:asciiTheme="majorBidi" w:hAnsiTheme="majorBidi" w:cstheme="majorBidi"/>
          <w:lang w:val="en-US"/>
        </w:rPr>
        <w:t xml:space="preserve"> </w:t>
      </w:r>
      <w:r>
        <w:rPr>
          <w:rFonts w:asciiTheme="majorBidi" w:hAnsiTheme="majorBidi" w:cstheme="majorBidi"/>
        </w:rPr>
        <w:t xml:space="preserve">constructs. </w:t>
      </w:r>
      <w:r>
        <w:rPr>
          <w:rFonts w:asciiTheme="majorBidi" w:hAnsiTheme="majorBidi" w:cstheme="majorBidi"/>
          <w:lang w:val="en-US"/>
        </w:rPr>
        <w:t>Three</w:t>
      </w:r>
      <w:r>
        <w:rPr>
          <w:rFonts w:asciiTheme="majorBidi" w:hAnsiTheme="majorBidi" w:cstheme="majorBidi"/>
        </w:rPr>
        <w:t xml:space="preserve"> constructs w</w:t>
      </w:r>
      <w:r>
        <w:rPr>
          <w:rFonts w:asciiTheme="majorBidi" w:hAnsiTheme="majorBidi" w:cstheme="majorBidi"/>
          <w:lang w:val="en-US"/>
        </w:rPr>
        <w:t>I’ll be</w:t>
      </w:r>
      <w:r>
        <w:rPr>
          <w:rFonts w:asciiTheme="majorBidi" w:hAnsiTheme="majorBidi" w:cstheme="majorBidi"/>
        </w:rPr>
        <w:t xml:space="preserve"> taken (Political Commitment, Technical</w:t>
      </w:r>
      <w:r>
        <w:rPr>
          <w:rFonts w:asciiTheme="majorBidi" w:hAnsiTheme="majorBidi" w:cstheme="majorBidi"/>
          <w:lang w:val="en-US"/>
        </w:rPr>
        <w:t xml:space="preserve"> </w:t>
      </w:r>
      <w:r>
        <w:rPr>
          <w:rFonts w:asciiTheme="majorBidi" w:hAnsiTheme="majorBidi" w:cstheme="majorBidi"/>
        </w:rPr>
        <w:t>Capacity</w:t>
      </w:r>
      <w:r>
        <w:rPr>
          <w:rFonts w:asciiTheme="majorBidi" w:hAnsiTheme="majorBidi" w:cstheme="majorBidi"/>
          <w:lang w:val="en-US"/>
        </w:rPr>
        <w:t xml:space="preserve"> and </w:t>
      </w:r>
      <w:r>
        <w:rPr>
          <w:rFonts w:asciiTheme="majorBidi" w:hAnsiTheme="majorBidi" w:cstheme="majorBidi"/>
        </w:rPr>
        <w:t xml:space="preserve">Role of </w:t>
      </w:r>
      <w:r>
        <w:rPr>
          <w:rFonts w:asciiTheme="majorBidi" w:hAnsiTheme="majorBidi" w:cstheme="majorBidi"/>
          <w:lang w:val="en-US"/>
        </w:rPr>
        <w:t>Donors’</w:t>
      </w:r>
      <w:r>
        <w:rPr>
          <w:rFonts w:asciiTheme="majorBidi" w:hAnsiTheme="majorBidi" w:cstheme="majorBidi"/>
        </w:rPr>
        <w:t xml:space="preserve"> support), </w:t>
      </w:r>
      <w:r>
        <w:rPr>
          <w:rFonts w:asciiTheme="majorBidi" w:hAnsiTheme="majorBidi" w:cstheme="majorBidi"/>
          <w:lang w:val="en-US"/>
        </w:rPr>
        <w:t xml:space="preserve">and </w:t>
      </w:r>
      <w:r>
        <w:rPr>
          <w:rFonts w:asciiTheme="majorBidi" w:hAnsiTheme="majorBidi" w:cstheme="majorBidi"/>
        </w:rPr>
        <w:t xml:space="preserve">each construct </w:t>
      </w:r>
      <w:r>
        <w:rPr>
          <w:rFonts w:asciiTheme="majorBidi" w:hAnsiTheme="majorBidi" w:cstheme="majorBidi"/>
          <w:lang w:val="en-US"/>
        </w:rPr>
        <w:t>contain</w:t>
      </w:r>
      <w:r>
        <w:rPr>
          <w:rFonts w:asciiTheme="majorBidi" w:hAnsiTheme="majorBidi" w:cstheme="majorBidi"/>
        </w:rPr>
        <w:t xml:space="preserve"> 6, 6, and 4 statements</w:t>
      </w:r>
      <w:r>
        <w:rPr>
          <w:rFonts w:asciiTheme="majorBidi" w:hAnsiTheme="majorBidi" w:cstheme="majorBidi"/>
          <w:lang w:val="en-US"/>
        </w:rPr>
        <w:t xml:space="preserve"> </w:t>
      </w:r>
      <w:r>
        <w:rPr>
          <w:rFonts w:asciiTheme="majorBidi" w:hAnsiTheme="majorBidi" w:cstheme="majorBidi"/>
        </w:rPr>
        <w:t>respectively. All the main items were framed on a 1- 5 scale (1 – strongly disagree, 2-</w:t>
      </w:r>
      <w:r>
        <w:rPr>
          <w:rFonts w:asciiTheme="majorBidi" w:hAnsiTheme="majorBidi" w:cstheme="majorBidi"/>
          <w:lang w:val="en-US"/>
        </w:rPr>
        <w:t xml:space="preserve"> </w:t>
      </w:r>
      <w:r>
        <w:rPr>
          <w:rFonts w:asciiTheme="majorBidi" w:hAnsiTheme="majorBidi" w:cstheme="majorBidi"/>
        </w:rPr>
        <w:t>disagree,</w:t>
      </w:r>
      <w:r>
        <w:rPr>
          <w:rFonts w:asciiTheme="majorBidi" w:hAnsiTheme="majorBidi" w:cstheme="majorBidi"/>
          <w:lang w:val="en-US"/>
        </w:rPr>
        <w:t xml:space="preserve"> </w:t>
      </w:r>
      <w:r>
        <w:rPr>
          <w:rFonts w:asciiTheme="majorBidi" w:hAnsiTheme="majorBidi" w:cstheme="majorBidi"/>
        </w:rPr>
        <w:t>3-neutral, 4-agree, 5-strongly agree).</w:t>
      </w:r>
    </w:p>
    <w:p w14:paraId="7CEDAE45">
      <w:pPr>
        <w:pStyle w:val="3"/>
        <w:spacing w:line="276" w:lineRule="auto"/>
        <w:rPr>
          <w:rFonts w:asciiTheme="majorBidi" w:hAnsiTheme="majorBidi"/>
          <w:sz w:val="24"/>
          <w:szCs w:val="24"/>
        </w:rPr>
      </w:pPr>
      <w:bookmarkStart w:id="23" w:name="_Toc136959598"/>
      <w:r>
        <w:rPr>
          <w:rFonts w:asciiTheme="majorBidi" w:hAnsiTheme="majorBidi"/>
          <w:sz w:val="24"/>
          <w:szCs w:val="24"/>
        </w:rPr>
        <w:t>Validity and reliability</w:t>
      </w:r>
      <w:bookmarkEnd w:id="23"/>
    </w:p>
    <w:p w14:paraId="45437EF5">
      <w:pPr>
        <w:spacing w:line="276" w:lineRule="auto"/>
        <w:rPr>
          <w:rFonts w:asciiTheme="majorBidi" w:hAnsiTheme="majorBidi" w:cstheme="majorBidi"/>
        </w:rPr>
      </w:pPr>
      <w:r>
        <w:rPr>
          <w:rFonts w:asciiTheme="majorBidi" w:hAnsiTheme="majorBidi" w:cstheme="majorBidi"/>
        </w:rPr>
        <w:t>The most important criterion is validity, showing the degree to which an instrument</w:t>
      </w:r>
      <w:r>
        <w:rPr>
          <w:rFonts w:asciiTheme="majorBidi" w:hAnsiTheme="majorBidi" w:cstheme="majorBidi"/>
          <w:lang w:val="en-US"/>
        </w:rPr>
        <w:t xml:space="preserve"> </w:t>
      </w:r>
      <w:r>
        <w:rPr>
          <w:rFonts w:asciiTheme="majorBidi" w:hAnsiTheme="majorBidi" w:cstheme="majorBidi"/>
        </w:rPr>
        <w:t>tests what it is intended to measure. It is also important to think about validity as utility.In other words, validity is the degree to which differences</w:t>
      </w:r>
      <w:r>
        <w:rPr>
          <w:rFonts w:asciiTheme="majorBidi" w:hAnsiTheme="majorBidi" w:cstheme="majorBidi"/>
          <w:lang w:val="en-US"/>
        </w:rPr>
        <w:t xml:space="preserve"> </w:t>
      </w:r>
      <w:r>
        <w:rPr>
          <w:rFonts w:asciiTheme="majorBidi" w:hAnsiTheme="majorBidi" w:cstheme="majorBidi"/>
        </w:rPr>
        <w:t>Between</w:t>
      </w:r>
      <w:r>
        <w:rPr>
          <w:rFonts w:asciiTheme="majorBidi" w:hAnsiTheme="majorBidi" w:cstheme="majorBidi"/>
          <w:lang w:val="en-US"/>
        </w:rPr>
        <w:t xml:space="preserve"> </w:t>
      </w:r>
      <w:r>
        <w:rPr>
          <w:rFonts w:asciiTheme="majorBidi" w:hAnsiTheme="majorBidi" w:cstheme="majorBidi"/>
        </w:rPr>
        <w:t>those</w:t>
      </w:r>
      <w:r>
        <w:rPr>
          <w:rFonts w:asciiTheme="majorBidi" w:hAnsiTheme="majorBidi" w:cstheme="majorBidi"/>
          <w:lang w:val="en-US"/>
        </w:rPr>
        <w:t xml:space="preserve"> </w:t>
      </w:r>
      <w:r>
        <w:rPr>
          <w:rFonts w:asciiTheme="majorBidi" w:hAnsiTheme="majorBidi" w:cstheme="majorBidi"/>
        </w:rPr>
        <w:t>being</w:t>
      </w:r>
      <w:r>
        <w:rPr>
          <w:rFonts w:asciiTheme="majorBidi" w:hAnsiTheme="majorBidi" w:cstheme="majorBidi"/>
          <w:lang w:val="en-US"/>
        </w:rPr>
        <w:t xml:space="preserve"> </w:t>
      </w:r>
      <w:r>
        <w:rPr>
          <w:rFonts w:asciiTheme="majorBidi" w:hAnsiTheme="majorBidi" w:cstheme="majorBidi"/>
        </w:rPr>
        <w:t>measured with a</w:t>
      </w:r>
      <w:r>
        <w:rPr>
          <w:rFonts w:asciiTheme="majorBidi" w:hAnsiTheme="majorBidi" w:cstheme="majorBidi"/>
          <w:lang w:val="en-US"/>
        </w:rPr>
        <w:t xml:space="preserve"> </w:t>
      </w:r>
      <w:r>
        <w:rPr>
          <w:rFonts w:asciiTheme="majorBidi" w:hAnsiTheme="majorBidi" w:cstheme="majorBidi"/>
        </w:rPr>
        <w:t>measuring instrument reflect true differences</w:t>
      </w:r>
      <w:sdt>
        <w:sdtPr>
          <w:rPr>
            <w:rFonts w:asciiTheme="majorBidi" w:hAnsiTheme="majorBidi" w:cstheme="majorBidi"/>
          </w:rPr>
          <w:id w:val="1040398535"/>
        </w:sdtPr>
        <w:sdtEndPr>
          <w:rPr>
            <w:rFonts w:asciiTheme="majorBidi" w:hAnsiTheme="majorBidi" w:cstheme="majorBidi"/>
          </w:rPr>
        </w:sdtEndPr>
        <w:sdtContent>
          <w:r>
            <w:rPr>
              <w:rFonts w:asciiTheme="majorBidi" w:hAnsiTheme="majorBidi" w:cstheme="majorBidi"/>
            </w:rPr>
            <w:fldChar w:fldCharType="begin"/>
          </w:r>
          <w:r>
            <w:rPr>
              <w:rFonts w:asciiTheme="majorBidi" w:hAnsiTheme="majorBidi" w:cstheme="majorBidi"/>
              <w:lang w:val="en-US"/>
            </w:rPr>
            <w:instrText xml:space="preserve"> CITATION CRK04 \l 1033 </w:instrText>
          </w:r>
          <w:r>
            <w:rPr>
              <w:rFonts w:asciiTheme="majorBidi" w:hAnsiTheme="majorBidi" w:cstheme="majorBidi"/>
            </w:rPr>
            <w:fldChar w:fldCharType="separate"/>
          </w:r>
          <w:r>
            <w:rPr>
              <w:rFonts w:asciiTheme="majorBidi" w:hAnsiTheme="majorBidi" w:cstheme="majorBidi"/>
              <w:lang w:val="en-US"/>
            </w:rPr>
            <w:t xml:space="preserve"> (KOTHARI, 2004)</w:t>
          </w:r>
          <w:r>
            <w:rPr>
              <w:rFonts w:asciiTheme="majorBidi" w:hAnsiTheme="majorBidi" w:cstheme="majorBidi"/>
            </w:rPr>
            <w:fldChar w:fldCharType="end"/>
          </w:r>
        </w:sdtContent>
      </w:sdt>
      <w:r>
        <w:rPr>
          <w:rFonts w:asciiTheme="majorBidi" w:hAnsiTheme="majorBidi" w:cstheme="majorBidi"/>
        </w:rPr>
        <w:t>.</w:t>
      </w:r>
    </w:p>
    <w:p w14:paraId="496A5A70">
      <w:pPr>
        <w:spacing w:line="276" w:lineRule="auto"/>
        <w:rPr>
          <w:rFonts w:asciiTheme="majorBidi" w:hAnsiTheme="majorBidi" w:cstheme="majorBidi"/>
          <w:lang w:val="en-US"/>
        </w:rPr>
      </w:pPr>
      <w:r>
        <w:rPr>
          <w:rFonts w:asciiTheme="majorBidi" w:hAnsiTheme="majorBidi" w:cstheme="majorBidi"/>
        </w:rPr>
        <w:t>Validity refers to the degree to which a test measures what we want to measure in fact.</w:t>
      </w:r>
      <w:r>
        <w:rPr>
          <w:rFonts w:asciiTheme="majorBidi" w:hAnsiTheme="majorBidi" w:cstheme="majorBidi"/>
          <w:lang w:val="en-US"/>
        </w:rPr>
        <w:t xml:space="preserve"> </w:t>
      </w:r>
      <w:r>
        <w:rPr>
          <w:rFonts w:asciiTheme="majorBidi" w:hAnsiTheme="majorBidi" w:cstheme="majorBidi"/>
        </w:rPr>
        <w:t>Reliability has to do with a measuring procedure's precision and accuracy</w:t>
      </w:r>
      <w:sdt>
        <w:sdtPr>
          <w:rPr>
            <w:rFonts w:asciiTheme="majorBidi" w:hAnsiTheme="majorBidi" w:cstheme="majorBidi"/>
          </w:rPr>
          <w:id w:val="-323276701"/>
        </w:sdtPr>
        <w:sdtEndPr>
          <w:rPr>
            <w:rFonts w:asciiTheme="majorBidi" w:hAnsiTheme="majorBidi" w:cstheme="majorBidi"/>
          </w:rPr>
        </w:sdtEndPr>
        <w:sdtContent>
          <w:r>
            <w:rPr>
              <w:rFonts w:asciiTheme="majorBidi" w:hAnsiTheme="majorBidi" w:cstheme="majorBidi"/>
            </w:rPr>
            <w:fldChar w:fldCharType="begin"/>
          </w:r>
          <w:r>
            <w:rPr>
              <w:rFonts w:asciiTheme="majorBidi" w:hAnsiTheme="majorBidi" w:cstheme="majorBidi"/>
              <w:lang w:val="en-US"/>
            </w:rPr>
            <w:instrText xml:space="preserve"> CITATION Thoon \l 1033 </w:instrText>
          </w:r>
          <w:r>
            <w:rPr>
              <w:rFonts w:asciiTheme="majorBidi" w:hAnsiTheme="majorBidi" w:cstheme="majorBidi"/>
            </w:rPr>
            <w:fldChar w:fldCharType="separate"/>
          </w:r>
          <w:r>
            <w:rPr>
              <w:rFonts w:asciiTheme="majorBidi" w:hAnsiTheme="majorBidi" w:cstheme="majorBidi"/>
              <w:lang w:val="en-US"/>
            </w:rPr>
            <w:t xml:space="preserve"> (Thorndike &amp; Hagen, london)</w:t>
          </w:r>
          <w:r>
            <w:rPr>
              <w:rFonts w:asciiTheme="majorBidi" w:hAnsiTheme="majorBidi" w:cstheme="majorBidi"/>
            </w:rPr>
            <w:fldChar w:fldCharType="end"/>
          </w:r>
        </w:sdtContent>
      </w:sdt>
      <w:r>
        <w:rPr>
          <w:rFonts w:asciiTheme="majorBidi" w:hAnsiTheme="majorBidi" w:cstheme="majorBidi"/>
          <w:lang w:val="en-US"/>
        </w:rPr>
        <w:t>.</w:t>
      </w:r>
    </w:p>
    <w:p w14:paraId="101C67F0">
      <w:pPr>
        <w:pStyle w:val="3"/>
        <w:spacing w:line="276" w:lineRule="auto"/>
        <w:ind w:firstLine="0"/>
        <w:rPr>
          <w:rFonts w:asciiTheme="majorBidi" w:hAnsiTheme="majorBidi"/>
          <w:sz w:val="24"/>
          <w:szCs w:val="24"/>
        </w:rPr>
      </w:pPr>
      <w:bookmarkStart w:id="24" w:name="_Toc136959599"/>
      <w:r>
        <w:rPr>
          <w:rFonts w:asciiTheme="majorBidi" w:hAnsiTheme="majorBidi"/>
          <w:sz w:val="24"/>
          <w:szCs w:val="24"/>
        </w:rPr>
        <w:t xml:space="preserve"> Data Analysis</w:t>
      </w:r>
      <w:bookmarkEnd w:id="24"/>
    </w:p>
    <w:p w14:paraId="2CCC0F39">
      <w:pPr>
        <w:spacing w:line="276" w:lineRule="auto"/>
        <w:rPr>
          <w:rFonts w:asciiTheme="majorBidi" w:hAnsiTheme="majorBidi" w:cstheme="majorBidi"/>
        </w:rPr>
      </w:pPr>
      <w:r>
        <w:rPr>
          <w:rFonts w:asciiTheme="majorBidi" w:hAnsiTheme="majorBidi" w:cstheme="majorBidi"/>
        </w:rPr>
        <w:t xml:space="preserve">In this study, the </w:t>
      </w:r>
      <w:r>
        <w:rPr>
          <w:rFonts w:asciiTheme="majorBidi" w:hAnsiTheme="majorBidi" w:cstheme="majorBidi"/>
          <w:lang w:val="en-US"/>
        </w:rPr>
        <w:t>collected</w:t>
      </w:r>
      <w:r>
        <w:rPr>
          <w:rFonts w:asciiTheme="majorBidi" w:hAnsiTheme="majorBidi" w:cstheme="majorBidi"/>
        </w:rPr>
        <w:t xml:space="preserve"> data </w:t>
      </w:r>
      <w:r>
        <w:rPr>
          <w:rFonts w:asciiTheme="majorBidi" w:hAnsiTheme="majorBidi" w:cstheme="majorBidi"/>
          <w:lang w:val="en-US"/>
        </w:rPr>
        <w:t xml:space="preserve"> </w:t>
      </w:r>
      <w:r>
        <w:rPr>
          <w:rFonts w:asciiTheme="majorBidi" w:hAnsiTheme="majorBidi" w:cstheme="majorBidi"/>
        </w:rPr>
        <w:t xml:space="preserve">analyzed </w:t>
      </w:r>
      <w:r>
        <w:rPr>
          <w:rFonts w:asciiTheme="majorBidi" w:hAnsiTheme="majorBidi" w:cstheme="majorBidi"/>
          <w:lang w:val="en-US"/>
        </w:rPr>
        <w:t xml:space="preserve">by </w:t>
      </w:r>
      <w:r>
        <w:rPr>
          <w:rFonts w:asciiTheme="majorBidi" w:hAnsiTheme="majorBidi" w:cstheme="majorBidi"/>
        </w:rPr>
        <w:t>using descriptive. In descriptive statistics,</w:t>
      </w:r>
      <w:r>
        <w:rPr>
          <w:rFonts w:asciiTheme="majorBidi" w:hAnsiTheme="majorBidi" w:cstheme="majorBidi"/>
          <w:lang w:val="en-US"/>
        </w:rPr>
        <w:t xml:space="preserve"> the </w:t>
      </w:r>
      <w:r>
        <w:rPr>
          <w:rFonts w:asciiTheme="majorBidi" w:hAnsiTheme="majorBidi" w:cstheme="majorBidi"/>
        </w:rPr>
        <w:t>quantitative method w</w:t>
      </w:r>
      <w:r>
        <w:rPr>
          <w:rFonts w:asciiTheme="majorBidi" w:hAnsiTheme="majorBidi" w:cstheme="majorBidi"/>
          <w:lang w:val="en-US"/>
        </w:rPr>
        <w:t>I’ll be</w:t>
      </w:r>
      <w:r>
        <w:rPr>
          <w:rFonts w:asciiTheme="majorBidi" w:hAnsiTheme="majorBidi" w:cstheme="majorBidi"/>
        </w:rPr>
        <w:t xml:space="preserve"> used. Quantitative data w</w:t>
      </w:r>
      <w:r>
        <w:rPr>
          <w:rFonts w:asciiTheme="majorBidi" w:hAnsiTheme="majorBidi" w:cstheme="majorBidi"/>
          <w:lang w:val="en-US"/>
        </w:rPr>
        <w:t>I’ll be</w:t>
      </w:r>
      <w:r>
        <w:rPr>
          <w:rFonts w:asciiTheme="majorBidi" w:hAnsiTheme="majorBidi" w:cstheme="majorBidi"/>
        </w:rPr>
        <w:t xml:space="preserve"> analyzed by using descriptive</w:t>
      </w:r>
      <w:r>
        <w:rPr>
          <w:rFonts w:asciiTheme="majorBidi" w:hAnsiTheme="majorBidi" w:cstheme="majorBidi"/>
          <w:lang w:val="en-US"/>
        </w:rPr>
        <w:t xml:space="preserve"> </w:t>
      </w:r>
      <w:r>
        <w:rPr>
          <w:rFonts w:asciiTheme="majorBidi" w:hAnsiTheme="majorBidi" w:cstheme="majorBidi"/>
        </w:rPr>
        <w:t xml:space="preserve">statistics by figures, frequency distributions, percentages, and mean that </w:t>
      </w:r>
      <w:r>
        <w:rPr>
          <w:rFonts w:asciiTheme="majorBidi" w:hAnsiTheme="majorBidi" w:cstheme="majorBidi"/>
          <w:lang w:val="en-US"/>
        </w:rPr>
        <w:t>is</w:t>
      </w:r>
      <w:r>
        <w:rPr>
          <w:rFonts w:asciiTheme="majorBidi" w:hAnsiTheme="majorBidi" w:cstheme="majorBidi"/>
        </w:rPr>
        <w:t xml:space="preserve"> </w:t>
      </w:r>
      <w:r>
        <w:rPr>
          <w:rFonts w:asciiTheme="majorBidi" w:hAnsiTheme="majorBidi" w:cstheme="majorBidi"/>
          <w:lang w:val="en-US"/>
        </w:rPr>
        <w:t xml:space="preserve">established </w:t>
      </w:r>
      <w:r>
        <w:rPr>
          <w:rFonts w:asciiTheme="majorBidi" w:hAnsiTheme="majorBidi" w:cstheme="majorBidi"/>
        </w:rPr>
        <w:t>through the use of SPSS version 26.</w:t>
      </w:r>
    </w:p>
    <w:p w14:paraId="2B70B78E">
      <w:pPr>
        <w:spacing w:line="276" w:lineRule="auto"/>
        <w:rPr>
          <w:rFonts w:asciiTheme="majorBidi" w:hAnsiTheme="majorBidi" w:cstheme="majorBidi"/>
        </w:rPr>
      </w:pPr>
      <w:r>
        <w:rPr>
          <w:rFonts w:asciiTheme="majorBidi" w:hAnsiTheme="majorBidi" w:cstheme="majorBidi"/>
        </w:rPr>
        <w:t>To investigate the effect of  public financial management reform on financial operations: the case of ministry of finance in puntland state of somalia, the researcher used multiple linear regression model analysis. This procedure allows the researcher to make statements about how well the variable components affect financial operations. The data analysis of this study was conducted by using a statistical package for social scientist (SPSS) computer software package.</w:t>
      </w:r>
    </w:p>
    <w:p w14:paraId="1E3E7EC1">
      <w:pPr>
        <w:spacing w:line="276" w:lineRule="auto"/>
        <w:rPr>
          <w:rFonts w:asciiTheme="majorBidi" w:hAnsiTheme="majorBidi" w:cstheme="majorBidi"/>
        </w:rPr>
      </w:pPr>
      <w:r>
        <w:rPr>
          <w:rFonts w:asciiTheme="majorBidi" w:hAnsiTheme="majorBidi" w:cstheme="majorBidi"/>
        </w:rPr>
        <w:t>Based on the data analyzed, the researcher interpreted by giving appropriate meaning</w:t>
      </w:r>
      <w:r>
        <w:rPr>
          <w:rFonts w:asciiTheme="majorBidi" w:hAnsiTheme="majorBidi" w:cstheme="majorBidi"/>
        </w:rPr>
        <w:br w:type="textWrapping"/>
      </w:r>
      <w:r>
        <w:rPr>
          <w:rFonts w:asciiTheme="majorBidi" w:hAnsiTheme="majorBidi" w:cstheme="majorBidi"/>
        </w:rPr>
        <w:t>to the data. And the data was presented in the form of figures and figures. After that, the entire research findings have been summarized, and then the researcher tried to reach conclusion and drawn recommendations.</w:t>
      </w:r>
    </w:p>
    <w:p w14:paraId="5E91867B">
      <w:pPr>
        <w:pStyle w:val="3"/>
        <w:spacing w:line="276" w:lineRule="auto"/>
        <w:rPr>
          <w:rFonts w:asciiTheme="majorBidi" w:hAnsiTheme="majorBidi"/>
          <w:sz w:val="24"/>
          <w:szCs w:val="24"/>
        </w:rPr>
      </w:pPr>
      <w:bookmarkStart w:id="25" w:name="_Toc136959600"/>
      <w:r>
        <w:rPr>
          <w:rFonts w:asciiTheme="majorBidi" w:hAnsiTheme="majorBidi"/>
          <w:sz w:val="24"/>
          <w:szCs w:val="24"/>
        </w:rPr>
        <w:t xml:space="preserve"> Operational Definition of the Study</w:t>
      </w:r>
      <w:bookmarkEnd w:id="25"/>
    </w:p>
    <w:p w14:paraId="0FE10AC2">
      <w:pPr>
        <w:spacing w:line="276" w:lineRule="auto"/>
        <w:rPr>
          <w:rFonts w:asciiTheme="majorBidi" w:hAnsiTheme="majorBidi" w:cstheme="majorBidi"/>
          <w:shd w:val="clear" w:color="auto" w:fill="FFFFFF"/>
        </w:rPr>
      </w:pPr>
      <w:r>
        <w:rPr>
          <w:rFonts w:asciiTheme="majorBidi" w:hAnsiTheme="majorBidi" w:cstheme="majorBidi"/>
          <w:b/>
          <w:bCs/>
          <w:shd w:val="clear" w:color="auto" w:fill="FFFFFF"/>
        </w:rPr>
        <w:t>Public financial management:</w:t>
      </w:r>
      <w:r>
        <w:rPr>
          <w:rFonts w:asciiTheme="majorBidi" w:hAnsiTheme="majorBidi" w:cstheme="majorBidi"/>
          <w:shd w:val="clear" w:color="auto" w:fill="FFFFFF"/>
        </w:rPr>
        <w:t xml:space="preserve"> refers to </w:t>
      </w:r>
      <w:r>
        <w:rPr>
          <w:rFonts w:asciiTheme="majorBidi" w:hAnsiTheme="majorBidi" w:cstheme="majorBidi"/>
        </w:rPr>
        <w:t>the collection, management</w:t>
      </w:r>
      <w:r>
        <w:rPr>
          <w:rFonts w:asciiTheme="majorBidi" w:hAnsiTheme="majorBidi" w:cstheme="majorBidi"/>
          <w:lang w:val="en-US"/>
        </w:rPr>
        <w:t>,</w:t>
      </w:r>
      <w:r>
        <w:rPr>
          <w:rFonts w:asciiTheme="majorBidi" w:hAnsiTheme="majorBidi" w:cstheme="majorBidi"/>
        </w:rPr>
        <w:t xml:space="preserve"> and expenditure of public finances throughout an economy</w:t>
      </w:r>
      <w:r>
        <w:rPr>
          <w:rFonts w:asciiTheme="majorBidi" w:hAnsiTheme="majorBidi" w:cstheme="majorBidi"/>
          <w:shd w:val="clear" w:color="auto" w:fill="FFFFFF"/>
        </w:rPr>
        <w:t>. The core objective of public financial management is to improve citizens' lives through better management of public money.</w:t>
      </w:r>
    </w:p>
    <w:p w14:paraId="4766616F">
      <w:pPr>
        <w:spacing w:line="276" w:lineRule="auto"/>
        <w:rPr>
          <w:rFonts w:asciiTheme="majorBidi" w:hAnsiTheme="majorBidi" w:cstheme="majorBidi"/>
          <w:shd w:val="clear" w:color="auto" w:fill="FFFFFF"/>
          <w:lang w:val="en-US"/>
        </w:rPr>
      </w:pPr>
      <w:r>
        <w:rPr>
          <w:rFonts w:asciiTheme="majorBidi" w:hAnsiTheme="majorBidi" w:cstheme="majorBidi"/>
          <w:b/>
          <w:bCs/>
          <w:shd w:val="clear" w:color="auto" w:fill="FFFFFF"/>
        </w:rPr>
        <w:t>Public financial management Reform:</w:t>
      </w:r>
      <w:r>
        <w:rPr>
          <w:rFonts w:asciiTheme="majorBidi" w:hAnsiTheme="majorBidi" w:cstheme="majorBidi"/>
          <w:shd w:val="clear" w:color="auto" w:fill="FFFFFF"/>
        </w:rPr>
        <w:t xml:space="preserve">  </w:t>
      </w:r>
      <w:r>
        <w:rPr>
          <w:rFonts w:asciiTheme="majorBidi" w:hAnsiTheme="majorBidi" w:cstheme="majorBidi"/>
        </w:rPr>
        <w:t>Reform of ineffective public financial management systems, processes</w:t>
      </w:r>
      <w:r>
        <w:rPr>
          <w:rFonts w:asciiTheme="majorBidi" w:hAnsiTheme="majorBidi" w:cstheme="majorBidi"/>
          <w:lang w:val="en-US"/>
        </w:rPr>
        <w:t>,</w:t>
      </w:r>
      <w:r>
        <w:rPr>
          <w:rFonts w:asciiTheme="majorBidi" w:hAnsiTheme="majorBidi" w:cstheme="majorBidi"/>
        </w:rPr>
        <w:t xml:space="preserve"> and institutions in developing countries is critical to secure long-term economic success, </w:t>
      </w:r>
      <w:r>
        <w:rPr>
          <w:rFonts w:asciiTheme="majorBidi" w:hAnsiTheme="majorBidi" w:cstheme="majorBidi"/>
          <w:lang w:val="en-US"/>
        </w:rPr>
        <w:t>maximizing</w:t>
      </w:r>
      <w:r>
        <w:rPr>
          <w:rFonts w:asciiTheme="majorBidi" w:hAnsiTheme="majorBidi" w:cstheme="majorBidi"/>
        </w:rPr>
        <w:t xml:space="preserve"> the efficient use of limited public resources, </w:t>
      </w:r>
      <w:r>
        <w:rPr>
          <w:rFonts w:asciiTheme="majorBidi" w:hAnsiTheme="majorBidi" w:cstheme="majorBidi"/>
          <w:lang w:val="en-US"/>
        </w:rPr>
        <w:t>creating</w:t>
      </w:r>
      <w:r>
        <w:rPr>
          <w:rFonts w:asciiTheme="majorBidi" w:hAnsiTheme="majorBidi" w:cstheme="majorBidi"/>
        </w:rPr>
        <w:t xml:space="preserve"> the highest level of transparency and accountability in government finances and, most importantly, to generate more and better services for the citizens of the country.</w:t>
      </w:r>
      <w:r>
        <w:rPr>
          <w:rFonts w:asciiTheme="majorBidi" w:hAnsiTheme="majorBidi" w:cstheme="majorBidi"/>
          <w:lang w:val="en-US"/>
        </w:rPr>
        <w:t xml:space="preserve"> The effect of public financial management reform our target.</w:t>
      </w:r>
    </w:p>
    <w:p w14:paraId="3DB4B890">
      <w:pPr>
        <w:spacing w:line="276" w:lineRule="auto"/>
        <w:rPr>
          <w:rFonts w:asciiTheme="majorBidi" w:hAnsiTheme="majorBidi" w:cstheme="majorBidi"/>
        </w:rPr>
      </w:pPr>
      <w:r>
        <w:rPr>
          <w:rFonts w:asciiTheme="majorBidi" w:hAnsiTheme="majorBidi" w:cstheme="majorBidi"/>
          <w:b/>
          <w:bCs/>
          <w:shd w:val="clear" w:color="auto" w:fill="FFFFFF"/>
        </w:rPr>
        <w:t>Integrated financial management information systems (IFMIS):</w:t>
      </w:r>
      <w:r>
        <w:rPr>
          <w:rFonts w:asciiTheme="majorBidi" w:hAnsiTheme="majorBidi" w:cstheme="majorBidi"/>
          <w:shd w:val="clear" w:color="auto" w:fill="FFFFFF"/>
        </w:rPr>
        <w:t xml:space="preserve"> are systems to support </w:t>
      </w:r>
      <w:r>
        <w:rPr>
          <w:rFonts w:asciiTheme="majorBidi" w:hAnsiTheme="majorBidi" w:cstheme="majorBidi"/>
          <w:shd w:val="clear" w:color="auto" w:fill="FFFFFF"/>
          <w:lang w:val="en-US"/>
        </w:rPr>
        <w:t xml:space="preserve">the </w:t>
      </w:r>
      <w:r>
        <w:rPr>
          <w:rFonts w:asciiTheme="majorBidi" w:hAnsiTheme="majorBidi" w:cstheme="majorBidi"/>
          <w:shd w:val="clear" w:color="auto" w:fill="FFFFFF"/>
        </w:rPr>
        <w:t>management of public sector budgetary, financial, and accounting operations and promote better public financial management with a centralized registry of public sector revenues and expenditures.</w:t>
      </w:r>
    </w:p>
    <w:p w14:paraId="591952F7">
      <w:pPr>
        <w:spacing w:line="276" w:lineRule="auto"/>
        <w:rPr>
          <w:rFonts w:asciiTheme="majorBidi" w:hAnsiTheme="majorBidi" w:cstheme="majorBidi"/>
          <w:shd w:val="clear" w:color="auto" w:fill="FFFFFF"/>
        </w:rPr>
      </w:pPr>
      <w:r>
        <w:rPr>
          <w:rFonts w:asciiTheme="majorBidi" w:hAnsiTheme="majorBidi" w:cstheme="majorBidi"/>
          <w:shd w:val="clear" w:color="auto" w:fill="FFFFFF"/>
          <w:lang w:val="en-US"/>
        </w:rPr>
        <w:t>The political</w:t>
      </w:r>
      <w:r>
        <w:rPr>
          <w:rFonts w:asciiTheme="majorBidi" w:hAnsiTheme="majorBidi" w:cstheme="majorBidi"/>
          <w:shd w:val="clear" w:color="auto" w:fill="FFFFFF"/>
        </w:rPr>
        <w:t xml:space="preserve"> economy theory is a social science that focuses on the relationships between the state, society, individuals, and its markets.</w:t>
      </w:r>
      <w:r>
        <w:rPr>
          <w:rFonts w:asciiTheme="majorBidi" w:hAnsiTheme="majorBidi" w:cstheme="majorBidi"/>
        </w:rPr>
        <w:t xml:space="preserve"> Reform must be backed up with</w:t>
      </w:r>
      <w:r>
        <w:rPr>
          <w:rFonts w:asciiTheme="majorBidi" w:hAnsiTheme="majorBidi" w:cstheme="majorBidi"/>
          <w:b/>
          <w:bCs/>
        </w:rPr>
        <w:t xml:space="preserve"> political commitment </w:t>
      </w:r>
      <w:r>
        <w:rPr>
          <w:rFonts w:asciiTheme="majorBidi" w:hAnsiTheme="majorBidi" w:cstheme="majorBidi"/>
        </w:rPr>
        <w:t xml:space="preserve">at the highest level and must enjoy continuing and unwavering support for the </w:t>
      </w:r>
      <w:r>
        <w:rPr>
          <w:rFonts w:asciiTheme="majorBidi" w:hAnsiTheme="majorBidi" w:cstheme="majorBidi"/>
          <w:lang w:val="en-US"/>
        </w:rPr>
        <w:t>long term</w:t>
      </w:r>
      <w:r>
        <w:rPr>
          <w:rFonts w:asciiTheme="majorBidi" w:hAnsiTheme="majorBidi" w:cstheme="majorBidi"/>
        </w:rPr>
        <w:t>. Financial reform is first and foremost a political process implying political costs and benefits.</w:t>
      </w:r>
    </w:p>
    <w:p w14:paraId="3B90A1BA">
      <w:pPr>
        <w:spacing w:line="276" w:lineRule="auto"/>
        <w:rPr>
          <w:rFonts w:asciiTheme="majorBidi" w:hAnsiTheme="majorBidi" w:cstheme="majorBidi"/>
        </w:rPr>
      </w:pPr>
      <w:r>
        <w:rPr>
          <w:rFonts w:asciiTheme="majorBidi" w:hAnsiTheme="majorBidi" w:cstheme="majorBidi"/>
          <w:b/>
          <w:bCs/>
        </w:rPr>
        <w:t>Technical capacity</w:t>
      </w:r>
      <w:r>
        <w:rPr>
          <w:rFonts w:asciiTheme="majorBidi" w:hAnsiTheme="majorBidi" w:cstheme="majorBidi"/>
        </w:rPr>
        <w:t xml:space="preserve"> is particular technical capabilities such as knowledge and skills (techniques) required for an individual and organization to elaborate on their tasks. It also refers to the tacit knowledge (knowledge and know-how that are difficult to explicitly express in words) accumulated within the organization.</w:t>
      </w:r>
    </w:p>
    <w:p w14:paraId="369927CD">
      <w:pPr>
        <w:spacing w:line="276" w:lineRule="auto"/>
        <w:rPr>
          <w:rFonts w:asciiTheme="majorBidi" w:hAnsiTheme="majorBidi" w:cstheme="majorBidi"/>
        </w:rPr>
      </w:pPr>
      <w:r>
        <w:rPr>
          <w:rFonts w:asciiTheme="majorBidi" w:hAnsiTheme="majorBidi" w:cstheme="majorBidi"/>
          <w:b/>
          <w:bCs/>
        </w:rPr>
        <w:t>Aid donors provide</w:t>
      </w:r>
      <w:r>
        <w:rPr>
          <w:rFonts w:asciiTheme="majorBidi" w:hAnsiTheme="majorBidi" w:cstheme="majorBidi"/>
        </w:rPr>
        <w:t xml:space="preserve"> much of the funding for reform initiatives, particularly in Africa. This power of the purse, plus some quite definite ideas regarding what sort of reforms are desirable, has led donor agencies to take Centre stage in the design of reform initiatives.</w:t>
      </w:r>
      <w:r>
        <w:rPr>
          <w:rFonts w:asciiTheme="majorBidi" w:hAnsiTheme="majorBidi" w:cstheme="majorBidi"/>
          <w:lang w:val="en-US"/>
        </w:rPr>
        <w:t xml:space="preserve"> </w:t>
      </w:r>
      <w:r>
        <w:rPr>
          <w:rFonts w:asciiTheme="majorBidi" w:hAnsiTheme="majorBidi" w:cstheme="majorBidi"/>
        </w:rPr>
        <w:t xml:space="preserve">While these lessons may seem obvious in retrospect, evidence suggests that many past donor interventions to support PFM reform have ignored them – attempting to drive reform from the outside, and imposing ‘blueprint solutions’ inappropriate to the context. </w:t>
      </w:r>
    </w:p>
    <w:p w14:paraId="44398B45">
      <w:pPr>
        <w:pStyle w:val="3"/>
        <w:spacing w:line="276" w:lineRule="auto"/>
        <w:ind w:firstLine="0"/>
        <w:rPr>
          <w:rFonts w:asciiTheme="majorBidi" w:hAnsiTheme="majorBidi"/>
          <w:sz w:val="24"/>
          <w:szCs w:val="24"/>
        </w:rPr>
      </w:pPr>
      <w:bookmarkStart w:id="26" w:name="_Toc136959604"/>
      <w:r>
        <w:rPr>
          <w:rFonts w:asciiTheme="majorBidi" w:hAnsiTheme="majorBidi"/>
          <w:sz w:val="24"/>
          <w:szCs w:val="24"/>
        </w:rPr>
        <w:t>Demographic Information</w:t>
      </w:r>
      <w:bookmarkEnd w:id="26"/>
    </w:p>
    <w:p w14:paraId="6EA0B539">
      <w:pPr>
        <w:spacing w:line="276" w:lineRule="auto"/>
        <w:rPr>
          <w:rFonts w:asciiTheme="majorBidi" w:hAnsiTheme="majorBidi" w:cstheme="majorBidi"/>
          <w:lang w:eastAsia="zh-CN"/>
        </w:rPr>
      </w:pPr>
      <w:r>
        <w:rPr>
          <w:rFonts w:asciiTheme="majorBidi" w:hAnsiTheme="majorBidi" w:cstheme="majorBidi"/>
          <w:lang w:eastAsia="zh-CN"/>
        </w:rPr>
        <w:t>This section deals with the description of the background information of the respondents.</w:t>
      </w:r>
      <w:r>
        <w:rPr>
          <w:rFonts w:asciiTheme="majorBidi" w:hAnsiTheme="majorBidi" w:cstheme="majorBidi"/>
          <w:lang w:val="en-US" w:eastAsia="zh-CN"/>
        </w:rPr>
        <w:t xml:space="preserve"> </w:t>
      </w:r>
      <w:r>
        <w:rPr>
          <w:rFonts w:asciiTheme="majorBidi" w:hAnsiTheme="majorBidi" w:cstheme="majorBidi"/>
          <w:lang w:eastAsia="zh-CN"/>
        </w:rPr>
        <w:t>The demographic information specifies gender, age, education, marital status and experience level of respondents. The background information of the respondents is presented in the below figure.</w:t>
      </w:r>
    </w:p>
    <w:p w14:paraId="2F7C5058">
      <w:pPr>
        <w:pStyle w:val="4"/>
        <w:spacing w:line="276" w:lineRule="auto"/>
        <w:ind w:firstLine="0"/>
        <w:rPr>
          <w:rFonts w:asciiTheme="majorBidi" w:hAnsiTheme="majorBidi"/>
          <w:sz w:val="24"/>
          <w:szCs w:val="24"/>
        </w:rPr>
      </w:pPr>
      <w:bookmarkStart w:id="27" w:name="_Toc136959605"/>
      <w:r>
        <w:rPr>
          <w:rFonts w:asciiTheme="majorBidi" w:hAnsiTheme="majorBidi"/>
          <w:sz w:val="24"/>
          <w:szCs w:val="24"/>
        </w:rPr>
        <w:t xml:space="preserve"> Gender respondents Figure</w:t>
      </w:r>
      <w:bookmarkEnd w:id="27"/>
    </w:p>
    <w:tbl>
      <w:tblPr>
        <w:tblStyle w:val="106"/>
        <w:tblW w:w="9447" w:type="dxa"/>
        <w:tblInd w:w="0" w:type="dxa"/>
        <w:tblBorders>
          <w:top w:val="single" w:color="666666" w:themeColor="text1" w:themeTint="99" w:sz="4" w:space="0"/>
          <w:left w:val="single" w:color="666666" w:themeColor="text1" w:themeTint="99" w:sz="4" w:space="0"/>
          <w:bottom w:val="single" w:color="666666" w:themeColor="text1" w:themeTint="99" w:sz="4" w:space="0"/>
          <w:right w:val="single" w:color="666666" w:themeColor="text1" w:themeTint="99" w:sz="4" w:space="0"/>
          <w:insideH w:val="single" w:color="666666" w:themeColor="text1" w:themeTint="99" w:sz="4" w:space="0"/>
          <w:insideV w:val="single" w:color="666666" w:themeColor="text1" w:themeTint="99" w:sz="4" w:space="0"/>
        </w:tblBorders>
        <w:tblLayout w:type="autofit"/>
        <w:tblCellMar>
          <w:top w:w="0" w:type="dxa"/>
          <w:left w:w="108" w:type="dxa"/>
          <w:bottom w:w="0" w:type="dxa"/>
          <w:right w:w="108" w:type="dxa"/>
        </w:tblCellMar>
      </w:tblPr>
      <w:tblGrid>
        <w:gridCol w:w="3149"/>
        <w:gridCol w:w="3149"/>
        <w:gridCol w:w="3149"/>
      </w:tblGrid>
      <w:tr w14:paraId="755AD83C">
        <w:tblPrEx>
          <w:tblBorders>
            <w:top w:val="single" w:color="666666" w:themeColor="text1" w:themeTint="99" w:sz="4" w:space="0"/>
            <w:left w:val="single" w:color="666666" w:themeColor="text1" w:themeTint="99" w:sz="4" w:space="0"/>
            <w:bottom w:val="single" w:color="666666" w:themeColor="text1" w:themeTint="99" w:sz="4" w:space="0"/>
            <w:right w:val="single" w:color="666666" w:themeColor="text1" w:themeTint="99" w:sz="4" w:space="0"/>
            <w:insideH w:val="single" w:color="666666" w:themeColor="text1" w:themeTint="99" w:sz="4" w:space="0"/>
            <w:insideV w:val="single" w:color="666666" w:themeColor="text1" w:themeTint="99" w:sz="4" w:space="0"/>
          </w:tblBorders>
          <w:tblCellMar>
            <w:top w:w="0" w:type="dxa"/>
            <w:left w:w="108" w:type="dxa"/>
            <w:bottom w:w="0" w:type="dxa"/>
            <w:right w:w="108" w:type="dxa"/>
          </w:tblCellMar>
        </w:tblPrEx>
        <w:trPr>
          <w:trHeight w:val="372" w:hRule="atLeast"/>
        </w:trPr>
        <w:tc>
          <w:tcPr>
            <w:tcW w:w="3149" w:type="dxa"/>
            <w:tcBorders>
              <w:bottom w:val="single" w:color="666666" w:themeColor="text1" w:themeTint="99" w:sz="12" w:space="0"/>
              <w:insideH w:val="single" w:sz="12" w:space="0"/>
            </w:tcBorders>
            <w:shd w:val="clear" w:color="auto" w:fill="ED7D31" w:themeFill="accent2"/>
          </w:tcPr>
          <w:p w14:paraId="4F230966">
            <w:pPr>
              <w:autoSpaceDE w:val="0"/>
              <w:autoSpaceDN w:val="0"/>
              <w:adjustRightInd w:val="0"/>
              <w:spacing w:line="276" w:lineRule="auto"/>
              <w:ind w:left="60" w:right="60"/>
              <w:jc w:val="left"/>
              <w:rPr>
                <w:rFonts w:asciiTheme="majorBidi" w:hAnsiTheme="majorBidi" w:cstheme="majorBidi"/>
                <w:b w:val="0"/>
                <w:bCs w:val="0"/>
                <w:color w:val="000000"/>
                <w:sz w:val="24"/>
                <w:szCs w:val="24"/>
              </w:rPr>
            </w:pPr>
            <w:r>
              <w:rPr>
                <w:rFonts w:asciiTheme="majorBidi" w:hAnsiTheme="majorBidi" w:cstheme="majorBidi"/>
                <w:b/>
                <w:bCs/>
                <w:color w:val="000000"/>
                <w:sz w:val="24"/>
                <w:szCs w:val="24"/>
              </w:rPr>
              <w:t>Gender</w:t>
            </w:r>
          </w:p>
        </w:tc>
        <w:tc>
          <w:tcPr>
            <w:tcW w:w="3149" w:type="dxa"/>
            <w:tcBorders>
              <w:bottom w:val="single" w:color="666666" w:themeColor="text1" w:themeTint="99" w:sz="12" w:space="0"/>
              <w:insideH w:val="single" w:sz="12" w:space="0"/>
            </w:tcBorders>
            <w:shd w:val="clear" w:color="auto" w:fill="ED7D31" w:themeFill="accent2"/>
          </w:tcPr>
          <w:p w14:paraId="0E2C6832">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Frequency</w:t>
            </w:r>
          </w:p>
        </w:tc>
        <w:tc>
          <w:tcPr>
            <w:tcW w:w="3149" w:type="dxa"/>
            <w:tcBorders>
              <w:bottom w:val="single" w:color="666666" w:themeColor="text1" w:themeTint="99" w:sz="12" w:space="0"/>
              <w:insideH w:val="single" w:sz="12" w:space="0"/>
            </w:tcBorders>
            <w:shd w:val="clear" w:color="auto" w:fill="ED7D31" w:themeFill="accent2"/>
          </w:tcPr>
          <w:p w14:paraId="58A60D58">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Percent</w:t>
            </w:r>
          </w:p>
        </w:tc>
      </w:tr>
      <w:tr w14:paraId="04DF3E3B">
        <w:tblPrEx>
          <w:tblBorders>
            <w:top w:val="single" w:color="666666" w:themeColor="text1" w:themeTint="99" w:sz="4" w:space="0"/>
            <w:left w:val="single" w:color="666666" w:themeColor="text1" w:themeTint="99" w:sz="4" w:space="0"/>
            <w:bottom w:val="single" w:color="666666" w:themeColor="text1" w:themeTint="99" w:sz="4" w:space="0"/>
            <w:right w:val="single" w:color="666666" w:themeColor="text1" w:themeTint="99" w:sz="4" w:space="0"/>
            <w:insideH w:val="single" w:color="666666" w:themeColor="text1" w:themeTint="99" w:sz="4" w:space="0"/>
            <w:insideV w:val="single" w:color="666666" w:themeColor="text1" w:themeTint="99" w:sz="4" w:space="0"/>
          </w:tblBorders>
          <w:tblCellMar>
            <w:top w:w="0" w:type="dxa"/>
            <w:left w:w="108" w:type="dxa"/>
            <w:bottom w:w="0" w:type="dxa"/>
            <w:right w:w="108" w:type="dxa"/>
          </w:tblCellMar>
        </w:tblPrEx>
        <w:trPr>
          <w:trHeight w:val="386" w:hRule="atLeast"/>
        </w:trPr>
        <w:tc>
          <w:tcPr>
            <w:tcW w:w="3149" w:type="dxa"/>
            <w:shd w:val="clear" w:color="auto" w:fill="CCCCCC" w:themeFill="text1" w:themeFillTint="33"/>
          </w:tcPr>
          <w:p w14:paraId="39266BE2">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Male</w:t>
            </w:r>
          </w:p>
        </w:tc>
        <w:tc>
          <w:tcPr>
            <w:tcW w:w="3149" w:type="dxa"/>
            <w:shd w:val="clear" w:color="auto" w:fill="CCCCCC" w:themeFill="text1" w:themeFillTint="33"/>
          </w:tcPr>
          <w:p w14:paraId="1205A122">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50</w:t>
            </w:r>
          </w:p>
        </w:tc>
        <w:tc>
          <w:tcPr>
            <w:tcW w:w="3149" w:type="dxa"/>
            <w:shd w:val="clear" w:color="auto" w:fill="CCCCCC" w:themeFill="text1" w:themeFillTint="33"/>
          </w:tcPr>
          <w:p w14:paraId="7D035BA2">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54.3%</w:t>
            </w:r>
          </w:p>
        </w:tc>
      </w:tr>
      <w:tr w14:paraId="5689FAFD">
        <w:tblPrEx>
          <w:tblBorders>
            <w:top w:val="single" w:color="666666" w:themeColor="text1" w:themeTint="99" w:sz="4" w:space="0"/>
            <w:left w:val="single" w:color="666666" w:themeColor="text1" w:themeTint="99" w:sz="4" w:space="0"/>
            <w:bottom w:val="single" w:color="666666" w:themeColor="text1" w:themeTint="99" w:sz="4" w:space="0"/>
            <w:right w:val="single" w:color="666666" w:themeColor="text1" w:themeTint="99" w:sz="4" w:space="0"/>
            <w:insideH w:val="single" w:color="666666" w:themeColor="text1" w:themeTint="99" w:sz="4" w:space="0"/>
            <w:insideV w:val="single" w:color="666666" w:themeColor="text1" w:themeTint="99" w:sz="4" w:space="0"/>
          </w:tblBorders>
          <w:tblCellMar>
            <w:top w:w="0" w:type="dxa"/>
            <w:left w:w="108" w:type="dxa"/>
            <w:bottom w:w="0" w:type="dxa"/>
            <w:right w:w="108" w:type="dxa"/>
          </w:tblCellMar>
        </w:tblPrEx>
        <w:trPr>
          <w:trHeight w:val="372" w:hRule="atLeast"/>
        </w:trPr>
        <w:tc>
          <w:tcPr>
            <w:tcW w:w="3149" w:type="dxa"/>
          </w:tcPr>
          <w:p w14:paraId="036311F6">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female</w:t>
            </w:r>
          </w:p>
        </w:tc>
        <w:tc>
          <w:tcPr>
            <w:tcW w:w="3149" w:type="dxa"/>
          </w:tcPr>
          <w:p w14:paraId="0AB4CA82">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42</w:t>
            </w:r>
          </w:p>
        </w:tc>
        <w:tc>
          <w:tcPr>
            <w:tcW w:w="3149" w:type="dxa"/>
          </w:tcPr>
          <w:p w14:paraId="54C9A349">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45.7%</w:t>
            </w:r>
          </w:p>
        </w:tc>
      </w:tr>
      <w:tr w14:paraId="13A3EC72">
        <w:tblPrEx>
          <w:tblBorders>
            <w:top w:val="single" w:color="666666" w:themeColor="text1" w:themeTint="99" w:sz="4" w:space="0"/>
            <w:left w:val="single" w:color="666666" w:themeColor="text1" w:themeTint="99" w:sz="4" w:space="0"/>
            <w:bottom w:val="single" w:color="666666" w:themeColor="text1" w:themeTint="99" w:sz="4" w:space="0"/>
            <w:right w:val="single" w:color="666666" w:themeColor="text1" w:themeTint="99" w:sz="4" w:space="0"/>
            <w:insideH w:val="single" w:color="666666" w:themeColor="text1" w:themeTint="99" w:sz="4" w:space="0"/>
            <w:insideV w:val="single" w:color="666666" w:themeColor="text1" w:themeTint="99" w:sz="4" w:space="0"/>
          </w:tblBorders>
          <w:tblCellMar>
            <w:top w:w="0" w:type="dxa"/>
            <w:left w:w="108" w:type="dxa"/>
            <w:bottom w:w="0" w:type="dxa"/>
            <w:right w:w="108" w:type="dxa"/>
          </w:tblCellMar>
        </w:tblPrEx>
        <w:trPr>
          <w:trHeight w:val="372" w:hRule="atLeast"/>
        </w:trPr>
        <w:tc>
          <w:tcPr>
            <w:tcW w:w="3149" w:type="dxa"/>
            <w:shd w:val="clear" w:color="auto" w:fill="FFFF00"/>
          </w:tcPr>
          <w:p w14:paraId="066EA317">
            <w:pPr>
              <w:autoSpaceDE w:val="0"/>
              <w:autoSpaceDN w:val="0"/>
              <w:adjustRightInd w:val="0"/>
              <w:spacing w:line="276" w:lineRule="auto"/>
              <w:ind w:left="60" w:right="60"/>
              <w:rPr>
                <w:rFonts w:asciiTheme="majorBidi" w:hAnsiTheme="majorBidi" w:cstheme="majorBidi"/>
                <w:b w:val="0"/>
                <w:bCs w:val="0"/>
                <w:color w:val="000000"/>
                <w:sz w:val="24"/>
                <w:szCs w:val="24"/>
              </w:rPr>
            </w:pPr>
            <w:r>
              <w:rPr>
                <w:rFonts w:asciiTheme="majorBidi" w:hAnsiTheme="majorBidi" w:cstheme="majorBidi"/>
                <w:b/>
                <w:bCs/>
                <w:color w:val="000000"/>
                <w:sz w:val="24"/>
                <w:szCs w:val="24"/>
              </w:rPr>
              <w:t>Total</w:t>
            </w:r>
          </w:p>
        </w:tc>
        <w:tc>
          <w:tcPr>
            <w:tcW w:w="3149" w:type="dxa"/>
            <w:shd w:val="clear" w:color="auto" w:fill="FFFF00"/>
          </w:tcPr>
          <w:p w14:paraId="5D736166">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92</w:t>
            </w:r>
          </w:p>
        </w:tc>
        <w:tc>
          <w:tcPr>
            <w:tcW w:w="3149" w:type="dxa"/>
            <w:shd w:val="clear" w:color="auto" w:fill="FFFF00"/>
          </w:tcPr>
          <w:p w14:paraId="2E6C812A">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100.</w:t>
            </w:r>
          </w:p>
        </w:tc>
      </w:tr>
    </w:tbl>
    <w:p w14:paraId="12B29022">
      <w:pPr>
        <w:spacing w:line="276" w:lineRule="auto"/>
        <w:ind w:firstLine="0"/>
        <w:jc w:val="center"/>
        <w:rPr>
          <w:rFonts w:asciiTheme="majorBidi" w:hAnsiTheme="majorBidi" w:cstheme="majorBidi"/>
          <w:b/>
          <w:bCs/>
          <w:i/>
          <w:iCs/>
          <w:lang w:val="en-US"/>
        </w:rPr>
      </w:pPr>
      <w:r>
        <w:rPr>
          <w:rFonts w:asciiTheme="majorBidi" w:hAnsiTheme="majorBidi" w:cstheme="majorBidi"/>
          <w:b/>
          <w:bCs/>
          <w:i/>
          <w:iCs/>
          <w:color w:val="000000"/>
        </w:rPr>
        <w:t>Source: Own survey 202</w:t>
      </w:r>
      <w:r>
        <w:rPr>
          <w:rFonts w:asciiTheme="majorBidi" w:hAnsiTheme="majorBidi" w:cstheme="majorBidi"/>
          <w:b/>
          <w:bCs/>
          <w:i/>
          <w:iCs/>
          <w:color w:val="000000"/>
          <w:lang w:val="en-US"/>
        </w:rPr>
        <w:t>3</w:t>
      </w:r>
      <w:r>
        <w:rPr>
          <w:rFonts w:asciiTheme="majorBidi" w:hAnsiTheme="majorBidi" w:cstheme="majorBidi"/>
          <w:b/>
          <w:bCs/>
          <w:i/>
          <w:iCs/>
          <w:color w:val="000000"/>
        </w:rPr>
        <w:t>(SPSS).</w:t>
      </w:r>
    </w:p>
    <w:p w14:paraId="67501D19">
      <w:pPr>
        <w:spacing w:line="276" w:lineRule="auto"/>
        <w:rPr>
          <w:rFonts w:asciiTheme="majorBidi" w:hAnsiTheme="majorBidi" w:cstheme="majorBidi"/>
        </w:rPr>
      </w:pPr>
      <w:r>
        <w:rPr>
          <w:rFonts w:asciiTheme="majorBidi" w:hAnsiTheme="majorBidi" w:cstheme="majorBidi"/>
          <w:lang w:val="en-US"/>
        </w:rPr>
        <w:t xml:space="preserve">Figure  </w:t>
      </w:r>
      <w:r>
        <w:rPr>
          <w:rFonts w:asciiTheme="majorBidi" w:hAnsiTheme="majorBidi" w:cstheme="majorBidi"/>
        </w:rPr>
        <w:t>above shows that 50 (54.3%) of the respondents are male and the rest 40(45.7%) of the respondents are female. From this one can understand that the majority of the employee of the Ministry of Finance in Puntland are male. It also implies that the participation of the female in the Ministry of Finance is low. The reason can be males are more than females, who hire institutions, however, there is a cultural issue in the country</w:t>
      </w:r>
      <w:r>
        <w:rPr>
          <w:rFonts w:asciiTheme="majorBidi" w:hAnsiTheme="majorBidi" w:cstheme="majorBidi"/>
        </w:rPr>
        <w:br w:type="textWrapping"/>
      </w:r>
      <w:r>
        <w:rPr>
          <w:rFonts w:asciiTheme="majorBidi" w:hAnsiTheme="majorBidi" w:cstheme="majorBidi"/>
        </w:rPr>
        <w:t xml:space="preserve">that allows a male to outnumber female in the schools. </w:t>
      </w:r>
    </w:p>
    <w:p w14:paraId="521EF278">
      <w:pPr>
        <w:pStyle w:val="4"/>
        <w:spacing w:line="276" w:lineRule="auto"/>
        <w:rPr>
          <w:rFonts w:asciiTheme="majorBidi" w:hAnsiTheme="majorBidi"/>
          <w:sz w:val="24"/>
          <w:szCs w:val="24"/>
        </w:rPr>
      </w:pPr>
      <w:bookmarkStart w:id="28" w:name="_Toc136959606"/>
      <w:bookmarkStart w:id="29" w:name="_Toc102819022"/>
      <w:r>
        <w:rPr>
          <w:rFonts w:asciiTheme="majorBidi" w:hAnsiTheme="majorBidi"/>
          <w:sz w:val="24"/>
          <w:szCs w:val="24"/>
        </w:rPr>
        <w:t>Age of respondents</w:t>
      </w:r>
      <w:bookmarkEnd w:id="28"/>
      <w:bookmarkEnd w:id="29"/>
    </w:p>
    <w:tbl>
      <w:tblPr>
        <w:tblStyle w:val="93"/>
        <w:tblW w:w="0" w:type="auto"/>
        <w:tblInd w:w="0" w:type="dxa"/>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Layout w:type="autofit"/>
        <w:tblCellMar>
          <w:top w:w="0" w:type="dxa"/>
          <w:left w:w="108" w:type="dxa"/>
          <w:bottom w:w="0" w:type="dxa"/>
          <w:right w:w="108" w:type="dxa"/>
        </w:tblCellMar>
      </w:tblPr>
      <w:tblGrid>
        <w:gridCol w:w="3116"/>
        <w:gridCol w:w="3117"/>
        <w:gridCol w:w="3117"/>
      </w:tblGrid>
      <w:tr w14:paraId="6AC6C292">
        <w:tblPrEx>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CellMar>
            <w:top w:w="0" w:type="dxa"/>
            <w:left w:w="108" w:type="dxa"/>
            <w:bottom w:w="0" w:type="dxa"/>
            <w:right w:w="108" w:type="dxa"/>
          </w:tblCellMar>
        </w:tblPrEx>
        <w:tc>
          <w:tcPr>
            <w:tcW w:w="3116" w:type="dxa"/>
            <w:tcBorders>
              <w:top w:val="single" w:color="FFFFFF" w:themeColor="background1" w:sz="4" w:space="0"/>
              <w:left w:val="single" w:color="FFFFFF" w:themeColor="background1" w:sz="4" w:space="0"/>
              <w:right w:val="nil"/>
              <w:insideV w:val="nil"/>
            </w:tcBorders>
            <w:shd w:val="clear" w:color="auto" w:fill="00B0F0"/>
          </w:tcPr>
          <w:p w14:paraId="0848BA31">
            <w:pPr>
              <w:autoSpaceDE w:val="0"/>
              <w:autoSpaceDN w:val="0"/>
              <w:adjustRightInd w:val="0"/>
              <w:spacing w:line="276" w:lineRule="auto"/>
              <w:ind w:left="60" w:right="60" w:firstLine="0"/>
              <w:jc w:val="left"/>
              <w:rPr>
                <w:rFonts w:asciiTheme="majorBidi" w:hAnsiTheme="majorBidi" w:cstheme="majorBidi"/>
                <w:b/>
                <w:bCs/>
                <w:color w:val="000000"/>
                <w:sz w:val="24"/>
                <w:szCs w:val="24"/>
              </w:rPr>
            </w:pPr>
            <w:r>
              <w:rPr>
                <w:rFonts w:asciiTheme="majorBidi" w:hAnsiTheme="majorBidi" w:cstheme="majorBidi"/>
                <w:b/>
                <w:bCs/>
                <w:color w:val="000000"/>
                <w:sz w:val="24"/>
                <w:szCs w:val="24"/>
              </w:rPr>
              <w:t>Age of respondents</w:t>
            </w:r>
          </w:p>
        </w:tc>
        <w:tc>
          <w:tcPr>
            <w:tcW w:w="3117" w:type="dxa"/>
            <w:tcBorders>
              <w:top w:val="single" w:color="FFFFFF" w:themeColor="background1" w:sz="4" w:space="0"/>
              <w:right w:val="nil"/>
              <w:insideV w:val="nil"/>
            </w:tcBorders>
            <w:shd w:val="clear" w:color="auto" w:fill="00B0F0"/>
          </w:tcPr>
          <w:p w14:paraId="691BA00C">
            <w:pPr>
              <w:autoSpaceDE w:val="0"/>
              <w:autoSpaceDN w:val="0"/>
              <w:adjustRightInd w:val="0"/>
              <w:spacing w:line="276" w:lineRule="auto"/>
              <w:ind w:left="60" w:right="60"/>
              <w:jc w:val="left"/>
              <w:rPr>
                <w:rFonts w:asciiTheme="majorBidi" w:hAnsiTheme="majorBidi" w:cstheme="majorBidi"/>
                <w:b/>
                <w:bCs/>
                <w:color w:val="000000"/>
                <w:sz w:val="24"/>
                <w:szCs w:val="24"/>
              </w:rPr>
            </w:pPr>
            <w:r>
              <w:rPr>
                <w:rFonts w:asciiTheme="majorBidi" w:hAnsiTheme="majorBidi" w:cstheme="majorBidi"/>
                <w:b/>
                <w:bCs/>
                <w:color w:val="000000"/>
                <w:sz w:val="24"/>
                <w:szCs w:val="24"/>
              </w:rPr>
              <w:t>Frequency</w:t>
            </w:r>
          </w:p>
        </w:tc>
        <w:tc>
          <w:tcPr>
            <w:tcW w:w="3117" w:type="dxa"/>
            <w:tcBorders>
              <w:top w:val="single" w:color="FFFFFF" w:themeColor="background1" w:sz="4" w:space="0"/>
              <w:right w:val="single" w:color="FFFFFF" w:themeColor="background1" w:sz="4" w:space="0"/>
              <w:insideV w:val="nil"/>
            </w:tcBorders>
            <w:shd w:val="clear" w:color="auto" w:fill="00B0F0"/>
          </w:tcPr>
          <w:p w14:paraId="63D7D9AE">
            <w:pPr>
              <w:autoSpaceDE w:val="0"/>
              <w:autoSpaceDN w:val="0"/>
              <w:adjustRightInd w:val="0"/>
              <w:spacing w:line="276" w:lineRule="auto"/>
              <w:ind w:left="60" w:right="60"/>
              <w:jc w:val="left"/>
              <w:rPr>
                <w:rFonts w:asciiTheme="majorBidi" w:hAnsiTheme="majorBidi" w:cstheme="majorBidi"/>
                <w:b/>
                <w:bCs/>
                <w:color w:val="000000"/>
                <w:sz w:val="24"/>
                <w:szCs w:val="24"/>
              </w:rPr>
            </w:pPr>
            <w:r>
              <w:rPr>
                <w:rFonts w:asciiTheme="majorBidi" w:hAnsiTheme="majorBidi" w:cstheme="majorBidi"/>
                <w:b/>
                <w:bCs/>
                <w:color w:val="000000"/>
                <w:sz w:val="24"/>
                <w:szCs w:val="24"/>
              </w:rPr>
              <w:t>Percent</w:t>
            </w:r>
          </w:p>
        </w:tc>
      </w:tr>
      <w:tr w14:paraId="617843C8">
        <w:tblPrEx>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CellMar>
            <w:top w:w="0" w:type="dxa"/>
            <w:left w:w="108" w:type="dxa"/>
            <w:bottom w:w="0" w:type="dxa"/>
            <w:right w:w="108" w:type="dxa"/>
          </w:tblCellMar>
        </w:tblPrEx>
        <w:tc>
          <w:tcPr>
            <w:tcW w:w="3116" w:type="dxa"/>
            <w:tcBorders>
              <w:left w:val="single" w:color="FFFFFF" w:themeColor="background1" w:sz="4" w:space="0"/>
            </w:tcBorders>
            <w:shd w:val="clear" w:color="auto" w:fill="92D050"/>
          </w:tcPr>
          <w:p w14:paraId="66235D7D">
            <w:pPr>
              <w:autoSpaceDE w:val="0"/>
              <w:autoSpaceDN w:val="0"/>
              <w:adjustRightInd w:val="0"/>
              <w:spacing w:line="276" w:lineRule="auto"/>
              <w:ind w:right="60" w:firstLine="0"/>
              <w:jc w:val="left"/>
              <w:rPr>
                <w:rFonts w:asciiTheme="majorBidi" w:hAnsiTheme="majorBidi" w:cstheme="majorBidi"/>
                <w:b/>
                <w:bCs/>
                <w:color w:val="000000"/>
                <w:sz w:val="24"/>
                <w:szCs w:val="24"/>
              </w:rPr>
            </w:pPr>
            <w:r>
              <w:rPr>
                <w:rFonts w:asciiTheme="majorBidi" w:hAnsiTheme="majorBidi" w:cstheme="majorBidi"/>
                <w:b/>
                <w:bCs/>
                <w:color w:val="000000"/>
                <w:sz w:val="24"/>
                <w:szCs w:val="24"/>
              </w:rPr>
              <w:t>20-25 years</w:t>
            </w:r>
          </w:p>
        </w:tc>
        <w:tc>
          <w:tcPr>
            <w:tcW w:w="3117" w:type="dxa"/>
            <w:shd w:val="clear" w:color="auto" w:fill="00B050"/>
          </w:tcPr>
          <w:p w14:paraId="75C66763">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20</w:t>
            </w:r>
          </w:p>
        </w:tc>
        <w:tc>
          <w:tcPr>
            <w:tcW w:w="3117" w:type="dxa"/>
            <w:shd w:val="clear" w:color="auto" w:fill="C8C8C8" w:themeFill="accent3" w:themeFillTint="99"/>
          </w:tcPr>
          <w:p w14:paraId="57793F25">
            <w:pPr>
              <w:autoSpaceDE w:val="0"/>
              <w:autoSpaceDN w:val="0"/>
              <w:adjustRightInd w:val="0"/>
              <w:spacing w:line="276" w:lineRule="auto"/>
              <w:ind w:left="60" w:right="60"/>
              <w:rPr>
                <w:rFonts w:asciiTheme="majorBidi" w:hAnsiTheme="majorBidi" w:cstheme="majorBidi"/>
                <w:color w:val="000000"/>
                <w:sz w:val="24"/>
                <w:szCs w:val="24"/>
                <w:lang w:val="en-US"/>
              </w:rPr>
            </w:pPr>
            <w:r>
              <w:rPr>
                <w:rFonts w:asciiTheme="majorBidi" w:hAnsiTheme="majorBidi" w:cstheme="majorBidi"/>
                <w:color w:val="000000"/>
                <w:sz w:val="24"/>
                <w:szCs w:val="24"/>
              </w:rPr>
              <w:t>21.7</w:t>
            </w:r>
          </w:p>
        </w:tc>
      </w:tr>
      <w:tr w14:paraId="77E9CF56">
        <w:tblPrEx>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CellMar>
            <w:top w:w="0" w:type="dxa"/>
            <w:left w:w="108" w:type="dxa"/>
            <w:bottom w:w="0" w:type="dxa"/>
            <w:right w:w="108" w:type="dxa"/>
          </w:tblCellMar>
        </w:tblPrEx>
        <w:tc>
          <w:tcPr>
            <w:tcW w:w="3116" w:type="dxa"/>
            <w:tcBorders>
              <w:left w:val="single" w:color="FFFFFF" w:themeColor="background1" w:sz="4" w:space="0"/>
            </w:tcBorders>
            <w:shd w:val="clear" w:color="auto" w:fill="92D050"/>
          </w:tcPr>
          <w:p w14:paraId="5DCD4B96">
            <w:pPr>
              <w:autoSpaceDE w:val="0"/>
              <w:autoSpaceDN w:val="0"/>
              <w:adjustRightInd w:val="0"/>
              <w:spacing w:line="276" w:lineRule="auto"/>
              <w:ind w:right="60" w:firstLine="0"/>
              <w:jc w:val="left"/>
              <w:rPr>
                <w:rFonts w:asciiTheme="majorBidi" w:hAnsiTheme="majorBidi" w:cstheme="majorBidi"/>
                <w:b/>
                <w:bCs/>
                <w:color w:val="000000"/>
                <w:sz w:val="24"/>
                <w:szCs w:val="24"/>
              </w:rPr>
            </w:pPr>
            <w:r>
              <w:rPr>
                <w:rFonts w:asciiTheme="majorBidi" w:hAnsiTheme="majorBidi" w:cstheme="majorBidi"/>
                <w:b/>
                <w:bCs/>
                <w:color w:val="000000"/>
                <w:sz w:val="24"/>
                <w:szCs w:val="24"/>
              </w:rPr>
              <w:t>25-30 years</w:t>
            </w:r>
          </w:p>
        </w:tc>
        <w:tc>
          <w:tcPr>
            <w:tcW w:w="3117" w:type="dxa"/>
            <w:shd w:val="clear" w:color="auto" w:fill="00B050"/>
          </w:tcPr>
          <w:p w14:paraId="27D9A3F8">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27</w:t>
            </w:r>
          </w:p>
        </w:tc>
        <w:tc>
          <w:tcPr>
            <w:tcW w:w="3117" w:type="dxa"/>
            <w:shd w:val="clear" w:color="auto" w:fill="C8C8C8" w:themeFill="accent3" w:themeFillTint="99"/>
          </w:tcPr>
          <w:p w14:paraId="637418D7">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29.3</w:t>
            </w:r>
          </w:p>
        </w:tc>
      </w:tr>
      <w:tr w14:paraId="377BF1C5">
        <w:tblPrEx>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CellMar>
            <w:top w:w="0" w:type="dxa"/>
            <w:left w:w="108" w:type="dxa"/>
            <w:bottom w:w="0" w:type="dxa"/>
            <w:right w:w="108" w:type="dxa"/>
          </w:tblCellMar>
        </w:tblPrEx>
        <w:tc>
          <w:tcPr>
            <w:tcW w:w="3116" w:type="dxa"/>
            <w:tcBorders>
              <w:left w:val="single" w:color="FFFFFF" w:themeColor="background1" w:sz="4" w:space="0"/>
            </w:tcBorders>
            <w:shd w:val="clear" w:color="auto" w:fill="92D050"/>
          </w:tcPr>
          <w:p w14:paraId="5FC41146">
            <w:pPr>
              <w:autoSpaceDE w:val="0"/>
              <w:autoSpaceDN w:val="0"/>
              <w:adjustRightInd w:val="0"/>
              <w:spacing w:line="276" w:lineRule="auto"/>
              <w:ind w:right="60" w:firstLine="0"/>
              <w:jc w:val="left"/>
              <w:rPr>
                <w:rFonts w:asciiTheme="majorBidi" w:hAnsiTheme="majorBidi" w:cstheme="majorBidi"/>
                <w:b/>
                <w:bCs/>
                <w:color w:val="000000"/>
                <w:sz w:val="24"/>
                <w:szCs w:val="24"/>
              </w:rPr>
            </w:pPr>
            <w:r>
              <w:rPr>
                <w:rFonts w:asciiTheme="majorBidi" w:hAnsiTheme="majorBidi" w:cstheme="majorBidi"/>
                <w:b/>
                <w:bCs/>
                <w:color w:val="000000"/>
                <w:sz w:val="24"/>
                <w:szCs w:val="24"/>
              </w:rPr>
              <w:t>30-35 years</w:t>
            </w:r>
          </w:p>
        </w:tc>
        <w:tc>
          <w:tcPr>
            <w:tcW w:w="3117" w:type="dxa"/>
            <w:shd w:val="clear" w:color="auto" w:fill="00B050"/>
          </w:tcPr>
          <w:p w14:paraId="7FD78E28">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16</w:t>
            </w:r>
          </w:p>
        </w:tc>
        <w:tc>
          <w:tcPr>
            <w:tcW w:w="3117" w:type="dxa"/>
            <w:shd w:val="clear" w:color="auto" w:fill="C8C8C8" w:themeFill="accent3" w:themeFillTint="99"/>
          </w:tcPr>
          <w:p w14:paraId="0B758BAC">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17.4</w:t>
            </w:r>
          </w:p>
        </w:tc>
      </w:tr>
      <w:tr w14:paraId="7B24C61B">
        <w:tblPrEx>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CellMar>
            <w:top w:w="0" w:type="dxa"/>
            <w:left w:w="108" w:type="dxa"/>
            <w:bottom w:w="0" w:type="dxa"/>
            <w:right w:w="108" w:type="dxa"/>
          </w:tblCellMar>
        </w:tblPrEx>
        <w:tc>
          <w:tcPr>
            <w:tcW w:w="3116" w:type="dxa"/>
            <w:tcBorders>
              <w:left w:val="single" w:color="FFFFFF" w:themeColor="background1" w:sz="4" w:space="0"/>
            </w:tcBorders>
            <w:shd w:val="clear" w:color="auto" w:fill="92D050"/>
          </w:tcPr>
          <w:p w14:paraId="28F6D375">
            <w:pPr>
              <w:autoSpaceDE w:val="0"/>
              <w:autoSpaceDN w:val="0"/>
              <w:adjustRightInd w:val="0"/>
              <w:spacing w:line="276" w:lineRule="auto"/>
              <w:ind w:right="60" w:firstLine="0"/>
              <w:jc w:val="left"/>
              <w:rPr>
                <w:rFonts w:asciiTheme="majorBidi" w:hAnsiTheme="majorBidi" w:cstheme="majorBidi"/>
                <w:b/>
                <w:bCs/>
                <w:color w:val="000000"/>
                <w:sz w:val="24"/>
                <w:szCs w:val="24"/>
              </w:rPr>
            </w:pPr>
            <w:r>
              <w:rPr>
                <w:rFonts w:asciiTheme="majorBidi" w:hAnsiTheme="majorBidi" w:cstheme="majorBidi"/>
                <w:b/>
                <w:bCs/>
                <w:color w:val="000000"/>
                <w:sz w:val="24"/>
                <w:szCs w:val="24"/>
              </w:rPr>
              <w:t>36-40 years</w:t>
            </w:r>
          </w:p>
        </w:tc>
        <w:tc>
          <w:tcPr>
            <w:tcW w:w="3117" w:type="dxa"/>
            <w:shd w:val="clear" w:color="auto" w:fill="00B050"/>
          </w:tcPr>
          <w:p w14:paraId="201AEE85">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17</w:t>
            </w:r>
          </w:p>
        </w:tc>
        <w:tc>
          <w:tcPr>
            <w:tcW w:w="3117" w:type="dxa"/>
            <w:shd w:val="clear" w:color="auto" w:fill="C8C8C8" w:themeFill="accent3" w:themeFillTint="99"/>
          </w:tcPr>
          <w:p w14:paraId="443D34F0">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18.5</w:t>
            </w:r>
          </w:p>
        </w:tc>
      </w:tr>
      <w:tr w14:paraId="7E4E8E52">
        <w:tblPrEx>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CellMar>
            <w:top w:w="0" w:type="dxa"/>
            <w:left w:w="108" w:type="dxa"/>
            <w:bottom w:w="0" w:type="dxa"/>
            <w:right w:w="108" w:type="dxa"/>
          </w:tblCellMar>
        </w:tblPrEx>
        <w:tc>
          <w:tcPr>
            <w:tcW w:w="3116" w:type="dxa"/>
            <w:tcBorders>
              <w:left w:val="single" w:color="FFFFFF" w:themeColor="background1" w:sz="4" w:space="0"/>
            </w:tcBorders>
            <w:shd w:val="clear" w:color="auto" w:fill="92D050"/>
          </w:tcPr>
          <w:p w14:paraId="4CD101BA">
            <w:pPr>
              <w:autoSpaceDE w:val="0"/>
              <w:autoSpaceDN w:val="0"/>
              <w:adjustRightInd w:val="0"/>
              <w:spacing w:line="276" w:lineRule="auto"/>
              <w:ind w:right="60" w:firstLine="0"/>
              <w:jc w:val="left"/>
              <w:rPr>
                <w:rFonts w:asciiTheme="majorBidi" w:hAnsiTheme="majorBidi" w:cstheme="majorBidi"/>
                <w:b/>
                <w:bCs/>
                <w:color w:val="000000"/>
                <w:sz w:val="24"/>
                <w:szCs w:val="24"/>
              </w:rPr>
            </w:pPr>
            <w:r>
              <w:rPr>
                <w:rFonts w:asciiTheme="majorBidi" w:hAnsiTheme="majorBidi" w:cstheme="majorBidi"/>
                <w:b/>
                <w:bCs/>
                <w:color w:val="000000"/>
                <w:sz w:val="24"/>
                <w:szCs w:val="24"/>
              </w:rPr>
              <w:t>41-45 years</w:t>
            </w:r>
          </w:p>
        </w:tc>
        <w:tc>
          <w:tcPr>
            <w:tcW w:w="3117" w:type="dxa"/>
            <w:shd w:val="clear" w:color="auto" w:fill="00B050"/>
          </w:tcPr>
          <w:p w14:paraId="093C2998">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11</w:t>
            </w:r>
          </w:p>
        </w:tc>
        <w:tc>
          <w:tcPr>
            <w:tcW w:w="3117" w:type="dxa"/>
            <w:shd w:val="clear" w:color="auto" w:fill="C8C8C8" w:themeFill="accent3" w:themeFillTint="99"/>
          </w:tcPr>
          <w:p w14:paraId="64146AB5">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12</w:t>
            </w:r>
          </w:p>
        </w:tc>
      </w:tr>
      <w:tr w14:paraId="4A33B00A">
        <w:tblPrEx>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CellMar>
            <w:top w:w="0" w:type="dxa"/>
            <w:left w:w="108" w:type="dxa"/>
            <w:bottom w:w="0" w:type="dxa"/>
            <w:right w:w="108" w:type="dxa"/>
          </w:tblCellMar>
        </w:tblPrEx>
        <w:tc>
          <w:tcPr>
            <w:tcW w:w="3116" w:type="dxa"/>
            <w:tcBorders>
              <w:left w:val="single" w:color="FFFFFF" w:themeColor="background1" w:sz="4" w:space="0"/>
            </w:tcBorders>
            <w:shd w:val="clear" w:color="auto" w:fill="92D050"/>
          </w:tcPr>
          <w:p w14:paraId="26B6E790">
            <w:pPr>
              <w:autoSpaceDE w:val="0"/>
              <w:autoSpaceDN w:val="0"/>
              <w:adjustRightInd w:val="0"/>
              <w:spacing w:line="276" w:lineRule="auto"/>
              <w:ind w:right="60" w:firstLine="0"/>
              <w:jc w:val="left"/>
              <w:rPr>
                <w:rFonts w:asciiTheme="majorBidi" w:hAnsiTheme="majorBidi" w:cstheme="majorBidi"/>
                <w:b/>
                <w:bCs/>
                <w:color w:val="000000"/>
                <w:sz w:val="24"/>
                <w:szCs w:val="24"/>
              </w:rPr>
            </w:pPr>
            <w:r>
              <w:rPr>
                <w:rFonts w:asciiTheme="majorBidi" w:hAnsiTheme="majorBidi" w:cstheme="majorBidi"/>
                <w:b/>
                <w:bCs/>
                <w:color w:val="000000"/>
                <w:sz w:val="24"/>
                <w:szCs w:val="24"/>
              </w:rPr>
              <w:t>above 46 years</w:t>
            </w:r>
          </w:p>
        </w:tc>
        <w:tc>
          <w:tcPr>
            <w:tcW w:w="3117" w:type="dxa"/>
            <w:shd w:val="clear" w:color="auto" w:fill="00B050"/>
          </w:tcPr>
          <w:p w14:paraId="51DE37E2">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w:t>
            </w:r>
          </w:p>
        </w:tc>
        <w:tc>
          <w:tcPr>
            <w:tcW w:w="3117" w:type="dxa"/>
            <w:shd w:val="clear" w:color="auto" w:fill="C8C8C8" w:themeFill="accent3" w:themeFillTint="99"/>
          </w:tcPr>
          <w:p w14:paraId="5512B842">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1.1</w:t>
            </w:r>
          </w:p>
        </w:tc>
      </w:tr>
      <w:tr w14:paraId="403F287A">
        <w:tblPrEx>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CellMar>
            <w:top w:w="0" w:type="dxa"/>
            <w:left w:w="108" w:type="dxa"/>
            <w:bottom w:w="0" w:type="dxa"/>
            <w:right w:w="108" w:type="dxa"/>
          </w:tblCellMar>
        </w:tblPrEx>
        <w:tc>
          <w:tcPr>
            <w:tcW w:w="3116" w:type="dxa"/>
            <w:tcBorders>
              <w:left w:val="single" w:color="FFFFFF" w:themeColor="background1" w:sz="4" w:space="0"/>
              <w:bottom w:val="single" w:color="FFFFFF" w:themeColor="background1" w:sz="4" w:space="0"/>
            </w:tcBorders>
            <w:shd w:val="clear" w:color="auto" w:fill="FFC000" w:themeFill="accent4"/>
          </w:tcPr>
          <w:p w14:paraId="3BF55756">
            <w:pPr>
              <w:autoSpaceDE w:val="0"/>
              <w:autoSpaceDN w:val="0"/>
              <w:adjustRightInd w:val="0"/>
              <w:spacing w:line="276" w:lineRule="auto"/>
              <w:ind w:left="60" w:right="60"/>
              <w:jc w:val="left"/>
              <w:rPr>
                <w:rFonts w:asciiTheme="majorBidi" w:hAnsiTheme="majorBidi" w:cstheme="majorBidi"/>
                <w:b w:val="0"/>
                <w:bCs w:val="0"/>
                <w:color w:val="000000"/>
                <w:sz w:val="24"/>
                <w:szCs w:val="24"/>
              </w:rPr>
            </w:pPr>
            <w:r>
              <w:rPr>
                <w:rFonts w:asciiTheme="majorBidi" w:hAnsiTheme="majorBidi" w:cstheme="majorBidi"/>
                <w:b/>
                <w:bCs/>
                <w:color w:val="000000"/>
                <w:sz w:val="24"/>
                <w:szCs w:val="24"/>
              </w:rPr>
              <w:t>Total</w:t>
            </w:r>
          </w:p>
        </w:tc>
        <w:tc>
          <w:tcPr>
            <w:tcW w:w="3117" w:type="dxa"/>
            <w:shd w:val="clear" w:color="auto" w:fill="FFC000" w:themeFill="accent4"/>
          </w:tcPr>
          <w:p w14:paraId="4E2440B4">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92</w:t>
            </w:r>
          </w:p>
        </w:tc>
        <w:tc>
          <w:tcPr>
            <w:tcW w:w="3117" w:type="dxa"/>
            <w:shd w:val="clear" w:color="auto" w:fill="FFC000" w:themeFill="accent4"/>
          </w:tcPr>
          <w:p w14:paraId="5FD317A6">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100</w:t>
            </w:r>
          </w:p>
        </w:tc>
      </w:tr>
    </w:tbl>
    <w:p w14:paraId="52009CBF">
      <w:pPr>
        <w:spacing w:line="276" w:lineRule="auto"/>
        <w:jc w:val="center"/>
        <w:rPr>
          <w:rFonts w:asciiTheme="majorBidi" w:hAnsiTheme="majorBidi" w:cstheme="majorBidi"/>
          <w:b/>
          <w:bCs/>
          <w:i/>
          <w:iCs/>
          <w:color w:val="000000"/>
        </w:rPr>
      </w:pPr>
      <w:r>
        <w:rPr>
          <w:rFonts w:asciiTheme="majorBidi" w:hAnsiTheme="majorBidi" w:cstheme="majorBidi"/>
          <w:b/>
          <w:bCs/>
          <w:i/>
          <w:iCs/>
          <w:color w:val="000000"/>
        </w:rPr>
        <w:t>Source: Own survey 202</w:t>
      </w:r>
      <w:r>
        <w:rPr>
          <w:rFonts w:asciiTheme="majorBidi" w:hAnsiTheme="majorBidi" w:cstheme="majorBidi"/>
          <w:b/>
          <w:bCs/>
          <w:i/>
          <w:iCs/>
          <w:color w:val="000000"/>
          <w:lang w:val="en-US"/>
        </w:rPr>
        <w:t>3</w:t>
      </w:r>
      <w:r>
        <w:rPr>
          <w:rFonts w:asciiTheme="majorBidi" w:hAnsiTheme="majorBidi" w:cstheme="majorBidi"/>
          <w:b/>
          <w:bCs/>
          <w:i/>
          <w:iCs/>
          <w:color w:val="000000"/>
        </w:rPr>
        <w:t>(SPSS).</w:t>
      </w:r>
    </w:p>
    <w:p w14:paraId="7C8A2FB6">
      <w:pPr>
        <w:spacing w:line="276" w:lineRule="auto"/>
        <w:jc w:val="center"/>
        <w:rPr>
          <w:rFonts w:asciiTheme="majorBidi" w:hAnsiTheme="majorBidi" w:cstheme="majorBidi"/>
          <w:b/>
          <w:bCs/>
          <w:i/>
          <w:iCs/>
          <w:lang w:val="en-US"/>
        </w:rPr>
      </w:pPr>
      <w:r>
        <w:rPr>
          <w:rFonts w:asciiTheme="majorBidi" w:hAnsiTheme="majorBidi" w:cstheme="majorBidi"/>
        </w:rPr>
        <w:t xml:space="preserve">In terms of age, the above </w:t>
      </w:r>
      <w:r>
        <w:rPr>
          <w:rFonts w:asciiTheme="majorBidi" w:hAnsiTheme="majorBidi" w:cstheme="majorBidi"/>
          <w:lang w:val="en-US"/>
        </w:rPr>
        <w:t xml:space="preserve">Figure </w:t>
      </w:r>
      <w:r>
        <w:rPr>
          <w:rFonts w:asciiTheme="majorBidi" w:hAnsiTheme="majorBidi" w:cstheme="majorBidi"/>
        </w:rPr>
        <w:t>shows that 20 (21.7%) of the respondents were between 20-25 years, 27 (29.3%) of the respondents were between 26-30 years, 16 (17.4%) of the respondents were between 31-35 years, 17 (18.5%) of the respondents were between 36-40 years and 11 (12%) were between 41-45 years, 1(1.1%) of the respondents were 50 &amp; above.This shows that more than 50% of employees working in ministry of finance were young employees.And also, the majority of the respondents were in the most productive age ranges of their life.</w:t>
      </w:r>
      <w:r>
        <w:rPr>
          <w:rFonts w:asciiTheme="majorBidi" w:hAnsiTheme="majorBidi" w:cstheme="majorBidi"/>
          <w:lang w:val="en-US"/>
        </w:rPr>
        <w:t xml:space="preserve"> </w:t>
      </w:r>
      <w:r>
        <w:rPr>
          <w:rFonts w:asciiTheme="majorBidi" w:hAnsiTheme="majorBidi" w:cstheme="majorBidi"/>
        </w:rPr>
        <w:t>As the above figure Indicates that 35 (38%) of the respondents were single, 37 (40.2%) of the respondents were married, 20(21.7%) of the respondents were divorced. This describes that the majority of the respondents were one of the family pillars (either the wife or husband) who plays an important role of the family.</w:t>
      </w:r>
    </w:p>
    <w:p w14:paraId="528F8241">
      <w:pPr>
        <w:pStyle w:val="4"/>
        <w:spacing w:line="276" w:lineRule="auto"/>
        <w:rPr>
          <w:rFonts w:asciiTheme="majorBidi" w:hAnsiTheme="majorBidi"/>
          <w:sz w:val="24"/>
          <w:szCs w:val="24"/>
        </w:rPr>
      </w:pPr>
      <w:bookmarkStart w:id="30" w:name="_Toc136959607"/>
      <w:r>
        <w:rPr>
          <w:rFonts w:asciiTheme="majorBidi" w:hAnsiTheme="majorBidi"/>
          <w:sz w:val="24"/>
          <w:szCs w:val="24"/>
        </w:rPr>
        <w:t xml:space="preserve"> Marital status of respondents</w:t>
      </w:r>
      <w:bookmarkEnd w:id="30"/>
    </w:p>
    <w:tbl>
      <w:tblPr>
        <w:tblStyle w:val="95"/>
        <w:tblpPr w:leftFromText="180" w:rightFromText="180" w:vertAnchor="text" w:horzAnchor="margin" w:tblpY="141"/>
        <w:tblW w:w="0" w:type="auto"/>
        <w:tblInd w:w="0" w:type="dxa"/>
        <w:tblBorders>
          <w:top w:val="single" w:color="BDD6EE" w:themeColor="accent5" w:themeTint="66" w:sz="4" w:space="0"/>
          <w:left w:val="single" w:color="BDD6EE" w:themeColor="accent5" w:themeTint="66" w:sz="4" w:space="0"/>
          <w:bottom w:val="single" w:color="BDD6EE" w:themeColor="accent5" w:themeTint="66" w:sz="4" w:space="0"/>
          <w:right w:val="single" w:color="BDD6EE" w:themeColor="accent5" w:themeTint="66" w:sz="4" w:space="0"/>
          <w:insideH w:val="single" w:color="BDD6EE" w:themeColor="accent5" w:themeTint="66" w:sz="4" w:space="0"/>
          <w:insideV w:val="single" w:color="BDD6EE" w:themeColor="accent5" w:themeTint="66" w:sz="4" w:space="0"/>
        </w:tblBorders>
        <w:tblLayout w:type="autofit"/>
        <w:tblCellMar>
          <w:top w:w="0" w:type="dxa"/>
          <w:left w:w="108" w:type="dxa"/>
          <w:bottom w:w="0" w:type="dxa"/>
          <w:right w:w="108" w:type="dxa"/>
        </w:tblCellMar>
      </w:tblPr>
      <w:tblGrid>
        <w:gridCol w:w="3116"/>
        <w:gridCol w:w="3117"/>
        <w:gridCol w:w="3117"/>
      </w:tblGrid>
      <w:tr w14:paraId="7F4C8F45">
        <w:tblPrEx>
          <w:tblBorders>
            <w:top w:val="single" w:color="BDD6EE" w:themeColor="accent5" w:themeTint="66" w:sz="4" w:space="0"/>
            <w:left w:val="single" w:color="BDD6EE" w:themeColor="accent5" w:themeTint="66" w:sz="4" w:space="0"/>
            <w:bottom w:val="single" w:color="BDD6EE" w:themeColor="accent5" w:themeTint="66" w:sz="4" w:space="0"/>
            <w:right w:val="single" w:color="BDD6EE" w:themeColor="accent5" w:themeTint="66" w:sz="4" w:space="0"/>
            <w:insideH w:val="single" w:color="BDD6EE" w:themeColor="accent5" w:themeTint="66" w:sz="4" w:space="0"/>
            <w:insideV w:val="single" w:color="BDD6EE" w:themeColor="accent5" w:themeTint="66" w:sz="4" w:space="0"/>
          </w:tblBorders>
          <w:tblCellMar>
            <w:top w:w="0" w:type="dxa"/>
            <w:left w:w="108" w:type="dxa"/>
            <w:bottom w:w="0" w:type="dxa"/>
            <w:right w:w="108" w:type="dxa"/>
          </w:tblCellMar>
        </w:tblPrEx>
        <w:tc>
          <w:tcPr>
            <w:tcW w:w="3116" w:type="dxa"/>
            <w:tcBorders>
              <w:bottom w:val="single" w:color="9CC2E5" w:themeColor="accent5" w:themeTint="99" w:sz="12" w:space="0"/>
              <w:insideH w:val="single" w:sz="12" w:space="0"/>
            </w:tcBorders>
            <w:shd w:val="clear" w:color="auto" w:fill="4472C4" w:themeFill="accent1"/>
          </w:tcPr>
          <w:p w14:paraId="6684E1DC">
            <w:pPr>
              <w:autoSpaceDE w:val="0"/>
              <w:autoSpaceDN w:val="0"/>
              <w:adjustRightInd w:val="0"/>
              <w:spacing w:line="276" w:lineRule="auto"/>
              <w:ind w:left="60" w:right="60" w:firstLine="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marital status</w:t>
            </w:r>
          </w:p>
        </w:tc>
        <w:tc>
          <w:tcPr>
            <w:tcW w:w="3117" w:type="dxa"/>
            <w:tcBorders>
              <w:bottom w:val="single" w:color="9CC2E5" w:themeColor="accent5" w:themeTint="99" w:sz="12" w:space="0"/>
              <w:insideH w:val="single" w:sz="12" w:space="0"/>
            </w:tcBorders>
            <w:shd w:val="clear" w:color="auto" w:fill="4472C4" w:themeFill="accent1"/>
          </w:tcPr>
          <w:p w14:paraId="12D9A47E">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Frequency</w:t>
            </w:r>
          </w:p>
        </w:tc>
        <w:tc>
          <w:tcPr>
            <w:tcW w:w="3117" w:type="dxa"/>
            <w:tcBorders>
              <w:bottom w:val="single" w:color="9CC2E5" w:themeColor="accent5" w:themeTint="99" w:sz="12" w:space="0"/>
              <w:insideH w:val="single" w:sz="12" w:space="0"/>
            </w:tcBorders>
            <w:shd w:val="clear" w:color="auto" w:fill="4472C4" w:themeFill="accent1"/>
          </w:tcPr>
          <w:p w14:paraId="42883B02">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Percent</w:t>
            </w:r>
          </w:p>
        </w:tc>
      </w:tr>
      <w:tr w14:paraId="206DE9DD">
        <w:tblPrEx>
          <w:tblBorders>
            <w:top w:val="single" w:color="BDD6EE" w:themeColor="accent5" w:themeTint="66" w:sz="4" w:space="0"/>
            <w:left w:val="single" w:color="BDD6EE" w:themeColor="accent5" w:themeTint="66" w:sz="4" w:space="0"/>
            <w:bottom w:val="single" w:color="BDD6EE" w:themeColor="accent5" w:themeTint="66" w:sz="4" w:space="0"/>
            <w:right w:val="single" w:color="BDD6EE" w:themeColor="accent5" w:themeTint="66" w:sz="4" w:space="0"/>
            <w:insideH w:val="single" w:color="BDD6EE" w:themeColor="accent5" w:themeTint="66" w:sz="4" w:space="0"/>
            <w:insideV w:val="single" w:color="BDD6EE" w:themeColor="accent5" w:themeTint="66" w:sz="4" w:space="0"/>
          </w:tblBorders>
          <w:tblCellMar>
            <w:top w:w="0" w:type="dxa"/>
            <w:left w:w="108" w:type="dxa"/>
            <w:bottom w:w="0" w:type="dxa"/>
            <w:right w:w="108" w:type="dxa"/>
          </w:tblCellMar>
        </w:tblPrEx>
        <w:tc>
          <w:tcPr>
            <w:tcW w:w="3116" w:type="dxa"/>
            <w:shd w:val="clear" w:color="auto" w:fill="A5A5A5" w:themeFill="accent3"/>
          </w:tcPr>
          <w:p w14:paraId="37213836">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Single</w:t>
            </w:r>
          </w:p>
        </w:tc>
        <w:tc>
          <w:tcPr>
            <w:tcW w:w="3117" w:type="dxa"/>
            <w:shd w:val="clear" w:color="auto" w:fill="FEF2CC" w:themeFill="accent4" w:themeFillTint="33"/>
          </w:tcPr>
          <w:p w14:paraId="10764A0F">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35</w:t>
            </w:r>
          </w:p>
        </w:tc>
        <w:tc>
          <w:tcPr>
            <w:tcW w:w="3117" w:type="dxa"/>
            <w:shd w:val="clear" w:color="auto" w:fill="BDD6EE" w:themeFill="accent5" w:themeFillTint="66"/>
          </w:tcPr>
          <w:p w14:paraId="2503DE25">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38.04</w:t>
            </w:r>
          </w:p>
        </w:tc>
      </w:tr>
      <w:tr w14:paraId="217E45E9">
        <w:tblPrEx>
          <w:tblBorders>
            <w:top w:val="single" w:color="BDD6EE" w:themeColor="accent5" w:themeTint="66" w:sz="4" w:space="0"/>
            <w:left w:val="single" w:color="BDD6EE" w:themeColor="accent5" w:themeTint="66" w:sz="4" w:space="0"/>
            <w:bottom w:val="single" w:color="BDD6EE" w:themeColor="accent5" w:themeTint="66" w:sz="4" w:space="0"/>
            <w:right w:val="single" w:color="BDD6EE" w:themeColor="accent5" w:themeTint="66" w:sz="4" w:space="0"/>
            <w:insideH w:val="single" w:color="BDD6EE" w:themeColor="accent5" w:themeTint="66" w:sz="4" w:space="0"/>
            <w:insideV w:val="single" w:color="BDD6EE" w:themeColor="accent5" w:themeTint="66" w:sz="4" w:space="0"/>
          </w:tblBorders>
          <w:tblCellMar>
            <w:top w:w="0" w:type="dxa"/>
            <w:left w:w="108" w:type="dxa"/>
            <w:bottom w:w="0" w:type="dxa"/>
            <w:right w:w="108" w:type="dxa"/>
          </w:tblCellMar>
        </w:tblPrEx>
        <w:tc>
          <w:tcPr>
            <w:tcW w:w="3116" w:type="dxa"/>
            <w:shd w:val="clear" w:color="auto" w:fill="A5A5A5" w:themeFill="accent3"/>
          </w:tcPr>
          <w:p w14:paraId="33B19482">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Married</w:t>
            </w:r>
          </w:p>
        </w:tc>
        <w:tc>
          <w:tcPr>
            <w:tcW w:w="3117" w:type="dxa"/>
            <w:shd w:val="clear" w:color="auto" w:fill="FEF2CC" w:themeFill="accent4" w:themeFillTint="33"/>
          </w:tcPr>
          <w:p w14:paraId="3E9B152B">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37</w:t>
            </w:r>
          </w:p>
        </w:tc>
        <w:tc>
          <w:tcPr>
            <w:tcW w:w="3117" w:type="dxa"/>
            <w:shd w:val="clear" w:color="auto" w:fill="BDD6EE" w:themeFill="accent5" w:themeFillTint="66"/>
          </w:tcPr>
          <w:p w14:paraId="5E87F992">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40.2</w:t>
            </w:r>
          </w:p>
        </w:tc>
      </w:tr>
      <w:tr w14:paraId="5EF442DF">
        <w:tblPrEx>
          <w:tblBorders>
            <w:top w:val="single" w:color="BDD6EE" w:themeColor="accent5" w:themeTint="66" w:sz="4" w:space="0"/>
            <w:left w:val="single" w:color="BDD6EE" w:themeColor="accent5" w:themeTint="66" w:sz="4" w:space="0"/>
            <w:bottom w:val="single" w:color="BDD6EE" w:themeColor="accent5" w:themeTint="66" w:sz="4" w:space="0"/>
            <w:right w:val="single" w:color="BDD6EE" w:themeColor="accent5" w:themeTint="66" w:sz="4" w:space="0"/>
            <w:insideH w:val="single" w:color="BDD6EE" w:themeColor="accent5" w:themeTint="66" w:sz="4" w:space="0"/>
            <w:insideV w:val="single" w:color="BDD6EE" w:themeColor="accent5" w:themeTint="66" w:sz="4" w:space="0"/>
          </w:tblBorders>
          <w:tblCellMar>
            <w:top w:w="0" w:type="dxa"/>
            <w:left w:w="108" w:type="dxa"/>
            <w:bottom w:w="0" w:type="dxa"/>
            <w:right w:w="108" w:type="dxa"/>
          </w:tblCellMar>
        </w:tblPrEx>
        <w:tc>
          <w:tcPr>
            <w:tcW w:w="3116" w:type="dxa"/>
            <w:shd w:val="clear" w:color="auto" w:fill="A5A5A5" w:themeFill="accent3"/>
          </w:tcPr>
          <w:p w14:paraId="044CB664">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Divorced</w:t>
            </w:r>
          </w:p>
        </w:tc>
        <w:tc>
          <w:tcPr>
            <w:tcW w:w="3117" w:type="dxa"/>
            <w:shd w:val="clear" w:color="auto" w:fill="FEF2CC" w:themeFill="accent4" w:themeFillTint="33"/>
          </w:tcPr>
          <w:p w14:paraId="0DFDDD64">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10</w:t>
            </w:r>
          </w:p>
        </w:tc>
        <w:tc>
          <w:tcPr>
            <w:tcW w:w="3117" w:type="dxa"/>
            <w:shd w:val="clear" w:color="auto" w:fill="BDD6EE" w:themeFill="accent5" w:themeFillTint="66"/>
          </w:tcPr>
          <w:p w14:paraId="5F230E9B">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10.86</w:t>
            </w:r>
          </w:p>
        </w:tc>
      </w:tr>
      <w:tr w14:paraId="55B5A1A4">
        <w:tblPrEx>
          <w:tblBorders>
            <w:top w:val="single" w:color="BDD6EE" w:themeColor="accent5" w:themeTint="66" w:sz="4" w:space="0"/>
            <w:left w:val="single" w:color="BDD6EE" w:themeColor="accent5" w:themeTint="66" w:sz="4" w:space="0"/>
            <w:bottom w:val="single" w:color="BDD6EE" w:themeColor="accent5" w:themeTint="66" w:sz="4" w:space="0"/>
            <w:right w:val="single" w:color="BDD6EE" w:themeColor="accent5" w:themeTint="66" w:sz="4" w:space="0"/>
            <w:insideH w:val="single" w:color="BDD6EE" w:themeColor="accent5" w:themeTint="66" w:sz="4" w:space="0"/>
            <w:insideV w:val="single" w:color="BDD6EE" w:themeColor="accent5" w:themeTint="66" w:sz="4" w:space="0"/>
          </w:tblBorders>
          <w:tblCellMar>
            <w:top w:w="0" w:type="dxa"/>
            <w:left w:w="108" w:type="dxa"/>
            <w:bottom w:w="0" w:type="dxa"/>
            <w:right w:w="108" w:type="dxa"/>
          </w:tblCellMar>
        </w:tblPrEx>
        <w:tc>
          <w:tcPr>
            <w:tcW w:w="3116" w:type="dxa"/>
            <w:shd w:val="clear" w:color="auto" w:fill="A5A5A5" w:themeFill="accent3"/>
          </w:tcPr>
          <w:p w14:paraId="5BB65ACC">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Widowed</w:t>
            </w:r>
          </w:p>
        </w:tc>
        <w:tc>
          <w:tcPr>
            <w:tcW w:w="3117" w:type="dxa"/>
            <w:shd w:val="clear" w:color="auto" w:fill="FEF2CC" w:themeFill="accent4" w:themeFillTint="33"/>
          </w:tcPr>
          <w:p w14:paraId="7DC632A0">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10</w:t>
            </w:r>
          </w:p>
        </w:tc>
        <w:tc>
          <w:tcPr>
            <w:tcW w:w="3117" w:type="dxa"/>
            <w:shd w:val="clear" w:color="auto" w:fill="BDD6EE" w:themeFill="accent5" w:themeFillTint="66"/>
          </w:tcPr>
          <w:p w14:paraId="37912142">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10.86</w:t>
            </w:r>
          </w:p>
        </w:tc>
      </w:tr>
      <w:tr w14:paraId="5F613E58">
        <w:tblPrEx>
          <w:tblBorders>
            <w:top w:val="single" w:color="BDD6EE" w:themeColor="accent5" w:themeTint="66" w:sz="4" w:space="0"/>
            <w:left w:val="single" w:color="BDD6EE" w:themeColor="accent5" w:themeTint="66" w:sz="4" w:space="0"/>
            <w:bottom w:val="single" w:color="BDD6EE" w:themeColor="accent5" w:themeTint="66" w:sz="4" w:space="0"/>
            <w:right w:val="single" w:color="BDD6EE" w:themeColor="accent5" w:themeTint="66" w:sz="4" w:space="0"/>
            <w:insideH w:val="single" w:color="BDD6EE" w:themeColor="accent5" w:themeTint="66" w:sz="4" w:space="0"/>
            <w:insideV w:val="single" w:color="BDD6EE" w:themeColor="accent5" w:themeTint="66" w:sz="4" w:space="0"/>
          </w:tblBorders>
          <w:tblCellMar>
            <w:top w:w="0" w:type="dxa"/>
            <w:left w:w="108" w:type="dxa"/>
            <w:bottom w:w="0" w:type="dxa"/>
            <w:right w:w="108" w:type="dxa"/>
          </w:tblCellMar>
        </w:tblPrEx>
        <w:tc>
          <w:tcPr>
            <w:tcW w:w="3116" w:type="dxa"/>
            <w:shd w:val="clear" w:color="auto" w:fill="00B0F0"/>
          </w:tcPr>
          <w:p w14:paraId="3406E10D">
            <w:pPr>
              <w:autoSpaceDE w:val="0"/>
              <w:autoSpaceDN w:val="0"/>
              <w:adjustRightInd w:val="0"/>
              <w:spacing w:line="276" w:lineRule="auto"/>
              <w:ind w:left="60" w:right="60"/>
              <w:rPr>
                <w:rFonts w:asciiTheme="majorBidi" w:hAnsiTheme="majorBidi" w:cstheme="majorBidi"/>
                <w:b w:val="0"/>
                <w:bCs w:val="0"/>
                <w:color w:val="000000"/>
                <w:sz w:val="24"/>
                <w:szCs w:val="24"/>
              </w:rPr>
            </w:pPr>
            <w:r>
              <w:rPr>
                <w:rFonts w:asciiTheme="majorBidi" w:hAnsiTheme="majorBidi" w:cstheme="majorBidi"/>
                <w:b/>
                <w:bCs/>
                <w:color w:val="000000"/>
                <w:sz w:val="24"/>
                <w:szCs w:val="24"/>
              </w:rPr>
              <w:t>Total</w:t>
            </w:r>
          </w:p>
        </w:tc>
        <w:tc>
          <w:tcPr>
            <w:tcW w:w="3117" w:type="dxa"/>
            <w:shd w:val="clear" w:color="auto" w:fill="00B0F0"/>
          </w:tcPr>
          <w:p w14:paraId="06F48CB6">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92</w:t>
            </w:r>
          </w:p>
        </w:tc>
        <w:tc>
          <w:tcPr>
            <w:tcW w:w="3117" w:type="dxa"/>
            <w:shd w:val="clear" w:color="auto" w:fill="00B0F0"/>
          </w:tcPr>
          <w:p w14:paraId="6EC6E58D">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100</w:t>
            </w:r>
          </w:p>
        </w:tc>
      </w:tr>
    </w:tbl>
    <w:p w14:paraId="30A19401">
      <w:pPr>
        <w:spacing w:line="276" w:lineRule="auto"/>
        <w:jc w:val="center"/>
        <w:rPr>
          <w:rFonts w:asciiTheme="majorBidi" w:hAnsiTheme="majorBidi" w:cstheme="majorBidi"/>
          <w:b/>
          <w:bCs/>
          <w:i/>
          <w:iCs/>
          <w:lang w:val="en-US"/>
        </w:rPr>
      </w:pPr>
      <w:r>
        <w:rPr>
          <w:rFonts w:asciiTheme="majorBidi" w:hAnsiTheme="majorBidi" w:cstheme="majorBidi"/>
          <w:b/>
          <w:bCs/>
          <w:i/>
          <w:iCs/>
          <w:color w:val="000000"/>
        </w:rPr>
        <w:t>Source: Own survey 202</w:t>
      </w:r>
      <w:r>
        <w:rPr>
          <w:rFonts w:asciiTheme="majorBidi" w:hAnsiTheme="majorBidi" w:cstheme="majorBidi"/>
          <w:b/>
          <w:bCs/>
          <w:i/>
          <w:iCs/>
          <w:color w:val="000000"/>
          <w:lang w:val="en-US"/>
        </w:rPr>
        <w:t>3</w:t>
      </w:r>
      <w:r>
        <w:rPr>
          <w:rFonts w:asciiTheme="majorBidi" w:hAnsiTheme="majorBidi" w:cstheme="majorBidi"/>
          <w:b/>
          <w:bCs/>
          <w:i/>
          <w:iCs/>
          <w:color w:val="000000"/>
        </w:rPr>
        <w:t>(SPSS).</w:t>
      </w:r>
    </w:p>
    <w:p w14:paraId="77735CB4">
      <w:pPr>
        <w:spacing w:line="276" w:lineRule="auto"/>
        <w:rPr>
          <w:rFonts w:asciiTheme="majorBidi" w:hAnsiTheme="majorBidi" w:cstheme="majorBidi"/>
        </w:rPr>
      </w:pPr>
      <w:r>
        <w:rPr>
          <w:rFonts w:asciiTheme="majorBidi" w:hAnsiTheme="majorBidi" w:cstheme="majorBidi"/>
          <w:lang w:val="en-US"/>
        </w:rPr>
        <w:t xml:space="preserve"> </w:t>
      </w:r>
      <w:r>
        <w:rPr>
          <w:rFonts w:asciiTheme="majorBidi" w:hAnsiTheme="majorBidi" w:cstheme="majorBidi"/>
        </w:rPr>
        <w:t>As the above figure and figure shows, marital status of 35(38.04%) of the respondents were single, 37(40.2%) of the respondents were marriages, 10(10.86%) of the respondents were widowed, and 10(10.86%) of the respondents were divorced.</w:t>
      </w:r>
    </w:p>
    <w:p w14:paraId="1AC617F9">
      <w:pPr>
        <w:pStyle w:val="4"/>
        <w:spacing w:line="276" w:lineRule="auto"/>
        <w:rPr>
          <w:rFonts w:asciiTheme="majorBidi" w:hAnsiTheme="majorBidi"/>
          <w:sz w:val="24"/>
          <w:szCs w:val="24"/>
        </w:rPr>
      </w:pPr>
      <w:bookmarkStart w:id="31" w:name="_Toc136959608"/>
      <w:r>
        <w:rPr>
          <w:rFonts w:asciiTheme="majorBidi" w:hAnsiTheme="majorBidi"/>
          <w:sz w:val="24"/>
          <w:szCs w:val="24"/>
        </w:rPr>
        <w:t xml:space="preserve"> Educational level respondents</w:t>
      </w:r>
      <w:bookmarkEnd w:id="31"/>
    </w:p>
    <w:p w14:paraId="593F06BE">
      <w:pPr>
        <w:autoSpaceDE w:val="0"/>
        <w:autoSpaceDN w:val="0"/>
        <w:adjustRightInd w:val="0"/>
        <w:spacing w:after="0" w:line="276" w:lineRule="auto"/>
        <w:rPr>
          <w:rFonts w:asciiTheme="majorBidi" w:hAnsiTheme="majorBidi" w:cstheme="majorBidi"/>
        </w:rPr>
      </w:pPr>
      <w:r>
        <w:rPr>
          <w:rFonts w:asciiTheme="majorBidi" w:hAnsiTheme="majorBidi" w:cstheme="majorBidi"/>
          <w:lang w:val="en-IN" w:eastAsia="en-IN"/>
        </w:rPr>
        <w:drawing>
          <wp:inline distT="0" distB="0" distL="0" distR="0">
            <wp:extent cx="5589905" cy="2282825"/>
            <wp:effectExtent l="76200" t="38100" r="67945" b="11747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noChangeArrowheads="1"/>
                    </pic:cNvPicPr>
                  </pic:nvPicPr>
                  <pic:blipFill>
                    <a:blip r:embed="rId9" cstate="print">
                      <a:duotone>
                        <a:prstClr val="black"/>
                        <a:schemeClr val="accent4">
                          <a:tint val="45000"/>
                          <a:satMod val="400000"/>
                        </a:schemeClr>
                      </a:duotone>
                      <a:extLst>
                        <a:ext uri="{BEBA8EAE-BF5A-486C-A8C5-ECC9F3942E4B}">
                          <a14:imgProps xmlns:a14="http://schemas.microsoft.com/office/drawing/2010/main">
                            <a14:imgLayer r:embed="rId10">
                              <a14:imgEffect>
                                <a14:saturation sat="300000"/>
                              </a14:imgEffect>
                            </a14:imgLayer>
                          </a14:imgProps>
                        </a:ext>
                        <a:ext uri="{28A0092B-C50C-407E-A947-70E740481C1C}">
                          <a14:useLocalDpi xmlns:a14="http://schemas.microsoft.com/office/drawing/2010/main" val="0"/>
                        </a:ext>
                      </a:extLst>
                    </a:blip>
                    <a:srcRect/>
                    <a:stretch>
                      <a:fillRect/>
                    </a:stretch>
                  </pic:blipFill>
                  <pic:spPr>
                    <a:xfrm>
                      <a:off x="0" y="0"/>
                      <a:ext cx="5595081" cy="2285026"/>
                    </a:xfrm>
                    <a:prstGeom prst="rect">
                      <a:avLst/>
                    </a:prstGeom>
                    <a:noFill/>
                    <a:ln>
                      <a:solidFill>
                        <a:srgbClr val="00B0F0"/>
                      </a:solidFill>
                    </a:ln>
                    <a:effectLst>
                      <a:outerShdw blurRad="50800" dist="38100" dir="5400000" algn="t" rotWithShape="0">
                        <a:prstClr val="black">
                          <a:alpha val="40000"/>
                        </a:prstClr>
                      </a:outerShdw>
                    </a:effectLst>
                  </pic:spPr>
                </pic:pic>
              </a:graphicData>
            </a:graphic>
          </wp:inline>
        </w:drawing>
      </w:r>
    </w:p>
    <w:p w14:paraId="61F27EFD">
      <w:pPr>
        <w:spacing w:line="276" w:lineRule="auto"/>
        <w:jc w:val="center"/>
        <w:rPr>
          <w:rFonts w:asciiTheme="majorBidi" w:hAnsiTheme="majorBidi" w:cstheme="majorBidi"/>
          <w:b/>
          <w:bCs/>
          <w:i/>
          <w:iCs/>
          <w:lang w:val="en-US"/>
        </w:rPr>
      </w:pPr>
      <w:r>
        <w:rPr>
          <w:rFonts w:asciiTheme="majorBidi" w:hAnsiTheme="majorBidi" w:cstheme="majorBidi"/>
          <w:b/>
          <w:bCs/>
          <w:i/>
          <w:iCs/>
          <w:color w:val="000000"/>
        </w:rPr>
        <w:t>Source: Own survey 202</w:t>
      </w:r>
      <w:r>
        <w:rPr>
          <w:rFonts w:asciiTheme="majorBidi" w:hAnsiTheme="majorBidi" w:cstheme="majorBidi"/>
          <w:b/>
          <w:bCs/>
          <w:i/>
          <w:iCs/>
          <w:color w:val="000000"/>
          <w:lang w:val="en-US"/>
        </w:rPr>
        <w:t>3</w:t>
      </w:r>
      <w:r>
        <w:rPr>
          <w:rFonts w:asciiTheme="majorBidi" w:hAnsiTheme="majorBidi" w:cstheme="majorBidi"/>
          <w:b/>
          <w:bCs/>
          <w:i/>
          <w:iCs/>
          <w:color w:val="000000"/>
        </w:rPr>
        <w:t>(SPSS).</w:t>
      </w:r>
    </w:p>
    <w:p w14:paraId="2EFE9331">
      <w:pPr>
        <w:spacing w:line="276" w:lineRule="auto"/>
        <w:rPr>
          <w:rFonts w:asciiTheme="majorBidi" w:hAnsiTheme="majorBidi" w:cstheme="majorBidi"/>
        </w:rPr>
      </w:pPr>
      <w:r>
        <w:rPr>
          <w:rFonts w:asciiTheme="majorBidi" w:hAnsiTheme="majorBidi" w:cstheme="majorBidi"/>
        </w:rPr>
        <w:t xml:space="preserve">The educational status at the above </w:t>
      </w:r>
      <w:r>
        <w:rPr>
          <w:rFonts w:asciiTheme="majorBidi" w:hAnsiTheme="majorBidi" w:cstheme="majorBidi"/>
          <w:lang w:val="en-US"/>
        </w:rPr>
        <w:t>figure</w:t>
      </w:r>
      <w:r>
        <w:rPr>
          <w:rFonts w:asciiTheme="majorBidi" w:hAnsiTheme="majorBidi" w:cstheme="majorBidi"/>
        </w:rPr>
        <w:t xml:space="preserve"> implies, the majority of the respondents 42 (45.7%) were a Bachelor's degree, whereas 28 (30.4%) were a Master's degree, whereas 9(9.8%) were a Diploma; also 8(8.7%) were High school or equivalent completed, while</w:t>
      </w:r>
      <w:r>
        <w:rPr>
          <w:rFonts w:asciiTheme="majorBidi" w:hAnsiTheme="majorBidi" w:cstheme="majorBidi"/>
          <w:lang w:val="en-US"/>
        </w:rPr>
        <w:t xml:space="preserve"> </w:t>
      </w:r>
      <w:r>
        <w:rPr>
          <w:rFonts w:asciiTheme="majorBidi" w:hAnsiTheme="majorBidi" w:cstheme="majorBidi"/>
        </w:rPr>
        <w:t>the 5(5.4%) of the respondents were phd. This means that the respondents were sufficiently qualified persons academically and also indicates that the majority of employees of ministry of finance in Puntland have enough knowledge and skills. In here the worth mentioning point is that the majority Undergraduate holders are recently graduates from both local as well as abroad universities which is a good indication to change the adapted habit of old people in government offices.</w:t>
      </w:r>
    </w:p>
    <w:p w14:paraId="77618C20">
      <w:pPr>
        <w:pStyle w:val="4"/>
        <w:spacing w:line="276" w:lineRule="auto"/>
        <w:rPr>
          <w:rFonts w:asciiTheme="majorBidi" w:hAnsiTheme="majorBidi"/>
          <w:sz w:val="24"/>
          <w:szCs w:val="24"/>
        </w:rPr>
      </w:pPr>
      <w:bookmarkStart w:id="32" w:name="_Toc136959609"/>
      <w:r>
        <w:rPr>
          <w:rFonts w:asciiTheme="majorBidi" w:hAnsiTheme="majorBidi"/>
          <w:sz w:val="24"/>
          <w:szCs w:val="24"/>
        </w:rPr>
        <w:t xml:space="preserve"> Job experience of respondents</w:t>
      </w:r>
      <w:bookmarkEnd w:id="32"/>
    </w:p>
    <w:p w14:paraId="459365F9">
      <w:pPr>
        <w:spacing w:line="276" w:lineRule="auto"/>
        <w:jc w:val="center"/>
        <w:rPr>
          <w:rFonts w:asciiTheme="majorBidi" w:hAnsiTheme="majorBidi" w:cstheme="majorBidi"/>
        </w:rPr>
      </w:pPr>
      <w:r>
        <w:rPr>
          <w:rFonts w:asciiTheme="majorBidi" w:hAnsiTheme="majorBidi" w:cstheme="majorBidi"/>
          <w:lang w:val="en-IN" w:eastAsia="en-IN"/>
        </w:rPr>
        <w:drawing>
          <wp:inline distT="0" distB="0" distL="0" distR="0">
            <wp:extent cx="5492115" cy="219202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noChangeArrowheads="1"/>
                    </pic:cNvPicPr>
                  </pic:nvPicPr>
                  <pic:blipFill>
                    <a:blip r:embed="rId11" cstate="print">
                      <a:duotone>
                        <a:prstClr val="black"/>
                        <a:schemeClr val="accent2">
                          <a:tint val="45000"/>
                          <a:satMod val="400000"/>
                        </a:schemeClr>
                      </a:duotone>
                      <a:extLst>
                        <a:ext uri="{BEBA8EAE-BF5A-486C-A8C5-ECC9F3942E4B}">
                          <a14:imgProps xmlns:a14="http://schemas.microsoft.com/office/drawing/2010/main">
                            <a14:imgLayer r:embed="rId12">
                              <a14:imgEffect>
                                <a14:brightnessContrast contrast="20000"/>
                              </a14:imgEffect>
                              <a14:imgEffect>
                                <a14:sharpenSoften amount="25000"/>
                              </a14:imgEffect>
                            </a14:imgLayer>
                          </a14:imgProps>
                        </a:ext>
                        <a:ext uri="{28A0092B-C50C-407E-A947-70E740481C1C}">
                          <a14:useLocalDpi xmlns:a14="http://schemas.microsoft.com/office/drawing/2010/main" val="0"/>
                        </a:ext>
                      </a:extLst>
                    </a:blip>
                    <a:srcRect/>
                    <a:stretch>
                      <a:fillRect/>
                    </a:stretch>
                  </pic:blipFill>
                  <pic:spPr>
                    <a:xfrm>
                      <a:off x="0" y="0"/>
                      <a:ext cx="5507783" cy="2198215"/>
                    </a:xfrm>
                    <a:prstGeom prst="rect">
                      <a:avLst/>
                    </a:prstGeom>
                    <a:noFill/>
                    <a:ln>
                      <a:noFill/>
                    </a:ln>
                  </pic:spPr>
                </pic:pic>
              </a:graphicData>
            </a:graphic>
          </wp:inline>
        </w:drawing>
      </w:r>
      <w:r>
        <w:rPr>
          <w:rFonts w:asciiTheme="majorBidi" w:hAnsiTheme="majorBidi" w:cstheme="majorBidi"/>
          <w:b/>
          <w:bCs/>
          <w:i/>
          <w:iCs/>
          <w:color w:val="000000"/>
        </w:rPr>
        <w:t>Source: Own survey 202</w:t>
      </w:r>
      <w:r>
        <w:rPr>
          <w:rFonts w:asciiTheme="majorBidi" w:hAnsiTheme="majorBidi" w:cstheme="majorBidi"/>
          <w:b/>
          <w:bCs/>
          <w:i/>
          <w:iCs/>
          <w:color w:val="000000"/>
          <w:lang w:val="en-US"/>
        </w:rPr>
        <w:t>3</w:t>
      </w:r>
      <w:r>
        <w:rPr>
          <w:rFonts w:asciiTheme="majorBidi" w:hAnsiTheme="majorBidi" w:cstheme="majorBidi"/>
          <w:b/>
          <w:bCs/>
          <w:i/>
          <w:iCs/>
          <w:color w:val="000000"/>
        </w:rPr>
        <w:t>(SPSS).</w:t>
      </w:r>
    </w:p>
    <w:p w14:paraId="42BBE4E3">
      <w:pPr>
        <w:spacing w:line="276" w:lineRule="auto"/>
        <w:rPr>
          <w:rFonts w:asciiTheme="majorBidi" w:hAnsiTheme="majorBidi" w:cstheme="majorBidi"/>
        </w:rPr>
      </w:pPr>
      <w:r>
        <w:rPr>
          <w:rFonts w:asciiTheme="majorBidi" w:hAnsiTheme="majorBidi" w:cstheme="majorBidi"/>
        </w:rPr>
        <w:t>In terms of job experience</w:t>
      </w:r>
      <w:r>
        <w:rPr>
          <w:rFonts w:asciiTheme="majorBidi" w:hAnsiTheme="majorBidi" w:cstheme="majorBidi"/>
          <w:lang w:val="en-US"/>
        </w:rPr>
        <w:t xml:space="preserve"> Figure </w:t>
      </w:r>
      <w:r>
        <w:rPr>
          <w:rFonts w:asciiTheme="majorBidi" w:hAnsiTheme="majorBidi" w:cstheme="majorBidi"/>
        </w:rPr>
        <w:t>has shown that 32 (34.8%) respondents have been working for less than 5 years, while the respondents 30 (30.6%) were in between 5-10 years of experience, 15(16.5%) with an experience between 10-15 years, 8(8.7%) of the respondents were</w:t>
      </w:r>
      <w:r>
        <w:rPr>
          <w:rFonts w:asciiTheme="majorBidi" w:hAnsiTheme="majorBidi" w:cstheme="majorBidi"/>
          <w:lang w:val="en-US"/>
        </w:rPr>
        <w:t xml:space="preserve"> </w:t>
      </w:r>
      <w:r>
        <w:rPr>
          <w:rFonts w:asciiTheme="majorBidi" w:hAnsiTheme="majorBidi" w:cstheme="majorBidi"/>
        </w:rPr>
        <w:t>in between15-20 years, while the remaining 7(7.6%) have been working 20 years and above. This indicates that the employees of the ministry of finance in Puntland have enough experience for their work.</w:t>
      </w:r>
    </w:p>
    <w:p w14:paraId="3D48B3BA">
      <w:pPr>
        <w:pStyle w:val="3"/>
        <w:spacing w:line="276" w:lineRule="auto"/>
        <w:rPr>
          <w:rFonts w:asciiTheme="majorBidi" w:hAnsiTheme="majorBidi"/>
          <w:sz w:val="24"/>
          <w:szCs w:val="24"/>
        </w:rPr>
      </w:pPr>
      <w:bookmarkStart w:id="33" w:name="_Toc102819023"/>
      <w:bookmarkStart w:id="34" w:name="_Toc136959610"/>
      <w:r>
        <w:rPr>
          <w:rFonts w:asciiTheme="majorBidi" w:hAnsiTheme="majorBidi"/>
          <w:sz w:val="24"/>
          <w:szCs w:val="24"/>
        </w:rPr>
        <w:t xml:space="preserve"> </w:t>
      </w:r>
      <w:bookmarkEnd w:id="33"/>
      <w:r>
        <w:rPr>
          <w:rFonts w:asciiTheme="majorBidi" w:hAnsiTheme="majorBidi"/>
          <w:sz w:val="24"/>
          <w:szCs w:val="24"/>
        </w:rPr>
        <w:t>political commitment towards public financial management reform</w:t>
      </w:r>
      <w:bookmarkEnd w:id="34"/>
    </w:p>
    <w:p w14:paraId="2923C98D">
      <w:pPr>
        <w:pStyle w:val="14"/>
        <w:spacing w:before="2" w:line="276" w:lineRule="auto"/>
        <w:ind w:left="0"/>
        <w:jc w:val="left"/>
        <w:rPr>
          <w:rFonts w:asciiTheme="majorBidi" w:hAnsiTheme="majorBidi" w:cstheme="majorBidi"/>
          <w:b/>
        </w:rPr>
      </w:pPr>
    </w:p>
    <w:tbl>
      <w:tblPr>
        <w:tblStyle w:val="12"/>
        <w:tblW w:w="8865" w:type="dxa"/>
        <w:tblInd w:w="33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700"/>
        <w:gridCol w:w="810"/>
        <w:gridCol w:w="1440"/>
        <w:gridCol w:w="1915"/>
      </w:tblGrid>
      <w:tr w14:paraId="25DC14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4" w:hRule="atLeast"/>
        </w:trPr>
        <w:tc>
          <w:tcPr>
            <w:tcW w:w="4700" w:type="dxa"/>
            <w:shd w:val="clear" w:color="auto" w:fill="FFFFFF" w:themeFill="background1"/>
          </w:tcPr>
          <w:p w14:paraId="5CF7FE0A">
            <w:pPr>
              <w:pStyle w:val="81"/>
              <w:spacing w:line="276" w:lineRule="auto"/>
              <w:ind w:left="110"/>
              <w:rPr>
                <w:rFonts w:asciiTheme="majorBidi" w:hAnsiTheme="majorBidi" w:cstheme="majorBidi"/>
                <w:b/>
                <w:sz w:val="24"/>
                <w:szCs w:val="24"/>
              </w:rPr>
            </w:pPr>
            <w:r>
              <w:rPr>
                <w:rFonts w:asciiTheme="majorBidi" w:hAnsiTheme="majorBidi" w:cstheme="majorBidi"/>
                <w:b/>
                <w:spacing w:val="-2"/>
                <w:sz w:val="24"/>
                <w:szCs w:val="24"/>
              </w:rPr>
              <w:t>Statements</w:t>
            </w:r>
          </w:p>
        </w:tc>
        <w:tc>
          <w:tcPr>
            <w:tcW w:w="810" w:type="dxa"/>
            <w:shd w:val="clear" w:color="auto" w:fill="FFFFFF" w:themeFill="background1"/>
          </w:tcPr>
          <w:p w14:paraId="30D99AFA">
            <w:pPr>
              <w:pStyle w:val="81"/>
              <w:spacing w:line="276" w:lineRule="auto"/>
              <w:ind w:left="105"/>
              <w:rPr>
                <w:rFonts w:asciiTheme="majorBidi" w:hAnsiTheme="majorBidi" w:cstheme="majorBidi"/>
                <w:b/>
                <w:sz w:val="24"/>
                <w:szCs w:val="24"/>
              </w:rPr>
            </w:pPr>
            <w:r>
              <w:rPr>
                <w:rFonts w:asciiTheme="majorBidi" w:hAnsiTheme="majorBidi" w:cstheme="majorBidi"/>
                <w:b/>
                <w:w w:val="99"/>
                <w:sz w:val="24"/>
                <w:szCs w:val="24"/>
              </w:rPr>
              <w:t>N</w:t>
            </w:r>
          </w:p>
        </w:tc>
        <w:tc>
          <w:tcPr>
            <w:tcW w:w="1440" w:type="dxa"/>
            <w:shd w:val="clear" w:color="auto" w:fill="FFFFFF" w:themeFill="background1"/>
          </w:tcPr>
          <w:p w14:paraId="271B3E64">
            <w:pPr>
              <w:pStyle w:val="81"/>
              <w:spacing w:line="276" w:lineRule="auto"/>
              <w:ind w:left="109"/>
              <w:rPr>
                <w:rFonts w:asciiTheme="majorBidi" w:hAnsiTheme="majorBidi" w:cstheme="majorBidi"/>
                <w:b/>
                <w:sz w:val="24"/>
                <w:szCs w:val="24"/>
              </w:rPr>
            </w:pPr>
            <w:r>
              <w:rPr>
                <w:rFonts w:asciiTheme="majorBidi" w:hAnsiTheme="majorBidi" w:cstheme="majorBidi"/>
                <w:b/>
                <w:spacing w:val="-4"/>
                <w:sz w:val="24"/>
                <w:szCs w:val="24"/>
              </w:rPr>
              <w:t>Mean</w:t>
            </w:r>
          </w:p>
        </w:tc>
        <w:tc>
          <w:tcPr>
            <w:tcW w:w="1915" w:type="dxa"/>
            <w:shd w:val="clear" w:color="auto" w:fill="FFFFFF" w:themeFill="background1"/>
          </w:tcPr>
          <w:p w14:paraId="5B354670">
            <w:pPr>
              <w:pStyle w:val="81"/>
              <w:spacing w:line="276" w:lineRule="auto"/>
              <w:ind w:left="109"/>
              <w:rPr>
                <w:rFonts w:asciiTheme="majorBidi" w:hAnsiTheme="majorBidi" w:cstheme="majorBidi"/>
                <w:b/>
                <w:sz w:val="24"/>
                <w:szCs w:val="24"/>
              </w:rPr>
            </w:pPr>
            <w:r>
              <w:rPr>
                <w:rFonts w:asciiTheme="majorBidi" w:hAnsiTheme="majorBidi" w:cstheme="majorBidi"/>
                <w:b/>
                <w:spacing w:val="-5"/>
                <w:sz w:val="24"/>
                <w:szCs w:val="24"/>
              </w:rPr>
              <w:t>St.</w:t>
            </w:r>
            <w:r>
              <w:rPr>
                <w:rFonts w:asciiTheme="majorBidi" w:hAnsiTheme="majorBidi" w:cstheme="majorBidi"/>
                <w:b/>
                <w:sz w:val="24"/>
                <w:szCs w:val="24"/>
              </w:rPr>
              <w:t xml:space="preserve"> </w:t>
            </w:r>
            <w:r>
              <w:rPr>
                <w:rFonts w:asciiTheme="majorBidi" w:hAnsiTheme="majorBidi" w:cstheme="majorBidi"/>
                <w:b/>
                <w:spacing w:val="-2"/>
                <w:sz w:val="24"/>
                <w:szCs w:val="24"/>
              </w:rPr>
              <w:t>Deviation</w:t>
            </w:r>
          </w:p>
        </w:tc>
      </w:tr>
      <w:tr w14:paraId="70013B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8" w:hRule="atLeast"/>
        </w:trPr>
        <w:tc>
          <w:tcPr>
            <w:tcW w:w="4700" w:type="dxa"/>
          </w:tcPr>
          <w:p w14:paraId="0716B559">
            <w:pPr>
              <w:pStyle w:val="81"/>
              <w:spacing w:line="276" w:lineRule="auto"/>
              <w:ind w:left="110"/>
              <w:rPr>
                <w:rFonts w:asciiTheme="majorBidi" w:hAnsiTheme="majorBidi" w:cstheme="majorBidi"/>
                <w:sz w:val="24"/>
                <w:szCs w:val="24"/>
              </w:rPr>
            </w:pPr>
            <w:r>
              <w:rPr>
                <w:rFonts w:asciiTheme="majorBidi" w:hAnsiTheme="majorBidi" w:cstheme="majorBidi"/>
                <w:sz w:val="24"/>
                <w:szCs w:val="24"/>
              </w:rPr>
              <w:t>The</w:t>
            </w:r>
            <w:r>
              <w:rPr>
                <w:rFonts w:asciiTheme="majorBidi" w:hAnsiTheme="majorBidi" w:cstheme="majorBidi"/>
                <w:spacing w:val="-15"/>
                <w:sz w:val="24"/>
                <w:szCs w:val="24"/>
              </w:rPr>
              <w:t xml:space="preserve"> </w:t>
            </w:r>
            <w:r>
              <w:rPr>
                <w:rFonts w:asciiTheme="majorBidi" w:hAnsiTheme="majorBidi" w:cstheme="majorBidi"/>
                <w:sz w:val="24"/>
                <w:szCs w:val="24"/>
              </w:rPr>
              <w:t>ministry has a mobilization of political</w:t>
            </w:r>
            <w:r>
              <w:rPr>
                <w:rFonts w:asciiTheme="majorBidi" w:hAnsiTheme="majorBidi" w:cstheme="majorBidi"/>
                <w:spacing w:val="-15"/>
                <w:sz w:val="24"/>
                <w:szCs w:val="24"/>
              </w:rPr>
              <w:t xml:space="preserve"> </w:t>
            </w:r>
            <w:r>
              <w:rPr>
                <w:rFonts w:asciiTheme="majorBidi" w:hAnsiTheme="majorBidi" w:cstheme="majorBidi"/>
                <w:sz w:val="24"/>
                <w:szCs w:val="24"/>
              </w:rPr>
              <w:t>systems and allocating resources to ensure the PFMRM implementation</w:t>
            </w:r>
            <w:r>
              <w:rPr>
                <w:rFonts w:asciiTheme="majorBidi" w:hAnsiTheme="majorBidi" w:cstheme="majorBidi"/>
                <w:spacing w:val="-1"/>
                <w:sz w:val="24"/>
                <w:szCs w:val="24"/>
              </w:rPr>
              <w:t xml:space="preserve"> </w:t>
            </w:r>
            <w:r>
              <w:rPr>
                <w:rFonts w:asciiTheme="majorBidi" w:hAnsiTheme="majorBidi" w:cstheme="majorBidi"/>
                <w:sz w:val="24"/>
                <w:szCs w:val="24"/>
              </w:rPr>
              <w:t>in</w:t>
            </w:r>
            <w:r>
              <w:rPr>
                <w:rFonts w:asciiTheme="majorBidi" w:hAnsiTheme="majorBidi" w:cstheme="majorBidi"/>
                <w:spacing w:val="-5"/>
                <w:sz w:val="24"/>
                <w:szCs w:val="24"/>
              </w:rPr>
              <w:t xml:space="preserve"> the </w:t>
            </w:r>
            <w:r>
              <w:rPr>
                <w:rFonts w:asciiTheme="majorBidi" w:hAnsiTheme="majorBidi" w:cstheme="majorBidi"/>
                <w:sz w:val="24"/>
                <w:szCs w:val="24"/>
              </w:rPr>
              <w:t>Puntland state</w:t>
            </w:r>
            <w:r>
              <w:rPr>
                <w:rFonts w:asciiTheme="majorBidi" w:hAnsiTheme="majorBidi" w:cstheme="majorBidi"/>
                <w:spacing w:val="-7"/>
                <w:sz w:val="24"/>
                <w:szCs w:val="24"/>
              </w:rPr>
              <w:t xml:space="preserve"> </w:t>
            </w:r>
            <w:r>
              <w:rPr>
                <w:rFonts w:asciiTheme="majorBidi" w:hAnsiTheme="majorBidi" w:cstheme="majorBidi"/>
                <w:sz w:val="24"/>
                <w:szCs w:val="24"/>
              </w:rPr>
              <w:t>of</w:t>
            </w:r>
            <w:r>
              <w:rPr>
                <w:rFonts w:asciiTheme="majorBidi" w:hAnsiTheme="majorBidi" w:cstheme="majorBidi"/>
                <w:spacing w:val="-8"/>
                <w:sz w:val="24"/>
                <w:szCs w:val="24"/>
              </w:rPr>
              <w:t xml:space="preserve"> </w:t>
            </w:r>
            <w:r>
              <w:rPr>
                <w:rFonts w:asciiTheme="majorBidi" w:hAnsiTheme="majorBidi" w:cstheme="majorBidi"/>
                <w:spacing w:val="-2"/>
                <w:sz w:val="24"/>
                <w:szCs w:val="24"/>
              </w:rPr>
              <w:t>Somalia.</w:t>
            </w:r>
          </w:p>
        </w:tc>
        <w:tc>
          <w:tcPr>
            <w:tcW w:w="810" w:type="dxa"/>
          </w:tcPr>
          <w:p w14:paraId="0D37C5A4">
            <w:pPr>
              <w:pStyle w:val="81"/>
              <w:spacing w:line="276" w:lineRule="auto"/>
              <w:ind w:left="105"/>
              <w:rPr>
                <w:rFonts w:asciiTheme="majorBidi" w:hAnsiTheme="majorBidi" w:cstheme="majorBidi"/>
                <w:sz w:val="24"/>
                <w:szCs w:val="24"/>
              </w:rPr>
            </w:pPr>
            <w:r>
              <w:rPr>
                <w:rFonts w:asciiTheme="majorBidi" w:hAnsiTheme="majorBidi" w:cstheme="majorBidi"/>
                <w:spacing w:val="-5"/>
                <w:sz w:val="24"/>
                <w:szCs w:val="24"/>
              </w:rPr>
              <w:t>92</w:t>
            </w:r>
          </w:p>
        </w:tc>
        <w:tc>
          <w:tcPr>
            <w:tcW w:w="1440" w:type="dxa"/>
          </w:tcPr>
          <w:p w14:paraId="2FA5E1CC">
            <w:pPr>
              <w:spacing w:line="276" w:lineRule="auto"/>
              <w:ind w:firstLine="0"/>
              <w:jc w:val="left"/>
              <w:rPr>
                <w:rFonts w:asciiTheme="majorBidi" w:hAnsiTheme="majorBidi" w:cstheme="majorBidi"/>
                <w:color w:val="010205"/>
              </w:rPr>
            </w:pPr>
            <w:r>
              <w:rPr>
                <w:rFonts w:asciiTheme="majorBidi" w:hAnsiTheme="majorBidi" w:cstheme="majorBidi"/>
                <w:color w:val="010205"/>
              </w:rPr>
              <w:t>3.33</w:t>
            </w:r>
          </w:p>
          <w:p w14:paraId="09D411F3">
            <w:pPr>
              <w:pStyle w:val="81"/>
              <w:spacing w:line="276" w:lineRule="auto"/>
              <w:ind w:left="109"/>
              <w:rPr>
                <w:rFonts w:asciiTheme="majorBidi" w:hAnsiTheme="majorBidi" w:cstheme="majorBidi"/>
                <w:color w:val="000000"/>
                <w:sz w:val="24"/>
                <w:szCs w:val="24"/>
              </w:rPr>
            </w:pPr>
          </w:p>
          <w:p w14:paraId="27C14BA7">
            <w:pPr>
              <w:pStyle w:val="81"/>
              <w:spacing w:line="276" w:lineRule="auto"/>
              <w:ind w:left="109"/>
              <w:rPr>
                <w:rFonts w:asciiTheme="majorBidi" w:hAnsiTheme="majorBidi" w:cstheme="majorBidi"/>
                <w:color w:val="000000"/>
                <w:sz w:val="24"/>
                <w:szCs w:val="24"/>
              </w:rPr>
            </w:pPr>
          </w:p>
          <w:p w14:paraId="3D801E3C">
            <w:pPr>
              <w:pStyle w:val="81"/>
              <w:spacing w:line="276" w:lineRule="auto"/>
              <w:ind w:left="109"/>
              <w:rPr>
                <w:rFonts w:asciiTheme="majorBidi" w:hAnsiTheme="majorBidi" w:cstheme="majorBidi"/>
                <w:sz w:val="24"/>
                <w:szCs w:val="24"/>
              </w:rPr>
            </w:pPr>
          </w:p>
        </w:tc>
        <w:tc>
          <w:tcPr>
            <w:tcW w:w="1915" w:type="dxa"/>
          </w:tcPr>
          <w:p w14:paraId="7714B218">
            <w:pPr>
              <w:pStyle w:val="81"/>
              <w:spacing w:line="276" w:lineRule="auto"/>
              <w:ind w:left="0"/>
              <w:rPr>
                <w:rFonts w:asciiTheme="majorBidi" w:hAnsiTheme="majorBidi" w:cstheme="majorBidi"/>
                <w:sz w:val="24"/>
                <w:szCs w:val="24"/>
              </w:rPr>
            </w:pPr>
            <w:r>
              <w:rPr>
                <w:rFonts w:asciiTheme="majorBidi" w:hAnsiTheme="majorBidi" w:cstheme="majorBidi"/>
                <w:color w:val="010205"/>
                <w:sz w:val="24"/>
                <w:szCs w:val="24"/>
              </w:rPr>
              <w:t>3.33</w:t>
            </w:r>
          </w:p>
        </w:tc>
      </w:tr>
      <w:tr w14:paraId="2759E5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14" w:hRule="atLeast"/>
        </w:trPr>
        <w:tc>
          <w:tcPr>
            <w:tcW w:w="4700" w:type="dxa"/>
          </w:tcPr>
          <w:p w14:paraId="7A6015B0">
            <w:pPr>
              <w:pStyle w:val="81"/>
              <w:spacing w:line="276" w:lineRule="auto"/>
              <w:ind w:left="110" w:right="27"/>
              <w:rPr>
                <w:rFonts w:asciiTheme="majorBidi" w:hAnsiTheme="majorBidi" w:cstheme="majorBidi"/>
                <w:sz w:val="24"/>
                <w:szCs w:val="24"/>
              </w:rPr>
            </w:pPr>
            <w:r>
              <w:rPr>
                <w:rFonts w:asciiTheme="majorBidi" w:hAnsiTheme="majorBidi" w:cstheme="majorBidi"/>
                <w:sz w:val="24"/>
                <w:szCs w:val="24"/>
              </w:rPr>
              <w:t>The Ministry of Finance has clear targets, and practical, achievable goals which inspire</w:t>
            </w:r>
            <w:r>
              <w:rPr>
                <w:rFonts w:asciiTheme="majorBidi" w:hAnsiTheme="majorBidi" w:cstheme="majorBidi"/>
                <w:spacing w:val="54"/>
                <w:sz w:val="24"/>
                <w:szCs w:val="24"/>
              </w:rPr>
              <w:t xml:space="preserve"> </w:t>
            </w:r>
            <w:r>
              <w:rPr>
                <w:rFonts w:asciiTheme="majorBidi" w:hAnsiTheme="majorBidi" w:cstheme="majorBidi"/>
                <w:sz w:val="24"/>
                <w:szCs w:val="24"/>
              </w:rPr>
              <w:t>the</w:t>
            </w:r>
            <w:r>
              <w:rPr>
                <w:rFonts w:asciiTheme="majorBidi" w:hAnsiTheme="majorBidi" w:cstheme="majorBidi"/>
                <w:spacing w:val="54"/>
                <w:sz w:val="24"/>
                <w:szCs w:val="24"/>
              </w:rPr>
              <w:t xml:space="preserve"> </w:t>
            </w:r>
            <w:r>
              <w:rPr>
                <w:rFonts w:asciiTheme="majorBidi" w:hAnsiTheme="majorBidi" w:cstheme="majorBidi"/>
                <w:sz w:val="24"/>
                <w:szCs w:val="24"/>
              </w:rPr>
              <w:t>government</w:t>
            </w:r>
            <w:r>
              <w:rPr>
                <w:rFonts w:asciiTheme="majorBidi" w:hAnsiTheme="majorBidi" w:cstheme="majorBidi"/>
                <w:spacing w:val="59"/>
                <w:sz w:val="24"/>
                <w:szCs w:val="24"/>
              </w:rPr>
              <w:t xml:space="preserve"> </w:t>
            </w:r>
            <w:r>
              <w:rPr>
                <w:rFonts w:asciiTheme="majorBidi" w:hAnsiTheme="majorBidi" w:cstheme="majorBidi"/>
                <w:sz w:val="24"/>
                <w:szCs w:val="24"/>
              </w:rPr>
              <w:t>intuitions</w:t>
            </w:r>
            <w:r>
              <w:rPr>
                <w:rFonts w:asciiTheme="majorBidi" w:hAnsiTheme="majorBidi" w:cstheme="majorBidi"/>
                <w:spacing w:val="53"/>
                <w:sz w:val="24"/>
                <w:szCs w:val="24"/>
              </w:rPr>
              <w:t xml:space="preserve"> </w:t>
            </w:r>
            <w:r>
              <w:rPr>
                <w:rFonts w:asciiTheme="majorBidi" w:hAnsiTheme="majorBidi" w:cstheme="majorBidi"/>
                <w:sz w:val="24"/>
                <w:szCs w:val="24"/>
              </w:rPr>
              <w:t>to</w:t>
            </w:r>
            <w:r>
              <w:rPr>
                <w:rFonts w:asciiTheme="majorBidi" w:hAnsiTheme="majorBidi" w:cstheme="majorBidi"/>
                <w:spacing w:val="59"/>
                <w:sz w:val="24"/>
                <w:szCs w:val="24"/>
              </w:rPr>
              <w:t xml:space="preserve"> </w:t>
            </w:r>
            <w:r>
              <w:rPr>
                <w:rFonts w:asciiTheme="majorBidi" w:hAnsiTheme="majorBidi" w:cstheme="majorBidi"/>
                <w:spacing w:val="-2"/>
                <w:sz w:val="24"/>
                <w:szCs w:val="24"/>
              </w:rPr>
              <w:t>achieve</w:t>
            </w:r>
            <w:r>
              <w:rPr>
                <w:rFonts w:asciiTheme="majorBidi" w:hAnsiTheme="majorBidi" w:cstheme="majorBidi"/>
                <w:sz w:val="24"/>
                <w:szCs w:val="24"/>
              </w:rPr>
              <w:t xml:space="preserve"> successful</w:t>
            </w:r>
            <w:r>
              <w:rPr>
                <w:rFonts w:asciiTheme="majorBidi" w:hAnsiTheme="majorBidi" w:cstheme="majorBidi"/>
                <w:spacing w:val="-17"/>
                <w:sz w:val="24"/>
                <w:szCs w:val="24"/>
              </w:rPr>
              <w:t xml:space="preserve"> </w:t>
            </w:r>
            <w:r>
              <w:rPr>
                <w:rFonts w:asciiTheme="majorBidi" w:hAnsiTheme="majorBidi" w:cstheme="majorBidi"/>
                <w:sz w:val="24"/>
                <w:szCs w:val="24"/>
              </w:rPr>
              <w:t>PFMRM</w:t>
            </w:r>
            <w:r>
              <w:rPr>
                <w:rFonts w:asciiTheme="majorBidi" w:hAnsiTheme="majorBidi" w:cstheme="majorBidi"/>
                <w:spacing w:val="-3"/>
                <w:sz w:val="24"/>
                <w:szCs w:val="24"/>
              </w:rPr>
              <w:t xml:space="preserve"> </w:t>
            </w:r>
            <w:r>
              <w:rPr>
                <w:rFonts w:asciiTheme="majorBidi" w:hAnsiTheme="majorBidi" w:cstheme="majorBidi"/>
                <w:spacing w:val="-2"/>
                <w:sz w:val="24"/>
                <w:szCs w:val="24"/>
              </w:rPr>
              <w:t>implementation</w:t>
            </w:r>
          </w:p>
        </w:tc>
        <w:tc>
          <w:tcPr>
            <w:tcW w:w="810" w:type="dxa"/>
          </w:tcPr>
          <w:p w14:paraId="532D08A2">
            <w:pPr>
              <w:pStyle w:val="81"/>
              <w:spacing w:line="276" w:lineRule="auto"/>
              <w:ind w:left="105"/>
              <w:rPr>
                <w:rFonts w:asciiTheme="majorBidi" w:hAnsiTheme="majorBidi" w:cstheme="majorBidi"/>
                <w:sz w:val="24"/>
                <w:szCs w:val="24"/>
              </w:rPr>
            </w:pPr>
            <w:r>
              <w:rPr>
                <w:rFonts w:asciiTheme="majorBidi" w:hAnsiTheme="majorBidi" w:cstheme="majorBidi"/>
                <w:spacing w:val="-5"/>
                <w:sz w:val="24"/>
                <w:szCs w:val="24"/>
              </w:rPr>
              <w:t>92</w:t>
            </w:r>
          </w:p>
        </w:tc>
        <w:tc>
          <w:tcPr>
            <w:tcW w:w="1440" w:type="dxa"/>
            <w:vAlign w:val="center"/>
          </w:tcPr>
          <w:p w14:paraId="01B106E5">
            <w:pPr>
              <w:spacing w:line="276" w:lineRule="auto"/>
              <w:ind w:firstLine="0"/>
              <w:jc w:val="left"/>
              <w:rPr>
                <w:rFonts w:asciiTheme="majorBidi" w:hAnsiTheme="majorBidi" w:cstheme="majorBidi"/>
                <w:color w:val="010205"/>
                <w:lang w:val="en-US"/>
              </w:rPr>
            </w:pPr>
            <w:r>
              <w:rPr>
                <w:rFonts w:asciiTheme="majorBidi" w:hAnsiTheme="majorBidi" w:cstheme="majorBidi"/>
                <w:color w:val="010205"/>
              </w:rPr>
              <w:t>3.13</w:t>
            </w:r>
            <w:r>
              <w:rPr>
                <w:rFonts w:asciiTheme="majorBidi" w:hAnsiTheme="majorBidi" w:cstheme="majorBidi"/>
                <w:color w:val="010205"/>
                <w:lang w:val="en-US"/>
              </w:rPr>
              <w:t xml:space="preserve">     </w:t>
            </w:r>
          </w:p>
          <w:p w14:paraId="7F624313">
            <w:pPr>
              <w:spacing w:line="276" w:lineRule="auto"/>
              <w:rPr>
                <w:rFonts w:asciiTheme="majorBidi" w:hAnsiTheme="majorBidi" w:cstheme="majorBidi"/>
                <w:color w:val="010205"/>
                <w:lang w:val="en-US"/>
              </w:rPr>
            </w:pPr>
          </w:p>
          <w:p w14:paraId="77B41F78">
            <w:pPr>
              <w:spacing w:line="276" w:lineRule="auto"/>
              <w:rPr>
                <w:rFonts w:asciiTheme="majorBidi" w:hAnsiTheme="majorBidi" w:cstheme="majorBidi"/>
                <w:lang w:val="en-US"/>
              </w:rPr>
            </w:pPr>
          </w:p>
        </w:tc>
        <w:tc>
          <w:tcPr>
            <w:tcW w:w="1915" w:type="dxa"/>
          </w:tcPr>
          <w:p w14:paraId="54284131">
            <w:pPr>
              <w:pStyle w:val="81"/>
              <w:spacing w:line="276" w:lineRule="auto"/>
              <w:ind w:left="0"/>
              <w:rPr>
                <w:rFonts w:asciiTheme="majorBidi" w:hAnsiTheme="majorBidi" w:cstheme="majorBidi"/>
                <w:sz w:val="24"/>
                <w:szCs w:val="24"/>
              </w:rPr>
            </w:pPr>
            <w:r>
              <w:rPr>
                <w:rFonts w:asciiTheme="majorBidi" w:hAnsiTheme="majorBidi" w:cstheme="majorBidi"/>
                <w:color w:val="010205"/>
                <w:sz w:val="24"/>
                <w:szCs w:val="24"/>
              </w:rPr>
              <w:t>1.179</w:t>
            </w:r>
          </w:p>
        </w:tc>
      </w:tr>
      <w:tr w14:paraId="1BA8A5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3" w:hRule="atLeast"/>
        </w:trPr>
        <w:tc>
          <w:tcPr>
            <w:tcW w:w="4700" w:type="dxa"/>
          </w:tcPr>
          <w:p w14:paraId="3ECE936B">
            <w:pPr>
              <w:pStyle w:val="81"/>
              <w:spacing w:line="276" w:lineRule="auto"/>
              <w:ind w:left="110"/>
              <w:rPr>
                <w:rFonts w:asciiTheme="majorBidi" w:hAnsiTheme="majorBidi" w:cstheme="majorBidi"/>
                <w:sz w:val="24"/>
                <w:szCs w:val="24"/>
              </w:rPr>
            </w:pPr>
            <w:r>
              <w:rPr>
                <w:rFonts w:asciiTheme="majorBidi" w:hAnsiTheme="majorBidi" w:cstheme="majorBidi"/>
                <w:sz w:val="24"/>
                <w:szCs w:val="24"/>
              </w:rPr>
              <w:t>The Ministry of Finance has set up a fund for implementation</w:t>
            </w:r>
            <w:r>
              <w:rPr>
                <w:rFonts w:asciiTheme="majorBidi" w:hAnsiTheme="majorBidi" w:cstheme="majorBidi"/>
                <w:spacing w:val="-1"/>
                <w:sz w:val="24"/>
                <w:szCs w:val="24"/>
              </w:rPr>
              <w:t xml:space="preserve"> </w:t>
            </w:r>
            <w:r>
              <w:rPr>
                <w:rFonts w:asciiTheme="majorBidi" w:hAnsiTheme="majorBidi" w:cstheme="majorBidi"/>
                <w:sz w:val="24"/>
                <w:szCs w:val="24"/>
              </w:rPr>
              <w:t>in</w:t>
            </w:r>
            <w:r>
              <w:rPr>
                <w:rFonts w:asciiTheme="majorBidi" w:hAnsiTheme="majorBidi" w:cstheme="majorBidi"/>
                <w:spacing w:val="-5"/>
                <w:sz w:val="24"/>
                <w:szCs w:val="24"/>
              </w:rPr>
              <w:t xml:space="preserve"> the </w:t>
            </w:r>
            <w:r>
              <w:rPr>
                <w:rFonts w:asciiTheme="majorBidi" w:hAnsiTheme="majorBidi" w:cstheme="majorBidi"/>
                <w:sz w:val="24"/>
                <w:szCs w:val="24"/>
              </w:rPr>
              <w:t>Puntland</w:t>
            </w:r>
            <w:r>
              <w:rPr>
                <w:rFonts w:asciiTheme="majorBidi" w:hAnsiTheme="majorBidi" w:cstheme="majorBidi"/>
                <w:spacing w:val="3"/>
                <w:sz w:val="24"/>
                <w:szCs w:val="24"/>
              </w:rPr>
              <w:t xml:space="preserve"> </w:t>
            </w:r>
            <w:r>
              <w:rPr>
                <w:rFonts w:asciiTheme="majorBidi" w:hAnsiTheme="majorBidi" w:cstheme="majorBidi"/>
                <w:sz w:val="24"/>
                <w:szCs w:val="24"/>
              </w:rPr>
              <w:t>state</w:t>
            </w:r>
            <w:r>
              <w:rPr>
                <w:rFonts w:asciiTheme="majorBidi" w:hAnsiTheme="majorBidi" w:cstheme="majorBidi"/>
                <w:spacing w:val="-6"/>
                <w:sz w:val="24"/>
                <w:szCs w:val="24"/>
              </w:rPr>
              <w:t xml:space="preserve"> </w:t>
            </w:r>
            <w:r>
              <w:rPr>
                <w:rFonts w:asciiTheme="majorBidi" w:hAnsiTheme="majorBidi" w:cstheme="majorBidi"/>
                <w:sz w:val="24"/>
                <w:szCs w:val="24"/>
              </w:rPr>
              <w:t>of</w:t>
            </w:r>
            <w:r>
              <w:rPr>
                <w:rFonts w:asciiTheme="majorBidi" w:hAnsiTheme="majorBidi" w:cstheme="majorBidi"/>
                <w:spacing w:val="-8"/>
                <w:sz w:val="24"/>
                <w:szCs w:val="24"/>
              </w:rPr>
              <w:t xml:space="preserve"> </w:t>
            </w:r>
            <w:r>
              <w:rPr>
                <w:rFonts w:asciiTheme="majorBidi" w:hAnsiTheme="majorBidi" w:cstheme="majorBidi"/>
                <w:sz w:val="24"/>
                <w:szCs w:val="24"/>
              </w:rPr>
              <w:t>Somalia</w:t>
            </w:r>
          </w:p>
        </w:tc>
        <w:tc>
          <w:tcPr>
            <w:tcW w:w="810" w:type="dxa"/>
          </w:tcPr>
          <w:p w14:paraId="15FA45F7">
            <w:pPr>
              <w:pStyle w:val="81"/>
              <w:spacing w:line="276" w:lineRule="auto"/>
              <w:ind w:left="105"/>
              <w:rPr>
                <w:rFonts w:asciiTheme="majorBidi" w:hAnsiTheme="majorBidi" w:cstheme="majorBidi"/>
                <w:sz w:val="24"/>
                <w:szCs w:val="24"/>
              </w:rPr>
            </w:pPr>
            <w:r>
              <w:rPr>
                <w:rFonts w:asciiTheme="majorBidi" w:hAnsiTheme="majorBidi" w:cstheme="majorBidi"/>
                <w:spacing w:val="-5"/>
                <w:sz w:val="24"/>
                <w:szCs w:val="24"/>
              </w:rPr>
              <w:t>92</w:t>
            </w:r>
          </w:p>
        </w:tc>
        <w:tc>
          <w:tcPr>
            <w:tcW w:w="1440" w:type="dxa"/>
          </w:tcPr>
          <w:p w14:paraId="3D5AE341">
            <w:pPr>
              <w:spacing w:line="276" w:lineRule="auto"/>
              <w:jc w:val="left"/>
              <w:rPr>
                <w:rFonts w:asciiTheme="majorBidi" w:hAnsiTheme="majorBidi" w:cstheme="majorBidi"/>
                <w:color w:val="010205"/>
              </w:rPr>
            </w:pPr>
            <w:r>
              <w:rPr>
                <w:rFonts w:asciiTheme="majorBidi" w:hAnsiTheme="majorBidi" w:cstheme="majorBidi"/>
                <w:color w:val="010205"/>
              </w:rPr>
              <w:t>2.65</w:t>
            </w:r>
          </w:p>
          <w:p w14:paraId="62CD1C3D">
            <w:pPr>
              <w:pStyle w:val="81"/>
              <w:spacing w:line="276" w:lineRule="auto"/>
              <w:ind w:left="109"/>
              <w:rPr>
                <w:rFonts w:asciiTheme="majorBidi" w:hAnsiTheme="majorBidi" w:cstheme="majorBidi"/>
                <w:sz w:val="24"/>
                <w:szCs w:val="24"/>
              </w:rPr>
            </w:pPr>
          </w:p>
        </w:tc>
        <w:tc>
          <w:tcPr>
            <w:tcW w:w="1915" w:type="dxa"/>
          </w:tcPr>
          <w:p w14:paraId="71C13204">
            <w:pPr>
              <w:pStyle w:val="81"/>
              <w:spacing w:line="276" w:lineRule="auto"/>
              <w:ind w:left="109"/>
              <w:rPr>
                <w:rFonts w:asciiTheme="majorBidi" w:hAnsiTheme="majorBidi" w:cstheme="majorBidi"/>
                <w:sz w:val="24"/>
                <w:szCs w:val="24"/>
              </w:rPr>
            </w:pPr>
            <w:r>
              <w:rPr>
                <w:rFonts w:asciiTheme="majorBidi" w:hAnsiTheme="majorBidi" w:cstheme="majorBidi"/>
                <w:color w:val="010205"/>
                <w:sz w:val="24"/>
                <w:szCs w:val="24"/>
              </w:rPr>
              <w:t>1.084</w:t>
            </w:r>
          </w:p>
        </w:tc>
      </w:tr>
      <w:tr w14:paraId="60F892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4700" w:type="dxa"/>
          </w:tcPr>
          <w:p w14:paraId="2FEEC940">
            <w:pPr>
              <w:pStyle w:val="81"/>
              <w:spacing w:before="141" w:line="276" w:lineRule="auto"/>
              <w:ind w:left="110"/>
              <w:rPr>
                <w:rFonts w:asciiTheme="majorBidi" w:hAnsiTheme="majorBidi" w:cstheme="majorBidi"/>
                <w:sz w:val="24"/>
                <w:szCs w:val="24"/>
              </w:rPr>
            </w:pPr>
            <w:r>
              <w:rPr>
                <w:rFonts w:asciiTheme="majorBidi" w:hAnsiTheme="majorBidi" w:cstheme="majorBidi"/>
                <w:sz w:val="24"/>
                <w:szCs w:val="24"/>
              </w:rPr>
              <w:t>The ministry leadership could</w:t>
            </w:r>
            <w:r>
              <w:rPr>
                <w:rFonts w:asciiTheme="majorBidi" w:hAnsiTheme="majorBidi" w:cstheme="majorBidi"/>
                <w:spacing w:val="-14"/>
                <w:sz w:val="24"/>
                <w:szCs w:val="24"/>
              </w:rPr>
              <w:t xml:space="preserve"> affect</w:t>
            </w:r>
            <w:r>
              <w:rPr>
                <w:rFonts w:asciiTheme="majorBidi" w:hAnsiTheme="majorBidi" w:cstheme="majorBidi"/>
                <w:spacing w:val="-15"/>
                <w:sz w:val="24"/>
                <w:szCs w:val="24"/>
              </w:rPr>
              <w:t xml:space="preserve"> </w:t>
            </w:r>
            <w:r>
              <w:rPr>
                <w:rFonts w:asciiTheme="majorBidi" w:hAnsiTheme="majorBidi" w:cstheme="majorBidi"/>
                <w:sz w:val="24"/>
                <w:szCs w:val="24"/>
              </w:rPr>
              <w:t>or change</w:t>
            </w:r>
            <w:r>
              <w:rPr>
                <w:rFonts w:asciiTheme="majorBidi" w:hAnsiTheme="majorBidi" w:cstheme="majorBidi"/>
                <w:spacing w:val="-6"/>
                <w:sz w:val="24"/>
                <w:szCs w:val="24"/>
              </w:rPr>
              <w:t xml:space="preserve"> </w:t>
            </w:r>
            <w:r>
              <w:rPr>
                <w:rFonts w:asciiTheme="majorBidi" w:hAnsiTheme="majorBidi" w:cstheme="majorBidi"/>
                <w:sz w:val="24"/>
                <w:szCs w:val="24"/>
              </w:rPr>
              <w:t>the</w:t>
            </w:r>
            <w:r>
              <w:rPr>
                <w:rFonts w:asciiTheme="majorBidi" w:hAnsiTheme="majorBidi" w:cstheme="majorBidi"/>
                <w:spacing w:val="-5"/>
                <w:sz w:val="24"/>
                <w:szCs w:val="24"/>
              </w:rPr>
              <w:t xml:space="preserve"> </w:t>
            </w:r>
            <w:r>
              <w:rPr>
                <w:rFonts w:asciiTheme="majorBidi" w:hAnsiTheme="majorBidi" w:cstheme="majorBidi"/>
                <w:sz w:val="24"/>
                <w:szCs w:val="24"/>
              </w:rPr>
              <w:t>values,</w:t>
            </w:r>
            <w:r>
              <w:rPr>
                <w:rFonts w:asciiTheme="majorBidi" w:hAnsiTheme="majorBidi" w:cstheme="majorBidi"/>
                <w:spacing w:val="-3"/>
                <w:sz w:val="24"/>
                <w:szCs w:val="24"/>
              </w:rPr>
              <w:t xml:space="preserve"> </w:t>
            </w:r>
            <w:r>
              <w:rPr>
                <w:rFonts w:asciiTheme="majorBidi" w:hAnsiTheme="majorBidi" w:cstheme="majorBidi"/>
                <w:sz w:val="24"/>
                <w:szCs w:val="24"/>
              </w:rPr>
              <w:t>beliefs,</w:t>
            </w:r>
            <w:r>
              <w:rPr>
                <w:rFonts w:asciiTheme="majorBidi" w:hAnsiTheme="majorBidi" w:cstheme="majorBidi"/>
                <w:spacing w:val="2"/>
                <w:sz w:val="24"/>
                <w:szCs w:val="24"/>
              </w:rPr>
              <w:t xml:space="preserve"> </w:t>
            </w:r>
            <w:r>
              <w:rPr>
                <w:rFonts w:asciiTheme="majorBidi" w:hAnsiTheme="majorBidi" w:cstheme="majorBidi"/>
                <w:sz w:val="24"/>
                <w:szCs w:val="24"/>
              </w:rPr>
              <w:t>behaviors,</w:t>
            </w:r>
            <w:r>
              <w:rPr>
                <w:rFonts w:asciiTheme="majorBidi" w:hAnsiTheme="majorBidi" w:cstheme="majorBidi"/>
                <w:spacing w:val="-7"/>
                <w:sz w:val="24"/>
                <w:szCs w:val="24"/>
              </w:rPr>
              <w:t xml:space="preserve"> </w:t>
            </w:r>
            <w:r>
              <w:rPr>
                <w:rFonts w:asciiTheme="majorBidi" w:hAnsiTheme="majorBidi" w:cstheme="majorBidi"/>
                <w:sz w:val="24"/>
                <w:szCs w:val="24"/>
              </w:rPr>
              <w:t>and</w:t>
            </w:r>
            <w:r>
              <w:rPr>
                <w:rFonts w:asciiTheme="majorBidi" w:hAnsiTheme="majorBidi" w:cstheme="majorBidi"/>
                <w:spacing w:val="-4"/>
                <w:sz w:val="24"/>
                <w:szCs w:val="24"/>
              </w:rPr>
              <w:t xml:space="preserve"> </w:t>
            </w:r>
            <w:r>
              <w:rPr>
                <w:rFonts w:asciiTheme="majorBidi" w:hAnsiTheme="majorBidi" w:cstheme="majorBidi"/>
                <w:spacing w:val="-2"/>
                <w:sz w:val="24"/>
                <w:szCs w:val="24"/>
              </w:rPr>
              <w:t>attitudes</w:t>
            </w:r>
            <w:r>
              <w:rPr>
                <w:rFonts w:asciiTheme="majorBidi" w:hAnsiTheme="majorBidi" w:cstheme="majorBidi"/>
                <w:sz w:val="24"/>
                <w:szCs w:val="24"/>
              </w:rPr>
              <w:t xml:space="preserve"> of</w:t>
            </w:r>
            <w:r>
              <w:rPr>
                <w:rFonts w:asciiTheme="majorBidi" w:hAnsiTheme="majorBidi" w:cstheme="majorBidi"/>
                <w:spacing w:val="-5"/>
                <w:sz w:val="24"/>
                <w:szCs w:val="24"/>
              </w:rPr>
              <w:t xml:space="preserve"> </w:t>
            </w:r>
            <w:r>
              <w:rPr>
                <w:rFonts w:asciiTheme="majorBidi" w:hAnsiTheme="majorBidi" w:cstheme="majorBidi"/>
                <w:sz w:val="24"/>
                <w:szCs w:val="24"/>
              </w:rPr>
              <w:t>the</w:t>
            </w:r>
            <w:r>
              <w:rPr>
                <w:rFonts w:asciiTheme="majorBidi" w:hAnsiTheme="majorBidi" w:cstheme="majorBidi"/>
                <w:spacing w:val="4"/>
                <w:sz w:val="24"/>
                <w:szCs w:val="24"/>
              </w:rPr>
              <w:t xml:space="preserve"> </w:t>
            </w:r>
            <w:r>
              <w:rPr>
                <w:rFonts w:asciiTheme="majorBidi" w:hAnsiTheme="majorBidi" w:cstheme="majorBidi"/>
                <w:spacing w:val="-2"/>
                <w:sz w:val="24"/>
                <w:szCs w:val="24"/>
              </w:rPr>
              <w:t>employee</w:t>
            </w:r>
          </w:p>
        </w:tc>
        <w:tc>
          <w:tcPr>
            <w:tcW w:w="810" w:type="dxa"/>
          </w:tcPr>
          <w:p w14:paraId="76AB732A">
            <w:pPr>
              <w:pStyle w:val="81"/>
              <w:spacing w:line="276" w:lineRule="auto"/>
              <w:ind w:left="105"/>
              <w:rPr>
                <w:rFonts w:asciiTheme="majorBidi" w:hAnsiTheme="majorBidi" w:cstheme="majorBidi"/>
                <w:sz w:val="24"/>
                <w:szCs w:val="24"/>
              </w:rPr>
            </w:pPr>
            <w:r>
              <w:rPr>
                <w:rFonts w:asciiTheme="majorBidi" w:hAnsiTheme="majorBidi" w:cstheme="majorBidi"/>
                <w:spacing w:val="-5"/>
                <w:sz w:val="24"/>
                <w:szCs w:val="24"/>
              </w:rPr>
              <w:t>92</w:t>
            </w:r>
          </w:p>
        </w:tc>
        <w:tc>
          <w:tcPr>
            <w:tcW w:w="1440" w:type="dxa"/>
          </w:tcPr>
          <w:p w14:paraId="2A6E0713">
            <w:pPr>
              <w:spacing w:line="276" w:lineRule="auto"/>
              <w:jc w:val="left"/>
              <w:rPr>
                <w:rFonts w:asciiTheme="majorBidi" w:hAnsiTheme="majorBidi" w:cstheme="majorBidi"/>
                <w:color w:val="010205"/>
              </w:rPr>
            </w:pPr>
            <w:r>
              <w:rPr>
                <w:rFonts w:asciiTheme="majorBidi" w:hAnsiTheme="majorBidi" w:cstheme="majorBidi"/>
                <w:color w:val="010205"/>
              </w:rPr>
              <w:t>3.27</w:t>
            </w:r>
          </w:p>
          <w:p w14:paraId="5A121E45">
            <w:pPr>
              <w:pStyle w:val="81"/>
              <w:spacing w:line="276" w:lineRule="auto"/>
              <w:ind w:left="0"/>
              <w:rPr>
                <w:rFonts w:asciiTheme="majorBidi" w:hAnsiTheme="majorBidi" w:cstheme="majorBidi"/>
                <w:sz w:val="24"/>
                <w:szCs w:val="24"/>
              </w:rPr>
            </w:pPr>
          </w:p>
        </w:tc>
        <w:tc>
          <w:tcPr>
            <w:tcW w:w="1915" w:type="dxa"/>
          </w:tcPr>
          <w:p w14:paraId="04202A04">
            <w:pPr>
              <w:pStyle w:val="81"/>
              <w:spacing w:line="276" w:lineRule="auto"/>
              <w:ind w:left="109"/>
              <w:rPr>
                <w:rFonts w:asciiTheme="majorBidi" w:hAnsiTheme="majorBidi" w:cstheme="majorBidi"/>
                <w:sz w:val="24"/>
                <w:szCs w:val="24"/>
              </w:rPr>
            </w:pPr>
            <w:r>
              <w:rPr>
                <w:rFonts w:asciiTheme="majorBidi" w:hAnsiTheme="majorBidi" w:cstheme="majorBidi"/>
                <w:color w:val="010205"/>
                <w:sz w:val="24"/>
                <w:szCs w:val="24"/>
              </w:rPr>
              <w:t>1.223</w:t>
            </w:r>
          </w:p>
        </w:tc>
      </w:tr>
    </w:tbl>
    <w:p w14:paraId="3B2B4B26">
      <w:pPr>
        <w:pStyle w:val="14"/>
        <w:spacing w:line="276" w:lineRule="auto"/>
        <w:jc w:val="center"/>
        <w:rPr>
          <w:rFonts w:asciiTheme="majorBidi" w:hAnsiTheme="majorBidi" w:cstheme="majorBidi"/>
          <w:b/>
          <w:bCs/>
          <w:i/>
          <w:iCs/>
          <w:spacing w:val="-2"/>
        </w:rPr>
      </w:pPr>
      <w:r>
        <w:rPr>
          <w:rFonts w:asciiTheme="majorBidi" w:hAnsiTheme="majorBidi" w:cstheme="majorBidi"/>
          <w:b/>
          <w:bCs/>
          <w:i/>
          <w:iCs/>
        </w:rPr>
        <w:t>Source:</w:t>
      </w:r>
      <w:r>
        <w:rPr>
          <w:rFonts w:asciiTheme="majorBidi" w:hAnsiTheme="majorBidi" w:cstheme="majorBidi"/>
          <w:b/>
          <w:bCs/>
          <w:i/>
          <w:iCs/>
          <w:spacing w:val="-5"/>
        </w:rPr>
        <w:t xml:space="preserve"> </w:t>
      </w:r>
      <w:r>
        <w:rPr>
          <w:rFonts w:asciiTheme="majorBidi" w:hAnsiTheme="majorBidi" w:cstheme="majorBidi"/>
          <w:b/>
          <w:bCs/>
          <w:i/>
          <w:iCs/>
        </w:rPr>
        <w:t>Own</w:t>
      </w:r>
      <w:r>
        <w:rPr>
          <w:rFonts w:asciiTheme="majorBidi" w:hAnsiTheme="majorBidi" w:cstheme="majorBidi"/>
          <w:b/>
          <w:bCs/>
          <w:i/>
          <w:iCs/>
          <w:spacing w:val="-9"/>
        </w:rPr>
        <w:t xml:space="preserve"> </w:t>
      </w:r>
      <w:r>
        <w:rPr>
          <w:rFonts w:asciiTheme="majorBidi" w:hAnsiTheme="majorBidi" w:cstheme="majorBidi"/>
          <w:b/>
          <w:bCs/>
          <w:i/>
          <w:iCs/>
        </w:rPr>
        <w:t>survey</w:t>
      </w:r>
      <w:r>
        <w:rPr>
          <w:rFonts w:asciiTheme="majorBidi" w:hAnsiTheme="majorBidi" w:cstheme="majorBidi"/>
          <w:b/>
          <w:bCs/>
          <w:i/>
          <w:iCs/>
          <w:spacing w:val="-9"/>
        </w:rPr>
        <w:t xml:space="preserve"> </w:t>
      </w:r>
      <w:r>
        <w:rPr>
          <w:rFonts w:asciiTheme="majorBidi" w:hAnsiTheme="majorBidi" w:cstheme="majorBidi"/>
          <w:b/>
          <w:bCs/>
          <w:i/>
          <w:iCs/>
          <w:spacing w:val="-2"/>
        </w:rPr>
        <w:t>2023(SPSS).</w:t>
      </w:r>
    </w:p>
    <w:p w14:paraId="06EED1D7">
      <w:pPr>
        <w:autoSpaceDE w:val="0"/>
        <w:autoSpaceDN w:val="0"/>
        <w:adjustRightInd w:val="0"/>
        <w:spacing w:after="0" w:line="276" w:lineRule="auto"/>
        <w:ind w:firstLine="0"/>
        <w:jc w:val="left"/>
        <w:rPr>
          <w:rFonts w:asciiTheme="majorBidi" w:hAnsiTheme="majorBidi" w:cstheme="majorBidi"/>
        </w:rPr>
      </w:pPr>
    </w:p>
    <w:p w14:paraId="12F4E133">
      <w:pPr>
        <w:spacing w:line="276" w:lineRule="auto"/>
        <w:rPr>
          <w:rFonts w:asciiTheme="majorBidi" w:hAnsiTheme="majorBidi" w:cstheme="majorBidi"/>
          <w:lang w:val="en-US"/>
        </w:rPr>
      </w:pPr>
      <w:r>
        <w:rPr>
          <w:rFonts w:asciiTheme="majorBidi" w:hAnsiTheme="majorBidi" w:cstheme="majorBidi"/>
        </w:rPr>
        <w:t xml:space="preserve">According to the findings of the study, Item number 1 of </w:t>
      </w:r>
      <w:r>
        <w:rPr>
          <w:rFonts w:asciiTheme="majorBidi" w:hAnsiTheme="majorBidi" w:cstheme="majorBidi"/>
          <w:lang w:val="en-US"/>
        </w:rPr>
        <w:t xml:space="preserve"> </w:t>
      </w:r>
      <w:r>
        <w:rPr>
          <w:rFonts w:asciiTheme="majorBidi" w:hAnsiTheme="majorBidi" w:cstheme="majorBidi"/>
        </w:rPr>
        <w:t>The</w:t>
      </w:r>
      <w:r>
        <w:rPr>
          <w:rFonts w:asciiTheme="majorBidi" w:hAnsiTheme="majorBidi" w:cstheme="majorBidi"/>
          <w:lang w:val="en-US"/>
        </w:rPr>
        <w:t xml:space="preserve"> </w:t>
      </w:r>
      <w:r>
        <w:rPr>
          <w:rFonts w:asciiTheme="majorBidi" w:hAnsiTheme="majorBidi" w:cstheme="majorBidi"/>
        </w:rPr>
        <w:t>respondents rated</w:t>
      </w:r>
      <w:r>
        <w:rPr>
          <w:rFonts w:asciiTheme="majorBidi" w:hAnsiTheme="majorBidi" w:cstheme="majorBidi"/>
          <w:lang w:val="en-US"/>
        </w:rPr>
        <w:t xml:space="preserve"> </w:t>
      </w:r>
      <w:r>
        <w:rPr>
          <w:rFonts w:asciiTheme="majorBidi" w:hAnsiTheme="majorBidi" w:cstheme="majorBidi"/>
        </w:rPr>
        <w:t xml:space="preserve">as agree (mean = </w:t>
      </w:r>
      <w:r>
        <w:rPr>
          <w:rFonts w:asciiTheme="majorBidi" w:hAnsiTheme="majorBidi" w:cstheme="majorBidi"/>
          <w:color w:val="000000"/>
        </w:rPr>
        <w:t>3.33</w:t>
      </w:r>
      <w:r>
        <w:rPr>
          <w:rFonts w:asciiTheme="majorBidi" w:hAnsiTheme="majorBidi" w:cstheme="majorBidi"/>
        </w:rPr>
        <w:t>; Standard deviation=</w:t>
      </w:r>
      <w:r>
        <w:rPr>
          <w:rFonts w:asciiTheme="majorBidi" w:hAnsiTheme="majorBidi" w:cstheme="majorBidi"/>
          <w:color w:val="000000"/>
          <w:lang w:val="en-US"/>
        </w:rPr>
        <w:t>3.33</w:t>
      </w:r>
      <w:r>
        <w:rPr>
          <w:rFonts w:asciiTheme="majorBidi" w:hAnsiTheme="majorBidi" w:cstheme="majorBidi"/>
        </w:rPr>
        <w:t>) that the ministry has a mobilization of</w:t>
      </w:r>
      <w:r>
        <w:rPr>
          <w:rFonts w:asciiTheme="majorBidi" w:hAnsiTheme="majorBidi" w:cstheme="majorBidi"/>
          <w:lang w:val="en-US"/>
        </w:rPr>
        <w:t xml:space="preserve"> </w:t>
      </w:r>
      <w:r>
        <w:rPr>
          <w:rFonts w:asciiTheme="majorBidi" w:hAnsiTheme="majorBidi" w:cstheme="majorBidi"/>
        </w:rPr>
        <w:t>political systems and allocating resources to ensure the PFM Reform implementation in</w:t>
      </w:r>
      <w:r>
        <w:rPr>
          <w:rFonts w:asciiTheme="majorBidi" w:hAnsiTheme="majorBidi" w:cstheme="majorBidi"/>
          <w:lang w:val="en-US"/>
        </w:rPr>
        <w:t xml:space="preserve"> </w:t>
      </w:r>
      <w:r>
        <w:rPr>
          <w:rFonts w:asciiTheme="majorBidi" w:hAnsiTheme="majorBidi" w:cstheme="majorBidi"/>
        </w:rPr>
        <w:t>Puntland</w:t>
      </w:r>
      <w:r>
        <w:rPr>
          <w:rFonts w:asciiTheme="majorBidi" w:hAnsiTheme="majorBidi" w:cstheme="majorBidi"/>
          <w:lang w:val="en-US"/>
        </w:rPr>
        <w:t xml:space="preserve"> </w:t>
      </w:r>
      <w:r>
        <w:rPr>
          <w:rFonts w:asciiTheme="majorBidi" w:hAnsiTheme="majorBidi" w:cstheme="majorBidi"/>
        </w:rPr>
        <w:t xml:space="preserve"> state.</w:t>
      </w:r>
      <w:r>
        <w:rPr>
          <w:rFonts w:asciiTheme="majorBidi" w:hAnsiTheme="majorBidi" w:cstheme="majorBidi"/>
          <w:lang w:val="en-US"/>
        </w:rPr>
        <w:t xml:space="preserve"> </w:t>
      </w:r>
    </w:p>
    <w:p w14:paraId="57702EED">
      <w:pPr>
        <w:spacing w:line="276" w:lineRule="auto"/>
        <w:rPr>
          <w:rFonts w:asciiTheme="majorBidi" w:hAnsiTheme="majorBidi" w:cstheme="majorBidi"/>
        </w:rPr>
      </w:pPr>
      <w:r>
        <w:rPr>
          <w:rFonts w:asciiTheme="majorBidi" w:hAnsiTheme="majorBidi" w:cstheme="majorBidi"/>
        </w:rPr>
        <w:t>The findings of the study, Item number 2 established that the respondents</w:t>
      </w:r>
      <w:r>
        <w:rPr>
          <w:rFonts w:asciiTheme="majorBidi" w:hAnsiTheme="majorBidi" w:cstheme="majorBidi"/>
          <w:lang w:val="en-US"/>
        </w:rPr>
        <w:t xml:space="preserve"> </w:t>
      </w:r>
      <w:r>
        <w:rPr>
          <w:rFonts w:asciiTheme="majorBidi" w:hAnsiTheme="majorBidi" w:cstheme="majorBidi"/>
        </w:rPr>
        <w:t xml:space="preserve">rated as agree (mean = </w:t>
      </w:r>
      <w:r>
        <w:rPr>
          <w:rFonts w:asciiTheme="majorBidi" w:hAnsiTheme="majorBidi" w:cstheme="majorBidi"/>
          <w:color w:val="000000"/>
        </w:rPr>
        <w:t>3.13</w:t>
      </w:r>
      <w:r>
        <w:rPr>
          <w:rFonts w:asciiTheme="majorBidi" w:hAnsiTheme="majorBidi" w:cstheme="majorBidi"/>
        </w:rPr>
        <w:t>; Standard deviation =</w:t>
      </w:r>
      <w:r>
        <w:rPr>
          <w:rFonts w:asciiTheme="majorBidi" w:hAnsiTheme="majorBidi" w:cstheme="majorBidi"/>
          <w:color w:val="000000"/>
        </w:rPr>
        <w:t>1.179</w:t>
      </w:r>
      <w:r>
        <w:rPr>
          <w:rFonts w:asciiTheme="majorBidi" w:hAnsiTheme="majorBidi" w:cstheme="majorBidi"/>
        </w:rPr>
        <w:t>) that The Ministry of Finance has</w:t>
      </w:r>
      <w:r>
        <w:rPr>
          <w:rFonts w:asciiTheme="majorBidi" w:hAnsiTheme="majorBidi" w:cstheme="majorBidi"/>
          <w:lang w:val="en-US"/>
        </w:rPr>
        <w:t xml:space="preserve"> </w:t>
      </w:r>
      <w:r>
        <w:rPr>
          <w:rFonts w:asciiTheme="majorBidi" w:hAnsiTheme="majorBidi" w:cstheme="majorBidi"/>
        </w:rPr>
        <w:t>clear targets, practical, achievable goals which inspiring the government</w:t>
      </w:r>
      <w:r>
        <w:rPr>
          <w:rFonts w:asciiTheme="majorBidi" w:hAnsiTheme="majorBidi" w:cstheme="majorBidi"/>
          <w:lang w:val="en-US"/>
        </w:rPr>
        <w:t xml:space="preserve"> </w:t>
      </w:r>
      <w:r>
        <w:rPr>
          <w:rFonts w:asciiTheme="majorBidi" w:hAnsiTheme="majorBidi" w:cstheme="majorBidi"/>
        </w:rPr>
        <w:t>institutions to</w:t>
      </w:r>
      <w:r>
        <w:rPr>
          <w:rFonts w:asciiTheme="majorBidi" w:hAnsiTheme="majorBidi" w:cstheme="majorBidi"/>
          <w:lang w:val="en-US"/>
        </w:rPr>
        <w:t xml:space="preserve"> </w:t>
      </w:r>
      <w:r>
        <w:rPr>
          <w:rFonts w:asciiTheme="majorBidi" w:hAnsiTheme="majorBidi" w:cstheme="majorBidi"/>
        </w:rPr>
        <w:t xml:space="preserve">achieve successful PFM Reform implementation.Item number </w:t>
      </w:r>
      <w:r>
        <w:rPr>
          <w:rFonts w:asciiTheme="majorBidi" w:hAnsiTheme="majorBidi" w:cstheme="majorBidi"/>
          <w:lang w:val="en-US"/>
        </w:rPr>
        <w:t xml:space="preserve">3 </w:t>
      </w:r>
      <w:r>
        <w:rPr>
          <w:rFonts w:asciiTheme="majorBidi" w:hAnsiTheme="majorBidi" w:cstheme="majorBidi"/>
        </w:rPr>
        <w:t xml:space="preserve">also indicated agree (mean = </w:t>
      </w:r>
      <w:r>
        <w:rPr>
          <w:rFonts w:asciiTheme="majorBidi" w:hAnsiTheme="majorBidi" w:cstheme="majorBidi"/>
          <w:color w:val="010205"/>
        </w:rPr>
        <w:t>3.27</w:t>
      </w:r>
      <w:r>
        <w:rPr>
          <w:rFonts w:asciiTheme="majorBidi" w:hAnsiTheme="majorBidi" w:cstheme="majorBidi"/>
        </w:rPr>
        <w:t>; Standard deviation =</w:t>
      </w:r>
      <w:r>
        <w:rPr>
          <w:rFonts w:asciiTheme="majorBidi" w:hAnsiTheme="majorBidi" w:cstheme="majorBidi"/>
          <w:lang w:val="en-US"/>
        </w:rPr>
        <w:t xml:space="preserve"> </w:t>
      </w:r>
      <w:r>
        <w:rPr>
          <w:rFonts w:asciiTheme="majorBidi" w:hAnsiTheme="majorBidi" w:cstheme="majorBidi"/>
          <w:color w:val="000000"/>
        </w:rPr>
        <w:t>1.223</w:t>
      </w:r>
      <w:r>
        <w:rPr>
          <w:rFonts w:asciiTheme="majorBidi" w:hAnsiTheme="majorBidi" w:cstheme="majorBidi"/>
        </w:rPr>
        <w:t>)</w:t>
      </w:r>
      <w:r>
        <w:rPr>
          <w:rFonts w:asciiTheme="majorBidi" w:hAnsiTheme="majorBidi" w:cstheme="majorBidi"/>
          <w:lang w:val="en-US"/>
        </w:rPr>
        <w:t xml:space="preserve"> </w:t>
      </w:r>
      <w:r>
        <w:rPr>
          <w:rFonts w:asciiTheme="majorBidi" w:hAnsiTheme="majorBidi" w:cstheme="majorBidi"/>
        </w:rPr>
        <w:t xml:space="preserve">that The Ministry of Finance has set up fund for PFM Reform implementation in Puntland state. </w:t>
      </w:r>
    </w:p>
    <w:p w14:paraId="05C52C4B">
      <w:pPr>
        <w:spacing w:after="0" w:line="276" w:lineRule="auto"/>
        <w:ind w:firstLine="144"/>
        <w:rPr>
          <w:rFonts w:asciiTheme="majorBidi" w:hAnsiTheme="majorBidi" w:cstheme="majorBidi"/>
          <w:lang w:val="en-US"/>
        </w:rPr>
      </w:pPr>
      <w:r>
        <w:rPr>
          <w:rFonts w:asciiTheme="majorBidi" w:hAnsiTheme="majorBidi" w:cstheme="majorBidi"/>
        </w:rPr>
        <w:t>Item number</w:t>
      </w:r>
      <w:r>
        <w:rPr>
          <w:rFonts w:asciiTheme="majorBidi" w:hAnsiTheme="majorBidi" w:cstheme="majorBidi"/>
          <w:lang w:val="en-US"/>
        </w:rPr>
        <w:t xml:space="preserve"> 4</w:t>
      </w:r>
      <w:r>
        <w:rPr>
          <w:rFonts w:asciiTheme="majorBidi" w:hAnsiTheme="majorBidi" w:cstheme="majorBidi"/>
        </w:rPr>
        <w:t>, the study revealed that the respondents also rated as neutral</w:t>
      </w:r>
      <w:r>
        <w:rPr>
          <w:rFonts w:asciiTheme="majorBidi" w:hAnsiTheme="majorBidi" w:cstheme="majorBidi"/>
          <w:lang w:val="en-US"/>
        </w:rPr>
        <w:t xml:space="preserve"> </w:t>
      </w:r>
      <w:r>
        <w:rPr>
          <w:rFonts w:asciiTheme="majorBidi" w:hAnsiTheme="majorBidi" w:cstheme="majorBidi"/>
        </w:rPr>
        <w:t xml:space="preserve">(mean = </w:t>
      </w:r>
      <w:r>
        <w:rPr>
          <w:rFonts w:asciiTheme="majorBidi" w:hAnsiTheme="majorBidi" w:cstheme="majorBidi"/>
          <w:color w:val="010205"/>
        </w:rPr>
        <w:t>2.75</w:t>
      </w:r>
      <w:r>
        <w:rPr>
          <w:rFonts w:asciiTheme="majorBidi" w:hAnsiTheme="majorBidi" w:cstheme="majorBidi"/>
        </w:rPr>
        <w:t>; Standard deviation =</w:t>
      </w:r>
      <w:r>
        <w:rPr>
          <w:rFonts w:asciiTheme="majorBidi" w:hAnsiTheme="majorBidi" w:cstheme="majorBidi"/>
          <w:color w:val="010205"/>
        </w:rPr>
        <w:t>1.180</w:t>
      </w:r>
      <w:r>
        <w:rPr>
          <w:rFonts w:asciiTheme="majorBidi" w:hAnsiTheme="majorBidi" w:cstheme="majorBidi"/>
        </w:rPr>
        <w:t>) The ministry leadership could</w:t>
      </w:r>
      <w:r>
        <w:rPr>
          <w:rFonts w:asciiTheme="majorBidi" w:hAnsiTheme="majorBidi" w:cstheme="majorBidi"/>
          <w:spacing w:val="-14"/>
        </w:rPr>
        <w:t xml:space="preserve"> affect</w:t>
      </w:r>
      <w:r>
        <w:rPr>
          <w:rFonts w:asciiTheme="majorBidi" w:hAnsiTheme="majorBidi" w:cstheme="majorBidi"/>
          <w:spacing w:val="-15"/>
        </w:rPr>
        <w:t xml:space="preserve"> </w:t>
      </w:r>
      <w:r>
        <w:rPr>
          <w:rFonts w:asciiTheme="majorBidi" w:hAnsiTheme="majorBidi" w:cstheme="majorBidi"/>
        </w:rPr>
        <w:t>or change</w:t>
      </w:r>
      <w:r>
        <w:rPr>
          <w:rFonts w:asciiTheme="majorBidi" w:hAnsiTheme="majorBidi" w:cstheme="majorBidi"/>
          <w:spacing w:val="-6"/>
        </w:rPr>
        <w:t xml:space="preserve"> </w:t>
      </w:r>
      <w:r>
        <w:rPr>
          <w:rFonts w:asciiTheme="majorBidi" w:hAnsiTheme="majorBidi" w:cstheme="majorBidi"/>
        </w:rPr>
        <w:t>the</w:t>
      </w:r>
      <w:r>
        <w:rPr>
          <w:rFonts w:asciiTheme="majorBidi" w:hAnsiTheme="majorBidi" w:cstheme="majorBidi"/>
          <w:spacing w:val="-5"/>
        </w:rPr>
        <w:t xml:space="preserve"> </w:t>
      </w:r>
      <w:r>
        <w:rPr>
          <w:rFonts w:asciiTheme="majorBidi" w:hAnsiTheme="majorBidi" w:cstheme="majorBidi"/>
        </w:rPr>
        <w:t>values,</w:t>
      </w:r>
      <w:r>
        <w:rPr>
          <w:rFonts w:asciiTheme="majorBidi" w:hAnsiTheme="majorBidi" w:cstheme="majorBidi"/>
          <w:spacing w:val="-3"/>
        </w:rPr>
        <w:t xml:space="preserve"> </w:t>
      </w:r>
      <w:r>
        <w:rPr>
          <w:rFonts w:asciiTheme="majorBidi" w:hAnsiTheme="majorBidi" w:cstheme="majorBidi"/>
        </w:rPr>
        <w:t>beliefs,</w:t>
      </w:r>
      <w:r>
        <w:rPr>
          <w:rFonts w:asciiTheme="majorBidi" w:hAnsiTheme="majorBidi" w:cstheme="majorBidi"/>
          <w:spacing w:val="2"/>
        </w:rPr>
        <w:t xml:space="preserve"> </w:t>
      </w:r>
      <w:r>
        <w:rPr>
          <w:rFonts w:asciiTheme="majorBidi" w:hAnsiTheme="majorBidi" w:cstheme="majorBidi"/>
        </w:rPr>
        <w:t>behaviors,</w:t>
      </w:r>
      <w:r>
        <w:rPr>
          <w:rFonts w:asciiTheme="majorBidi" w:hAnsiTheme="majorBidi" w:cstheme="majorBidi"/>
          <w:spacing w:val="-7"/>
        </w:rPr>
        <w:t xml:space="preserve"> </w:t>
      </w:r>
      <w:r>
        <w:rPr>
          <w:rFonts w:asciiTheme="majorBidi" w:hAnsiTheme="majorBidi" w:cstheme="majorBidi"/>
        </w:rPr>
        <w:t>and</w:t>
      </w:r>
      <w:r>
        <w:rPr>
          <w:rFonts w:asciiTheme="majorBidi" w:hAnsiTheme="majorBidi" w:cstheme="majorBidi"/>
          <w:spacing w:val="-4"/>
        </w:rPr>
        <w:t xml:space="preserve"> </w:t>
      </w:r>
      <w:r>
        <w:rPr>
          <w:rFonts w:asciiTheme="majorBidi" w:hAnsiTheme="majorBidi" w:cstheme="majorBidi"/>
          <w:spacing w:val="-2"/>
        </w:rPr>
        <w:t>attitudes</w:t>
      </w:r>
      <w:r>
        <w:rPr>
          <w:rFonts w:asciiTheme="majorBidi" w:hAnsiTheme="majorBidi" w:cstheme="majorBidi"/>
        </w:rPr>
        <w:t xml:space="preserve"> of</w:t>
      </w:r>
      <w:r>
        <w:rPr>
          <w:rFonts w:asciiTheme="majorBidi" w:hAnsiTheme="majorBidi" w:cstheme="majorBidi"/>
          <w:spacing w:val="-5"/>
        </w:rPr>
        <w:t xml:space="preserve"> </w:t>
      </w:r>
      <w:r>
        <w:rPr>
          <w:rFonts w:asciiTheme="majorBidi" w:hAnsiTheme="majorBidi" w:cstheme="majorBidi"/>
        </w:rPr>
        <w:t>the</w:t>
      </w:r>
      <w:r>
        <w:rPr>
          <w:rFonts w:asciiTheme="majorBidi" w:hAnsiTheme="majorBidi" w:cstheme="majorBidi"/>
          <w:spacing w:val="4"/>
        </w:rPr>
        <w:t xml:space="preserve"> </w:t>
      </w:r>
      <w:r>
        <w:rPr>
          <w:rFonts w:asciiTheme="majorBidi" w:hAnsiTheme="majorBidi" w:cstheme="majorBidi"/>
          <w:spacing w:val="-2"/>
        </w:rPr>
        <w:t>employee</w:t>
      </w:r>
      <w:r>
        <w:rPr>
          <w:rFonts w:asciiTheme="majorBidi" w:hAnsiTheme="majorBidi" w:cstheme="majorBidi"/>
          <w:lang w:val="en-US"/>
        </w:rPr>
        <w:t>.</w:t>
      </w:r>
    </w:p>
    <w:p w14:paraId="6CBDD2C6">
      <w:pPr>
        <w:pStyle w:val="4"/>
        <w:spacing w:line="276" w:lineRule="auto"/>
        <w:ind w:firstLine="0"/>
        <w:rPr>
          <w:rFonts w:asciiTheme="majorBidi" w:hAnsiTheme="majorBidi"/>
          <w:spacing w:val="-2"/>
          <w:sz w:val="24"/>
          <w:szCs w:val="24"/>
        </w:rPr>
      </w:pPr>
      <w:bookmarkStart w:id="35" w:name="_Toc136959611"/>
      <w:r>
        <w:rPr>
          <w:rFonts w:asciiTheme="majorBidi" w:hAnsiTheme="majorBidi"/>
          <w:sz w:val="24"/>
          <w:szCs w:val="24"/>
        </w:rPr>
        <w:t>The</w:t>
      </w:r>
      <w:r>
        <w:rPr>
          <w:rFonts w:asciiTheme="majorBidi" w:hAnsiTheme="majorBidi"/>
          <w:spacing w:val="-15"/>
          <w:sz w:val="24"/>
          <w:szCs w:val="24"/>
        </w:rPr>
        <w:t xml:space="preserve"> </w:t>
      </w:r>
      <w:r>
        <w:rPr>
          <w:rFonts w:asciiTheme="majorBidi" w:hAnsiTheme="majorBidi"/>
          <w:sz w:val="24"/>
          <w:szCs w:val="24"/>
        </w:rPr>
        <w:t>ministry has a mobilization of political</w:t>
      </w:r>
      <w:r>
        <w:rPr>
          <w:rFonts w:asciiTheme="majorBidi" w:hAnsiTheme="majorBidi"/>
          <w:spacing w:val="-15"/>
          <w:sz w:val="24"/>
          <w:szCs w:val="24"/>
        </w:rPr>
        <w:t xml:space="preserve"> </w:t>
      </w:r>
      <w:r>
        <w:rPr>
          <w:rFonts w:asciiTheme="majorBidi" w:hAnsiTheme="majorBidi"/>
          <w:sz w:val="24"/>
          <w:szCs w:val="24"/>
        </w:rPr>
        <w:t>systems and allocating resources to ensure the PFMRM implementation</w:t>
      </w:r>
      <w:r>
        <w:rPr>
          <w:rFonts w:asciiTheme="majorBidi" w:hAnsiTheme="majorBidi"/>
          <w:spacing w:val="-1"/>
          <w:sz w:val="24"/>
          <w:szCs w:val="24"/>
        </w:rPr>
        <w:t xml:space="preserve"> </w:t>
      </w:r>
      <w:r>
        <w:rPr>
          <w:rFonts w:asciiTheme="majorBidi" w:hAnsiTheme="majorBidi"/>
          <w:sz w:val="24"/>
          <w:szCs w:val="24"/>
        </w:rPr>
        <w:t>in</w:t>
      </w:r>
      <w:r>
        <w:rPr>
          <w:rFonts w:asciiTheme="majorBidi" w:hAnsiTheme="majorBidi"/>
          <w:spacing w:val="-5"/>
          <w:sz w:val="24"/>
          <w:szCs w:val="24"/>
        </w:rPr>
        <w:t xml:space="preserve"> the </w:t>
      </w:r>
      <w:r>
        <w:rPr>
          <w:rFonts w:asciiTheme="majorBidi" w:hAnsiTheme="majorBidi"/>
          <w:sz w:val="24"/>
          <w:szCs w:val="24"/>
        </w:rPr>
        <w:t>Puntland state</w:t>
      </w:r>
      <w:r>
        <w:rPr>
          <w:rFonts w:asciiTheme="majorBidi" w:hAnsiTheme="majorBidi"/>
          <w:spacing w:val="-7"/>
          <w:sz w:val="24"/>
          <w:szCs w:val="24"/>
        </w:rPr>
        <w:t xml:space="preserve"> </w:t>
      </w:r>
      <w:r>
        <w:rPr>
          <w:rFonts w:asciiTheme="majorBidi" w:hAnsiTheme="majorBidi"/>
          <w:sz w:val="24"/>
          <w:szCs w:val="24"/>
        </w:rPr>
        <w:t>of</w:t>
      </w:r>
      <w:r>
        <w:rPr>
          <w:rFonts w:asciiTheme="majorBidi" w:hAnsiTheme="majorBidi"/>
          <w:spacing w:val="-8"/>
          <w:sz w:val="24"/>
          <w:szCs w:val="24"/>
        </w:rPr>
        <w:t xml:space="preserve"> </w:t>
      </w:r>
      <w:r>
        <w:rPr>
          <w:rFonts w:asciiTheme="majorBidi" w:hAnsiTheme="majorBidi"/>
          <w:spacing w:val="-2"/>
          <w:sz w:val="24"/>
          <w:szCs w:val="24"/>
        </w:rPr>
        <w:t>Somalia.</w:t>
      </w:r>
      <w:bookmarkEnd w:id="35"/>
    </w:p>
    <w:p w14:paraId="494BF156">
      <w:pPr>
        <w:pStyle w:val="15"/>
        <w:spacing w:line="276" w:lineRule="auto"/>
        <w:jc w:val="center"/>
        <w:rPr>
          <w:rFonts w:asciiTheme="majorBidi" w:hAnsiTheme="majorBidi" w:cstheme="majorBidi"/>
          <w:b/>
          <w:bCs/>
          <w:color w:val="auto"/>
          <w:sz w:val="24"/>
          <w:szCs w:val="24"/>
        </w:rPr>
      </w:pPr>
    </w:p>
    <w:tbl>
      <w:tblPr>
        <w:tblStyle w:val="84"/>
        <w:tblpPr w:leftFromText="180" w:rightFromText="180" w:vertAnchor="text" w:horzAnchor="margin" w:tblpY="-66"/>
        <w:tblW w:w="9918" w:type="dxa"/>
        <w:tblInd w:w="0" w:type="dxa"/>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Layout w:type="autofit"/>
        <w:tblCellMar>
          <w:top w:w="0" w:type="dxa"/>
          <w:left w:w="108" w:type="dxa"/>
          <w:bottom w:w="0" w:type="dxa"/>
          <w:right w:w="108" w:type="dxa"/>
        </w:tblCellMar>
      </w:tblPr>
      <w:tblGrid>
        <w:gridCol w:w="2368"/>
        <w:gridCol w:w="3680"/>
        <w:gridCol w:w="3870"/>
      </w:tblGrid>
      <w:tr w14:paraId="67B6728B">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rPr>
          <w:trHeight w:val="350" w:hRule="atLeast"/>
        </w:trPr>
        <w:tc>
          <w:tcPr>
            <w:tcW w:w="2368" w:type="dxa"/>
          </w:tcPr>
          <w:p w14:paraId="01765061">
            <w:pPr>
              <w:autoSpaceDE w:val="0"/>
              <w:autoSpaceDN w:val="0"/>
              <w:adjustRightInd w:val="0"/>
              <w:spacing w:line="276" w:lineRule="auto"/>
              <w:ind w:right="60" w:firstLine="0"/>
              <w:jc w:val="center"/>
              <w:rPr>
                <w:rFonts w:asciiTheme="majorBidi" w:hAnsiTheme="majorBidi" w:cstheme="majorBidi"/>
                <w:b/>
                <w:bCs/>
                <w:caps/>
                <w:color w:val="000000"/>
                <w:sz w:val="24"/>
                <w:szCs w:val="24"/>
              </w:rPr>
            </w:pPr>
            <w:r>
              <w:rPr>
                <w:rFonts w:asciiTheme="majorBidi" w:hAnsiTheme="majorBidi" w:cstheme="majorBidi"/>
                <w:b/>
                <w:bCs/>
                <w:caps/>
                <w:color w:val="000000"/>
                <w:sz w:val="24"/>
                <w:szCs w:val="24"/>
              </w:rPr>
              <w:t>Respondents</w:t>
            </w:r>
          </w:p>
        </w:tc>
        <w:tc>
          <w:tcPr>
            <w:tcW w:w="3680" w:type="dxa"/>
          </w:tcPr>
          <w:p w14:paraId="32F64E70">
            <w:pPr>
              <w:autoSpaceDE w:val="0"/>
              <w:autoSpaceDN w:val="0"/>
              <w:adjustRightInd w:val="0"/>
              <w:spacing w:line="276" w:lineRule="auto"/>
              <w:ind w:right="60" w:firstLine="0"/>
              <w:jc w:val="center"/>
              <w:rPr>
                <w:rFonts w:asciiTheme="majorBidi" w:hAnsiTheme="majorBidi" w:cstheme="majorBidi"/>
                <w:b/>
                <w:bCs/>
                <w:caps/>
                <w:color w:val="000000"/>
                <w:sz w:val="24"/>
                <w:szCs w:val="24"/>
              </w:rPr>
            </w:pPr>
            <w:r>
              <w:rPr>
                <w:rFonts w:asciiTheme="majorBidi" w:hAnsiTheme="majorBidi" w:cstheme="majorBidi"/>
                <w:b/>
                <w:bCs/>
                <w:caps/>
                <w:color w:val="000000"/>
                <w:sz w:val="24"/>
                <w:szCs w:val="24"/>
              </w:rPr>
              <w:t>Frequency</w:t>
            </w:r>
          </w:p>
        </w:tc>
        <w:tc>
          <w:tcPr>
            <w:tcW w:w="3870" w:type="dxa"/>
          </w:tcPr>
          <w:p w14:paraId="2E2BF72E">
            <w:pPr>
              <w:autoSpaceDE w:val="0"/>
              <w:autoSpaceDN w:val="0"/>
              <w:adjustRightInd w:val="0"/>
              <w:spacing w:line="276" w:lineRule="auto"/>
              <w:ind w:right="60" w:firstLine="0"/>
              <w:jc w:val="center"/>
              <w:rPr>
                <w:rFonts w:asciiTheme="majorBidi" w:hAnsiTheme="majorBidi" w:cstheme="majorBidi"/>
                <w:b/>
                <w:bCs/>
                <w:caps/>
                <w:color w:val="000000"/>
                <w:sz w:val="24"/>
                <w:szCs w:val="24"/>
              </w:rPr>
            </w:pPr>
            <w:r>
              <w:rPr>
                <w:rFonts w:asciiTheme="majorBidi" w:hAnsiTheme="majorBidi" w:cstheme="majorBidi"/>
                <w:b/>
                <w:bCs/>
                <w:caps/>
                <w:color w:val="000000"/>
                <w:sz w:val="24"/>
                <w:szCs w:val="24"/>
              </w:rPr>
              <w:t>Percent</w:t>
            </w:r>
          </w:p>
        </w:tc>
      </w:tr>
      <w:tr w14:paraId="32B9D1C2">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368" w:type="dxa"/>
            <w:shd w:val="clear" w:color="auto" w:fill="F1F1F1" w:themeFill="background1" w:themeFillShade="F2"/>
          </w:tcPr>
          <w:p w14:paraId="5D5523FC">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strongly agree</w:t>
            </w:r>
          </w:p>
        </w:tc>
        <w:tc>
          <w:tcPr>
            <w:tcW w:w="3680" w:type="dxa"/>
            <w:shd w:val="clear" w:color="auto" w:fill="F1F1F1" w:themeFill="background1" w:themeFillShade="F2"/>
          </w:tcPr>
          <w:p w14:paraId="265268D8">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48</w:t>
            </w:r>
          </w:p>
        </w:tc>
        <w:tc>
          <w:tcPr>
            <w:tcW w:w="3870" w:type="dxa"/>
            <w:shd w:val="clear" w:color="auto" w:fill="F1F1F1" w:themeFill="background1" w:themeFillShade="F2"/>
          </w:tcPr>
          <w:p w14:paraId="428CE855">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52.1</w:t>
            </w:r>
          </w:p>
        </w:tc>
      </w:tr>
      <w:tr w14:paraId="4AFDA014">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368" w:type="dxa"/>
          </w:tcPr>
          <w:p w14:paraId="1DB0C0E4">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Agree</w:t>
            </w:r>
          </w:p>
        </w:tc>
        <w:tc>
          <w:tcPr>
            <w:tcW w:w="3680" w:type="dxa"/>
          </w:tcPr>
          <w:p w14:paraId="20E4B443">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18</w:t>
            </w:r>
          </w:p>
        </w:tc>
        <w:tc>
          <w:tcPr>
            <w:tcW w:w="3870" w:type="dxa"/>
          </w:tcPr>
          <w:p w14:paraId="00E4221F">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19.5</w:t>
            </w:r>
          </w:p>
        </w:tc>
      </w:tr>
      <w:tr w14:paraId="5023F443">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368" w:type="dxa"/>
            <w:shd w:val="clear" w:color="auto" w:fill="F1F1F1" w:themeFill="background1" w:themeFillShade="F2"/>
          </w:tcPr>
          <w:p w14:paraId="7EF30E88">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Disagree</w:t>
            </w:r>
          </w:p>
        </w:tc>
        <w:tc>
          <w:tcPr>
            <w:tcW w:w="3680" w:type="dxa"/>
            <w:shd w:val="clear" w:color="auto" w:fill="F1F1F1" w:themeFill="background1" w:themeFillShade="F2"/>
          </w:tcPr>
          <w:p w14:paraId="4D8178F5">
            <w:pPr>
              <w:tabs>
                <w:tab w:val="right" w:pos="2841"/>
              </w:tabs>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4</w:t>
            </w:r>
          </w:p>
        </w:tc>
        <w:tc>
          <w:tcPr>
            <w:tcW w:w="3870" w:type="dxa"/>
            <w:shd w:val="clear" w:color="auto" w:fill="F1F1F1" w:themeFill="background1" w:themeFillShade="F2"/>
          </w:tcPr>
          <w:p w14:paraId="7B0A2B16">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4.34</w:t>
            </w:r>
          </w:p>
        </w:tc>
      </w:tr>
      <w:tr w14:paraId="528E3C2A">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368" w:type="dxa"/>
          </w:tcPr>
          <w:p w14:paraId="0E5E7F31">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strongly disagree</w:t>
            </w:r>
          </w:p>
        </w:tc>
        <w:tc>
          <w:tcPr>
            <w:tcW w:w="3680" w:type="dxa"/>
          </w:tcPr>
          <w:p w14:paraId="5A422DE7">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22</w:t>
            </w:r>
          </w:p>
        </w:tc>
        <w:tc>
          <w:tcPr>
            <w:tcW w:w="3870" w:type="dxa"/>
          </w:tcPr>
          <w:p w14:paraId="37E7CC1D">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23.9</w:t>
            </w:r>
          </w:p>
        </w:tc>
      </w:tr>
      <w:tr w14:paraId="795E7C67">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368" w:type="dxa"/>
            <w:shd w:val="clear" w:color="auto" w:fill="F1F1F1" w:themeFill="background1" w:themeFillShade="F2"/>
          </w:tcPr>
          <w:p w14:paraId="35A709F9">
            <w:pPr>
              <w:autoSpaceDE w:val="0"/>
              <w:autoSpaceDN w:val="0"/>
              <w:adjustRightInd w:val="0"/>
              <w:spacing w:line="276" w:lineRule="auto"/>
              <w:ind w:right="60" w:firstLine="0"/>
              <w:jc w:val="center"/>
              <w:rPr>
                <w:rFonts w:asciiTheme="majorBidi" w:hAnsiTheme="majorBidi" w:cstheme="majorBidi"/>
                <w:b/>
                <w:bCs/>
                <w:caps/>
                <w:color w:val="000000"/>
                <w:sz w:val="24"/>
                <w:szCs w:val="24"/>
              </w:rPr>
            </w:pPr>
            <w:r>
              <w:rPr>
                <w:rFonts w:asciiTheme="majorBidi" w:hAnsiTheme="majorBidi" w:cstheme="majorBidi"/>
                <w:b/>
                <w:bCs/>
                <w:caps/>
                <w:color w:val="000000"/>
                <w:sz w:val="24"/>
                <w:szCs w:val="24"/>
              </w:rPr>
              <w:t>Total</w:t>
            </w:r>
          </w:p>
        </w:tc>
        <w:tc>
          <w:tcPr>
            <w:tcW w:w="3680" w:type="dxa"/>
            <w:shd w:val="clear" w:color="auto" w:fill="F1F1F1" w:themeFill="background1" w:themeFillShade="F2"/>
          </w:tcPr>
          <w:p w14:paraId="643672D1">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92</w:t>
            </w:r>
          </w:p>
        </w:tc>
        <w:tc>
          <w:tcPr>
            <w:tcW w:w="3870" w:type="dxa"/>
            <w:shd w:val="clear" w:color="auto" w:fill="F1F1F1" w:themeFill="background1" w:themeFillShade="F2"/>
          </w:tcPr>
          <w:p w14:paraId="17DFA235">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100.0</w:t>
            </w:r>
          </w:p>
        </w:tc>
      </w:tr>
    </w:tbl>
    <w:p w14:paraId="3E944A2A">
      <w:pPr>
        <w:spacing w:line="276" w:lineRule="auto"/>
        <w:jc w:val="center"/>
        <w:rPr>
          <w:rFonts w:asciiTheme="majorBidi" w:hAnsiTheme="majorBidi" w:cstheme="majorBidi"/>
          <w:b/>
          <w:bCs/>
          <w:i/>
          <w:iCs/>
          <w:color w:val="000000"/>
        </w:rPr>
      </w:pPr>
      <w:r>
        <w:rPr>
          <w:rFonts w:asciiTheme="majorBidi" w:hAnsiTheme="majorBidi" w:cstheme="majorBidi"/>
          <w:b/>
          <w:bCs/>
          <w:i/>
          <w:iCs/>
          <w:color w:val="000000"/>
        </w:rPr>
        <w:t>Source: Own survey 202</w:t>
      </w:r>
      <w:r>
        <w:rPr>
          <w:rFonts w:asciiTheme="majorBidi" w:hAnsiTheme="majorBidi" w:cstheme="majorBidi"/>
          <w:b/>
          <w:bCs/>
          <w:i/>
          <w:iCs/>
          <w:color w:val="000000"/>
          <w:lang w:val="en-US"/>
        </w:rPr>
        <w:t>3</w:t>
      </w:r>
      <w:r>
        <w:rPr>
          <w:rFonts w:asciiTheme="majorBidi" w:hAnsiTheme="majorBidi" w:cstheme="majorBidi"/>
          <w:b/>
          <w:bCs/>
          <w:i/>
          <w:iCs/>
          <w:color w:val="000000"/>
        </w:rPr>
        <w:t>(SPSS).</w:t>
      </w:r>
    </w:p>
    <w:p w14:paraId="59EDF6D6">
      <w:pPr>
        <w:spacing w:line="276" w:lineRule="auto"/>
        <w:rPr>
          <w:rFonts w:asciiTheme="majorBidi" w:hAnsiTheme="majorBidi" w:cstheme="majorBidi"/>
          <w:spacing w:val="-2"/>
        </w:rPr>
      </w:pPr>
      <w:r>
        <w:rPr>
          <w:rFonts w:asciiTheme="majorBidi" w:hAnsiTheme="majorBidi" w:cstheme="majorBidi"/>
        </w:rPr>
        <w:t>Figure above show that 48 of the respondents strong agree or 52.1% 18 agree or 19.5%, 4 disagree or 4.34% 22 strong disagree or 23.9% thus the most of respondent agree the</w:t>
      </w:r>
      <w:r>
        <w:rPr>
          <w:rFonts w:asciiTheme="majorBidi" w:hAnsiTheme="majorBidi" w:cstheme="majorBidi"/>
          <w:spacing w:val="-15"/>
        </w:rPr>
        <w:t xml:space="preserve"> </w:t>
      </w:r>
      <w:r>
        <w:rPr>
          <w:rFonts w:asciiTheme="majorBidi" w:hAnsiTheme="majorBidi" w:cstheme="majorBidi"/>
        </w:rPr>
        <w:t>ministry has a mobilization of political</w:t>
      </w:r>
      <w:r>
        <w:rPr>
          <w:rFonts w:asciiTheme="majorBidi" w:hAnsiTheme="majorBidi" w:cstheme="majorBidi"/>
          <w:spacing w:val="-15"/>
        </w:rPr>
        <w:t xml:space="preserve"> </w:t>
      </w:r>
      <w:r>
        <w:rPr>
          <w:rFonts w:asciiTheme="majorBidi" w:hAnsiTheme="majorBidi" w:cstheme="majorBidi"/>
        </w:rPr>
        <w:t>systems and allocating resources to ensure the PFMRM implementation</w:t>
      </w:r>
      <w:r>
        <w:rPr>
          <w:rFonts w:asciiTheme="majorBidi" w:hAnsiTheme="majorBidi" w:cstheme="majorBidi"/>
          <w:spacing w:val="-1"/>
        </w:rPr>
        <w:t xml:space="preserve"> </w:t>
      </w:r>
      <w:r>
        <w:rPr>
          <w:rFonts w:asciiTheme="majorBidi" w:hAnsiTheme="majorBidi" w:cstheme="majorBidi"/>
        </w:rPr>
        <w:t>in</w:t>
      </w:r>
      <w:r>
        <w:rPr>
          <w:rFonts w:asciiTheme="majorBidi" w:hAnsiTheme="majorBidi" w:cstheme="majorBidi"/>
          <w:spacing w:val="-5"/>
        </w:rPr>
        <w:t xml:space="preserve"> the </w:t>
      </w:r>
      <w:r>
        <w:rPr>
          <w:rFonts w:asciiTheme="majorBidi" w:hAnsiTheme="majorBidi" w:cstheme="majorBidi"/>
        </w:rPr>
        <w:t>Puntland state</w:t>
      </w:r>
      <w:r>
        <w:rPr>
          <w:rFonts w:asciiTheme="majorBidi" w:hAnsiTheme="majorBidi" w:cstheme="majorBidi"/>
          <w:spacing w:val="-7"/>
        </w:rPr>
        <w:t xml:space="preserve"> </w:t>
      </w:r>
      <w:r>
        <w:rPr>
          <w:rFonts w:asciiTheme="majorBidi" w:hAnsiTheme="majorBidi" w:cstheme="majorBidi"/>
        </w:rPr>
        <w:t>of</w:t>
      </w:r>
      <w:r>
        <w:rPr>
          <w:rFonts w:asciiTheme="majorBidi" w:hAnsiTheme="majorBidi" w:cstheme="majorBidi"/>
          <w:spacing w:val="-8"/>
        </w:rPr>
        <w:t xml:space="preserve"> </w:t>
      </w:r>
      <w:r>
        <w:rPr>
          <w:rFonts w:asciiTheme="majorBidi" w:hAnsiTheme="majorBidi" w:cstheme="majorBidi"/>
          <w:spacing w:val="-2"/>
        </w:rPr>
        <w:t>Somalia</w:t>
      </w:r>
    </w:p>
    <w:tbl>
      <w:tblPr>
        <w:tblStyle w:val="84"/>
        <w:tblpPr w:leftFromText="180" w:rightFromText="180" w:vertAnchor="text" w:horzAnchor="margin" w:tblpY="1639"/>
        <w:tblW w:w="0" w:type="auto"/>
        <w:tblInd w:w="0" w:type="dxa"/>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Layout w:type="autofit"/>
        <w:tblCellMar>
          <w:top w:w="0" w:type="dxa"/>
          <w:left w:w="108" w:type="dxa"/>
          <w:bottom w:w="0" w:type="dxa"/>
          <w:right w:w="108" w:type="dxa"/>
        </w:tblCellMar>
      </w:tblPr>
      <w:tblGrid>
        <w:gridCol w:w="2549"/>
        <w:gridCol w:w="3409"/>
        <w:gridCol w:w="3330"/>
      </w:tblGrid>
      <w:tr w14:paraId="79CC9A1C">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tcPr>
          <w:p w14:paraId="192357D2">
            <w:pPr>
              <w:autoSpaceDE w:val="0"/>
              <w:autoSpaceDN w:val="0"/>
              <w:adjustRightInd w:val="0"/>
              <w:spacing w:line="276" w:lineRule="auto"/>
              <w:ind w:right="60" w:firstLine="0"/>
              <w:jc w:val="left"/>
              <w:rPr>
                <w:rFonts w:asciiTheme="majorBidi" w:hAnsiTheme="majorBidi" w:cstheme="majorBidi"/>
                <w:b/>
                <w:bCs/>
                <w:color w:val="000000"/>
                <w:sz w:val="24"/>
                <w:szCs w:val="24"/>
              </w:rPr>
            </w:pPr>
            <w:r>
              <w:rPr>
                <w:rFonts w:asciiTheme="majorBidi" w:hAnsiTheme="majorBidi" w:cstheme="majorBidi"/>
                <w:b/>
                <w:bCs/>
                <w:color w:val="000000"/>
                <w:sz w:val="24"/>
                <w:szCs w:val="24"/>
              </w:rPr>
              <w:t>Respondents</w:t>
            </w:r>
          </w:p>
        </w:tc>
        <w:tc>
          <w:tcPr>
            <w:tcW w:w="3409" w:type="dxa"/>
          </w:tcPr>
          <w:p w14:paraId="7BECD23A">
            <w:pPr>
              <w:autoSpaceDE w:val="0"/>
              <w:autoSpaceDN w:val="0"/>
              <w:adjustRightInd w:val="0"/>
              <w:spacing w:line="276" w:lineRule="auto"/>
              <w:ind w:left="60" w:right="60"/>
              <w:jc w:val="left"/>
              <w:rPr>
                <w:rFonts w:asciiTheme="majorBidi" w:hAnsiTheme="majorBidi" w:cstheme="majorBidi"/>
                <w:b/>
                <w:bCs/>
                <w:color w:val="000000"/>
                <w:sz w:val="24"/>
                <w:szCs w:val="24"/>
              </w:rPr>
            </w:pPr>
            <w:r>
              <w:rPr>
                <w:rFonts w:asciiTheme="majorBidi" w:hAnsiTheme="majorBidi" w:cstheme="majorBidi"/>
                <w:b/>
                <w:bCs/>
                <w:color w:val="000000"/>
                <w:sz w:val="24"/>
                <w:szCs w:val="24"/>
              </w:rPr>
              <w:t>Frequency</w:t>
            </w:r>
          </w:p>
        </w:tc>
        <w:tc>
          <w:tcPr>
            <w:tcW w:w="3330" w:type="dxa"/>
          </w:tcPr>
          <w:p w14:paraId="4749EB17">
            <w:pPr>
              <w:autoSpaceDE w:val="0"/>
              <w:autoSpaceDN w:val="0"/>
              <w:adjustRightInd w:val="0"/>
              <w:spacing w:line="276" w:lineRule="auto"/>
              <w:ind w:left="60" w:right="60"/>
              <w:jc w:val="left"/>
              <w:rPr>
                <w:rFonts w:asciiTheme="majorBidi" w:hAnsiTheme="majorBidi" w:cstheme="majorBidi"/>
                <w:b/>
                <w:bCs/>
                <w:color w:val="000000"/>
                <w:sz w:val="24"/>
                <w:szCs w:val="24"/>
              </w:rPr>
            </w:pPr>
            <w:r>
              <w:rPr>
                <w:rFonts w:asciiTheme="majorBidi" w:hAnsiTheme="majorBidi" w:cstheme="majorBidi"/>
                <w:b/>
                <w:bCs/>
                <w:color w:val="000000"/>
                <w:sz w:val="24"/>
                <w:szCs w:val="24"/>
              </w:rPr>
              <w:t xml:space="preserve"> Percent</w:t>
            </w:r>
          </w:p>
        </w:tc>
      </w:tr>
      <w:tr w14:paraId="0DDA342C">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shd w:val="clear" w:color="auto" w:fill="F1F1F1" w:themeFill="background1" w:themeFillShade="F2"/>
          </w:tcPr>
          <w:p w14:paraId="39410C53">
            <w:pPr>
              <w:autoSpaceDE w:val="0"/>
              <w:autoSpaceDN w:val="0"/>
              <w:adjustRightInd w:val="0"/>
              <w:spacing w:line="276" w:lineRule="auto"/>
              <w:ind w:right="60" w:firstLine="0"/>
              <w:rPr>
                <w:rFonts w:asciiTheme="majorBidi" w:hAnsiTheme="majorBidi" w:cstheme="majorBidi"/>
                <w:b w:val="0"/>
                <w:bCs w:val="0"/>
                <w:color w:val="000000"/>
                <w:sz w:val="24"/>
                <w:szCs w:val="24"/>
              </w:rPr>
            </w:pPr>
            <w:r>
              <w:rPr>
                <w:rFonts w:asciiTheme="majorBidi" w:hAnsiTheme="majorBidi" w:cstheme="majorBidi"/>
                <w:b w:val="0"/>
                <w:bCs w:val="0"/>
                <w:color w:val="000000"/>
                <w:sz w:val="24"/>
                <w:szCs w:val="24"/>
              </w:rPr>
              <w:t>strong agree</w:t>
            </w:r>
          </w:p>
        </w:tc>
        <w:tc>
          <w:tcPr>
            <w:tcW w:w="3409" w:type="dxa"/>
            <w:shd w:val="clear" w:color="auto" w:fill="F1F1F1" w:themeFill="background1" w:themeFillShade="F2"/>
          </w:tcPr>
          <w:p w14:paraId="0F829237">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56</w:t>
            </w:r>
          </w:p>
        </w:tc>
        <w:tc>
          <w:tcPr>
            <w:tcW w:w="3330" w:type="dxa"/>
            <w:shd w:val="clear" w:color="auto" w:fill="F1F1F1" w:themeFill="background1" w:themeFillShade="F2"/>
          </w:tcPr>
          <w:p w14:paraId="1F2FF517">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60.8</w:t>
            </w:r>
          </w:p>
        </w:tc>
      </w:tr>
      <w:tr w14:paraId="0E037547">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tcPr>
          <w:p w14:paraId="07103409">
            <w:pPr>
              <w:autoSpaceDE w:val="0"/>
              <w:autoSpaceDN w:val="0"/>
              <w:adjustRightInd w:val="0"/>
              <w:spacing w:line="276" w:lineRule="auto"/>
              <w:ind w:right="60" w:firstLine="0"/>
              <w:rPr>
                <w:rFonts w:asciiTheme="majorBidi" w:hAnsiTheme="majorBidi" w:cstheme="majorBidi"/>
                <w:b w:val="0"/>
                <w:bCs w:val="0"/>
                <w:color w:val="000000"/>
                <w:sz w:val="24"/>
                <w:szCs w:val="24"/>
              </w:rPr>
            </w:pPr>
            <w:r>
              <w:rPr>
                <w:rFonts w:asciiTheme="majorBidi" w:hAnsiTheme="majorBidi" w:cstheme="majorBidi"/>
                <w:b w:val="0"/>
                <w:bCs w:val="0"/>
                <w:color w:val="000000"/>
                <w:sz w:val="24"/>
                <w:szCs w:val="24"/>
              </w:rPr>
              <w:t>Agree</w:t>
            </w:r>
          </w:p>
        </w:tc>
        <w:tc>
          <w:tcPr>
            <w:tcW w:w="3409" w:type="dxa"/>
          </w:tcPr>
          <w:p w14:paraId="13A8EBA7">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14</w:t>
            </w:r>
          </w:p>
        </w:tc>
        <w:tc>
          <w:tcPr>
            <w:tcW w:w="3330" w:type="dxa"/>
          </w:tcPr>
          <w:p w14:paraId="526529DA">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38.9</w:t>
            </w:r>
          </w:p>
        </w:tc>
      </w:tr>
      <w:tr w14:paraId="70A5B064">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shd w:val="clear" w:color="auto" w:fill="F1F1F1" w:themeFill="background1" w:themeFillShade="F2"/>
          </w:tcPr>
          <w:p w14:paraId="35B6D98B">
            <w:pPr>
              <w:autoSpaceDE w:val="0"/>
              <w:autoSpaceDN w:val="0"/>
              <w:adjustRightInd w:val="0"/>
              <w:spacing w:line="276" w:lineRule="auto"/>
              <w:ind w:right="60" w:firstLine="0"/>
              <w:rPr>
                <w:rFonts w:asciiTheme="majorBidi" w:hAnsiTheme="majorBidi" w:cstheme="majorBidi"/>
                <w:b w:val="0"/>
                <w:bCs w:val="0"/>
                <w:color w:val="000000"/>
                <w:sz w:val="24"/>
                <w:szCs w:val="24"/>
              </w:rPr>
            </w:pPr>
            <w:r>
              <w:rPr>
                <w:rFonts w:asciiTheme="majorBidi" w:hAnsiTheme="majorBidi" w:cstheme="majorBidi"/>
                <w:b w:val="0"/>
                <w:bCs w:val="0"/>
                <w:color w:val="000000"/>
                <w:sz w:val="24"/>
                <w:szCs w:val="24"/>
              </w:rPr>
              <w:t>Disagree</w:t>
            </w:r>
          </w:p>
        </w:tc>
        <w:tc>
          <w:tcPr>
            <w:tcW w:w="3409" w:type="dxa"/>
            <w:shd w:val="clear" w:color="auto" w:fill="F1F1F1" w:themeFill="background1" w:themeFillShade="F2"/>
          </w:tcPr>
          <w:p w14:paraId="42C47E8A">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13</w:t>
            </w:r>
          </w:p>
        </w:tc>
        <w:tc>
          <w:tcPr>
            <w:tcW w:w="3330" w:type="dxa"/>
            <w:shd w:val="clear" w:color="auto" w:fill="F1F1F1" w:themeFill="background1" w:themeFillShade="F2"/>
          </w:tcPr>
          <w:p w14:paraId="07375432">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14.13</w:t>
            </w:r>
          </w:p>
        </w:tc>
      </w:tr>
      <w:tr w14:paraId="5A37B1C2">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tcPr>
          <w:p w14:paraId="1F6CEF4E">
            <w:pPr>
              <w:autoSpaceDE w:val="0"/>
              <w:autoSpaceDN w:val="0"/>
              <w:adjustRightInd w:val="0"/>
              <w:spacing w:line="276" w:lineRule="auto"/>
              <w:ind w:right="60" w:firstLine="0"/>
              <w:rPr>
                <w:rFonts w:asciiTheme="majorBidi" w:hAnsiTheme="majorBidi" w:cstheme="majorBidi"/>
                <w:b w:val="0"/>
                <w:bCs w:val="0"/>
                <w:color w:val="000000"/>
                <w:sz w:val="24"/>
                <w:szCs w:val="24"/>
              </w:rPr>
            </w:pPr>
            <w:r>
              <w:rPr>
                <w:rFonts w:asciiTheme="majorBidi" w:hAnsiTheme="majorBidi" w:cstheme="majorBidi"/>
                <w:b w:val="0"/>
                <w:bCs w:val="0"/>
                <w:color w:val="000000"/>
                <w:sz w:val="24"/>
                <w:szCs w:val="24"/>
              </w:rPr>
              <w:t>strong disagree</w:t>
            </w:r>
          </w:p>
        </w:tc>
        <w:tc>
          <w:tcPr>
            <w:tcW w:w="3409" w:type="dxa"/>
          </w:tcPr>
          <w:p w14:paraId="31254A4B">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9</w:t>
            </w:r>
          </w:p>
        </w:tc>
        <w:tc>
          <w:tcPr>
            <w:tcW w:w="3330" w:type="dxa"/>
          </w:tcPr>
          <w:p w14:paraId="7E9FF99B">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9.78</w:t>
            </w:r>
          </w:p>
        </w:tc>
      </w:tr>
      <w:tr w14:paraId="736DDAEB">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shd w:val="clear" w:color="auto" w:fill="F1F1F1" w:themeFill="background1" w:themeFillShade="F2"/>
          </w:tcPr>
          <w:p w14:paraId="25AB4275">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Total</w:t>
            </w:r>
          </w:p>
        </w:tc>
        <w:tc>
          <w:tcPr>
            <w:tcW w:w="3409" w:type="dxa"/>
            <w:shd w:val="clear" w:color="auto" w:fill="F1F1F1" w:themeFill="background1" w:themeFillShade="F2"/>
          </w:tcPr>
          <w:p w14:paraId="36215A52">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92</w:t>
            </w:r>
          </w:p>
        </w:tc>
        <w:tc>
          <w:tcPr>
            <w:tcW w:w="3330" w:type="dxa"/>
            <w:shd w:val="clear" w:color="auto" w:fill="F1F1F1" w:themeFill="background1" w:themeFillShade="F2"/>
          </w:tcPr>
          <w:p w14:paraId="3892D122">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100.0</w:t>
            </w:r>
          </w:p>
        </w:tc>
      </w:tr>
    </w:tbl>
    <w:p w14:paraId="587453D8">
      <w:pPr>
        <w:pStyle w:val="4"/>
        <w:spacing w:line="276" w:lineRule="auto"/>
        <w:rPr>
          <w:rFonts w:asciiTheme="majorBidi" w:hAnsiTheme="majorBidi"/>
          <w:sz w:val="24"/>
          <w:szCs w:val="24"/>
        </w:rPr>
      </w:pPr>
      <w:bookmarkStart w:id="36" w:name="_Toc136959612"/>
      <w:r>
        <w:rPr>
          <w:rFonts w:asciiTheme="majorBidi" w:hAnsiTheme="majorBidi"/>
          <w:color w:val="000000"/>
          <w:sz w:val="24"/>
          <w:szCs w:val="24"/>
        </w:rPr>
        <w:t xml:space="preserve"> </w:t>
      </w:r>
      <w:r>
        <w:rPr>
          <w:rFonts w:asciiTheme="majorBidi" w:hAnsiTheme="majorBidi"/>
          <w:sz w:val="24"/>
          <w:szCs w:val="24"/>
        </w:rPr>
        <w:t>The Ministry of Finance has clear targets, and practical, achievable goals which inspire</w:t>
      </w:r>
      <w:r>
        <w:rPr>
          <w:rFonts w:asciiTheme="majorBidi" w:hAnsiTheme="majorBidi"/>
          <w:spacing w:val="54"/>
          <w:sz w:val="24"/>
          <w:szCs w:val="24"/>
        </w:rPr>
        <w:t xml:space="preserve"> </w:t>
      </w:r>
      <w:r>
        <w:rPr>
          <w:rFonts w:asciiTheme="majorBidi" w:hAnsiTheme="majorBidi"/>
          <w:sz w:val="24"/>
          <w:szCs w:val="24"/>
        </w:rPr>
        <w:t>the</w:t>
      </w:r>
      <w:r>
        <w:rPr>
          <w:rFonts w:asciiTheme="majorBidi" w:hAnsiTheme="majorBidi"/>
          <w:spacing w:val="54"/>
          <w:sz w:val="24"/>
          <w:szCs w:val="24"/>
        </w:rPr>
        <w:t xml:space="preserve"> </w:t>
      </w:r>
      <w:r>
        <w:rPr>
          <w:rFonts w:asciiTheme="majorBidi" w:hAnsiTheme="majorBidi"/>
          <w:sz w:val="24"/>
          <w:szCs w:val="24"/>
        </w:rPr>
        <w:t>government</w:t>
      </w:r>
      <w:r>
        <w:rPr>
          <w:rFonts w:asciiTheme="majorBidi" w:hAnsiTheme="majorBidi"/>
          <w:spacing w:val="59"/>
          <w:sz w:val="24"/>
          <w:szCs w:val="24"/>
        </w:rPr>
        <w:t xml:space="preserve"> </w:t>
      </w:r>
      <w:r>
        <w:rPr>
          <w:rFonts w:asciiTheme="majorBidi" w:hAnsiTheme="majorBidi"/>
          <w:sz w:val="24"/>
          <w:szCs w:val="24"/>
        </w:rPr>
        <w:t>intuitions</w:t>
      </w:r>
      <w:r>
        <w:rPr>
          <w:rFonts w:asciiTheme="majorBidi" w:hAnsiTheme="majorBidi"/>
          <w:spacing w:val="53"/>
          <w:sz w:val="24"/>
          <w:szCs w:val="24"/>
        </w:rPr>
        <w:t xml:space="preserve"> </w:t>
      </w:r>
      <w:r>
        <w:rPr>
          <w:rFonts w:asciiTheme="majorBidi" w:hAnsiTheme="majorBidi"/>
          <w:sz w:val="24"/>
          <w:szCs w:val="24"/>
        </w:rPr>
        <w:t>to</w:t>
      </w:r>
      <w:r>
        <w:rPr>
          <w:rFonts w:asciiTheme="majorBidi" w:hAnsiTheme="majorBidi"/>
          <w:spacing w:val="59"/>
          <w:sz w:val="24"/>
          <w:szCs w:val="24"/>
        </w:rPr>
        <w:t xml:space="preserve"> </w:t>
      </w:r>
      <w:r>
        <w:rPr>
          <w:rFonts w:asciiTheme="majorBidi" w:hAnsiTheme="majorBidi"/>
          <w:spacing w:val="-2"/>
          <w:sz w:val="24"/>
          <w:szCs w:val="24"/>
        </w:rPr>
        <w:t>achieve</w:t>
      </w:r>
      <w:r>
        <w:rPr>
          <w:rFonts w:asciiTheme="majorBidi" w:hAnsiTheme="majorBidi"/>
          <w:sz w:val="24"/>
          <w:szCs w:val="24"/>
        </w:rPr>
        <w:t xml:space="preserve"> successful</w:t>
      </w:r>
      <w:r>
        <w:rPr>
          <w:rFonts w:asciiTheme="majorBidi" w:hAnsiTheme="majorBidi"/>
          <w:spacing w:val="-17"/>
          <w:sz w:val="24"/>
          <w:szCs w:val="24"/>
        </w:rPr>
        <w:t xml:space="preserve"> </w:t>
      </w:r>
      <w:r>
        <w:rPr>
          <w:rFonts w:asciiTheme="majorBidi" w:hAnsiTheme="majorBidi"/>
          <w:sz w:val="24"/>
          <w:szCs w:val="24"/>
        </w:rPr>
        <w:t>PFMRM</w:t>
      </w:r>
      <w:r>
        <w:rPr>
          <w:rFonts w:asciiTheme="majorBidi" w:hAnsiTheme="majorBidi"/>
          <w:spacing w:val="-3"/>
          <w:sz w:val="24"/>
          <w:szCs w:val="24"/>
        </w:rPr>
        <w:t xml:space="preserve"> </w:t>
      </w:r>
      <w:r>
        <w:rPr>
          <w:rFonts w:asciiTheme="majorBidi" w:hAnsiTheme="majorBidi"/>
          <w:spacing w:val="-2"/>
          <w:sz w:val="24"/>
          <w:szCs w:val="24"/>
        </w:rPr>
        <w:t>implementation</w:t>
      </w:r>
      <w:bookmarkEnd w:id="36"/>
    </w:p>
    <w:p w14:paraId="01C163A8">
      <w:pPr>
        <w:pStyle w:val="15"/>
        <w:spacing w:line="276" w:lineRule="auto"/>
        <w:ind w:firstLine="0"/>
        <w:rPr>
          <w:rFonts w:asciiTheme="majorBidi" w:hAnsiTheme="majorBidi" w:cstheme="majorBidi"/>
          <w:b/>
          <w:bCs/>
          <w:color w:val="auto"/>
          <w:sz w:val="24"/>
          <w:szCs w:val="24"/>
        </w:rPr>
      </w:pPr>
    </w:p>
    <w:p w14:paraId="5EEC3EB7"/>
    <w:p w14:paraId="7318E3DE">
      <w:pPr>
        <w:spacing w:line="276" w:lineRule="auto"/>
        <w:jc w:val="center"/>
        <w:rPr>
          <w:rFonts w:asciiTheme="majorBidi" w:hAnsiTheme="majorBidi" w:cstheme="majorBidi"/>
        </w:rPr>
      </w:pPr>
      <w:r>
        <w:rPr>
          <w:rFonts w:asciiTheme="majorBidi" w:hAnsiTheme="majorBidi" w:cstheme="majorBidi"/>
          <w:b/>
          <w:bCs/>
          <w:i/>
          <w:iCs/>
          <w:color w:val="000000"/>
        </w:rPr>
        <w:t>Source: Own survey 202</w:t>
      </w:r>
      <w:r>
        <w:rPr>
          <w:rFonts w:asciiTheme="majorBidi" w:hAnsiTheme="majorBidi" w:cstheme="majorBidi"/>
          <w:b/>
          <w:bCs/>
          <w:i/>
          <w:iCs/>
          <w:color w:val="000000"/>
          <w:lang w:val="en-US"/>
        </w:rPr>
        <w:t>3</w:t>
      </w:r>
      <w:r>
        <w:rPr>
          <w:rFonts w:asciiTheme="majorBidi" w:hAnsiTheme="majorBidi" w:cstheme="majorBidi"/>
          <w:b/>
          <w:bCs/>
          <w:i/>
          <w:iCs/>
          <w:color w:val="000000"/>
        </w:rPr>
        <w:t>(SPSS).</w:t>
      </w:r>
    </w:p>
    <w:p w14:paraId="1CEAB290">
      <w:pPr>
        <w:autoSpaceDE w:val="0"/>
        <w:autoSpaceDN w:val="0"/>
        <w:adjustRightInd w:val="0"/>
        <w:spacing w:after="0" w:line="276" w:lineRule="auto"/>
        <w:rPr>
          <w:rFonts w:asciiTheme="majorBidi" w:hAnsiTheme="majorBidi" w:cstheme="majorBidi"/>
        </w:rPr>
      </w:pPr>
      <w:r>
        <w:rPr>
          <w:rFonts w:asciiTheme="majorBidi" w:hAnsiTheme="majorBidi" w:cstheme="majorBidi"/>
        </w:rPr>
        <w:t>Figure  above show that 56 of the respondent strong agree or 60.8% 14 agree or 38.9%, 13 disagree or 14.13% 9 strong disagree or 9.78% thus the most of respondent agree the Ministry of Finance has clear targets, and practical, achievable goals which inspire</w:t>
      </w:r>
      <w:r>
        <w:rPr>
          <w:rFonts w:asciiTheme="majorBidi" w:hAnsiTheme="majorBidi" w:cstheme="majorBidi"/>
          <w:spacing w:val="54"/>
        </w:rPr>
        <w:t xml:space="preserve"> </w:t>
      </w:r>
      <w:r>
        <w:rPr>
          <w:rFonts w:asciiTheme="majorBidi" w:hAnsiTheme="majorBidi" w:cstheme="majorBidi"/>
        </w:rPr>
        <w:t>the</w:t>
      </w:r>
      <w:r>
        <w:rPr>
          <w:rFonts w:asciiTheme="majorBidi" w:hAnsiTheme="majorBidi" w:cstheme="majorBidi"/>
          <w:spacing w:val="54"/>
        </w:rPr>
        <w:t xml:space="preserve"> </w:t>
      </w:r>
      <w:r>
        <w:rPr>
          <w:rFonts w:asciiTheme="majorBidi" w:hAnsiTheme="majorBidi" w:cstheme="majorBidi"/>
        </w:rPr>
        <w:t>government</w:t>
      </w:r>
      <w:r>
        <w:rPr>
          <w:rFonts w:asciiTheme="majorBidi" w:hAnsiTheme="majorBidi" w:cstheme="majorBidi"/>
          <w:spacing w:val="59"/>
        </w:rPr>
        <w:t xml:space="preserve"> </w:t>
      </w:r>
      <w:r>
        <w:rPr>
          <w:rFonts w:asciiTheme="majorBidi" w:hAnsiTheme="majorBidi" w:cstheme="majorBidi"/>
        </w:rPr>
        <w:t>intuitions</w:t>
      </w:r>
      <w:r>
        <w:rPr>
          <w:rFonts w:asciiTheme="majorBidi" w:hAnsiTheme="majorBidi" w:cstheme="majorBidi"/>
          <w:spacing w:val="53"/>
        </w:rPr>
        <w:t xml:space="preserve"> </w:t>
      </w:r>
      <w:r>
        <w:rPr>
          <w:rFonts w:asciiTheme="majorBidi" w:hAnsiTheme="majorBidi" w:cstheme="majorBidi"/>
        </w:rPr>
        <w:t>to</w:t>
      </w:r>
      <w:r>
        <w:rPr>
          <w:rFonts w:asciiTheme="majorBidi" w:hAnsiTheme="majorBidi" w:cstheme="majorBidi"/>
          <w:spacing w:val="59"/>
        </w:rPr>
        <w:t xml:space="preserve"> </w:t>
      </w:r>
      <w:r>
        <w:rPr>
          <w:rFonts w:asciiTheme="majorBidi" w:hAnsiTheme="majorBidi" w:cstheme="majorBidi"/>
          <w:spacing w:val="-2"/>
        </w:rPr>
        <w:t>achieve</w:t>
      </w:r>
      <w:r>
        <w:rPr>
          <w:rFonts w:asciiTheme="majorBidi" w:hAnsiTheme="majorBidi" w:cstheme="majorBidi"/>
        </w:rPr>
        <w:t xml:space="preserve"> successful</w:t>
      </w:r>
      <w:r>
        <w:rPr>
          <w:rFonts w:asciiTheme="majorBidi" w:hAnsiTheme="majorBidi" w:cstheme="majorBidi"/>
          <w:spacing w:val="-17"/>
        </w:rPr>
        <w:t xml:space="preserve"> </w:t>
      </w:r>
      <w:r>
        <w:rPr>
          <w:rFonts w:asciiTheme="majorBidi" w:hAnsiTheme="majorBidi" w:cstheme="majorBidi"/>
        </w:rPr>
        <w:t>PFMRM</w:t>
      </w:r>
      <w:r>
        <w:rPr>
          <w:rFonts w:asciiTheme="majorBidi" w:hAnsiTheme="majorBidi" w:cstheme="majorBidi"/>
          <w:spacing w:val="-3"/>
        </w:rPr>
        <w:t xml:space="preserve"> </w:t>
      </w:r>
      <w:r>
        <w:rPr>
          <w:rFonts w:asciiTheme="majorBidi" w:hAnsiTheme="majorBidi" w:cstheme="majorBidi"/>
          <w:spacing w:val="-2"/>
        </w:rPr>
        <w:t>implementation</w:t>
      </w:r>
    </w:p>
    <w:p w14:paraId="72D112E7">
      <w:pPr>
        <w:pStyle w:val="4"/>
        <w:spacing w:line="276" w:lineRule="auto"/>
        <w:ind w:firstLine="0"/>
        <w:rPr>
          <w:rFonts w:asciiTheme="majorBidi" w:hAnsiTheme="majorBidi"/>
          <w:sz w:val="24"/>
          <w:szCs w:val="24"/>
        </w:rPr>
      </w:pPr>
      <w:bookmarkStart w:id="37" w:name="_Toc136959613"/>
      <w:r>
        <w:rPr>
          <w:rFonts w:asciiTheme="majorBidi" w:hAnsiTheme="majorBidi"/>
          <w:sz w:val="24"/>
          <w:szCs w:val="24"/>
        </w:rPr>
        <w:t>The Ministry of Finance has set up a fund for implementation</w:t>
      </w:r>
      <w:r>
        <w:rPr>
          <w:rFonts w:asciiTheme="majorBidi" w:hAnsiTheme="majorBidi"/>
          <w:spacing w:val="-1"/>
          <w:sz w:val="24"/>
          <w:szCs w:val="24"/>
        </w:rPr>
        <w:t xml:space="preserve"> </w:t>
      </w:r>
      <w:r>
        <w:rPr>
          <w:rFonts w:asciiTheme="majorBidi" w:hAnsiTheme="majorBidi"/>
          <w:sz w:val="24"/>
          <w:szCs w:val="24"/>
        </w:rPr>
        <w:t>in</w:t>
      </w:r>
      <w:r>
        <w:rPr>
          <w:rFonts w:asciiTheme="majorBidi" w:hAnsiTheme="majorBidi"/>
          <w:spacing w:val="-5"/>
          <w:sz w:val="24"/>
          <w:szCs w:val="24"/>
        </w:rPr>
        <w:t xml:space="preserve"> the </w:t>
      </w:r>
      <w:r>
        <w:rPr>
          <w:rFonts w:asciiTheme="majorBidi" w:hAnsiTheme="majorBidi"/>
          <w:sz w:val="24"/>
          <w:szCs w:val="24"/>
        </w:rPr>
        <w:t>Puntland</w:t>
      </w:r>
      <w:r>
        <w:rPr>
          <w:rFonts w:asciiTheme="majorBidi" w:hAnsiTheme="majorBidi"/>
          <w:spacing w:val="3"/>
          <w:sz w:val="24"/>
          <w:szCs w:val="24"/>
        </w:rPr>
        <w:t xml:space="preserve"> </w:t>
      </w:r>
      <w:r>
        <w:rPr>
          <w:rFonts w:asciiTheme="majorBidi" w:hAnsiTheme="majorBidi"/>
          <w:sz w:val="24"/>
          <w:szCs w:val="24"/>
        </w:rPr>
        <w:t>state</w:t>
      </w:r>
      <w:r>
        <w:rPr>
          <w:rFonts w:asciiTheme="majorBidi" w:hAnsiTheme="majorBidi"/>
          <w:spacing w:val="-6"/>
          <w:sz w:val="24"/>
          <w:szCs w:val="24"/>
        </w:rPr>
        <w:t xml:space="preserve"> </w:t>
      </w:r>
      <w:r>
        <w:rPr>
          <w:rFonts w:asciiTheme="majorBidi" w:hAnsiTheme="majorBidi"/>
          <w:sz w:val="24"/>
          <w:szCs w:val="24"/>
        </w:rPr>
        <w:t>of</w:t>
      </w:r>
      <w:r>
        <w:rPr>
          <w:rFonts w:asciiTheme="majorBidi" w:hAnsiTheme="majorBidi"/>
          <w:spacing w:val="-8"/>
          <w:sz w:val="24"/>
          <w:szCs w:val="24"/>
        </w:rPr>
        <w:t xml:space="preserve"> </w:t>
      </w:r>
      <w:r>
        <w:rPr>
          <w:rFonts w:asciiTheme="majorBidi" w:hAnsiTheme="majorBidi"/>
          <w:sz w:val="24"/>
          <w:szCs w:val="24"/>
        </w:rPr>
        <w:t>Somalia</w:t>
      </w:r>
      <w:bookmarkEnd w:id="37"/>
    </w:p>
    <w:tbl>
      <w:tblPr>
        <w:tblStyle w:val="102"/>
        <w:tblW w:w="0" w:type="auto"/>
        <w:tblInd w:w="0" w:type="dxa"/>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Layout w:type="autofit"/>
        <w:tblCellMar>
          <w:top w:w="0" w:type="dxa"/>
          <w:left w:w="108" w:type="dxa"/>
          <w:bottom w:w="0" w:type="dxa"/>
          <w:right w:w="108" w:type="dxa"/>
        </w:tblCellMar>
      </w:tblPr>
      <w:tblGrid>
        <w:gridCol w:w="2566"/>
        <w:gridCol w:w="2499"/>
        <w:gridCol w:w="4403"/>
      </w:tblGrid>
      <w:tr w14:paraId="6E25D3DB">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66" w:type="dxa"/>
          </w:tcPr>
          <w:p w14:paraId="59CF2AE4">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Respondents</w:t>
            </w:r>
          </w:p>
        </w:tc>
        <w:tc>
          <w:tcPr>
            <w:tcW w:w="2499" w:type="dxa"/>
          </w:tcPr>
          <w:p w14:paraId="7BAD5A25">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Frequency</w:t>
            </w:r>
          </w:p>
        </w:tc>
        <w:tc>
          <w:tcPr>
            <w:tcW w:w="4403" w:type="dxa"/>
          </w:tcPr>
          <w:p w14:paraId="44683E2B">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Percent</w:t>
            </w:r>
          </w:p>
        </w:tc>
      </w:tr>
      <w:tr w14:paraId="6EE2899F">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66" w:type="dxa"/>
          </w:tcPr>
          <w:p w14:paraId="3C3D6967">
            <w:pPr>
              <w:autoSpaceDE w:val="0"/>
              <w:autoSpaceDN w:val="0"/>
              <w:adjustRightInd w:val="0"/>
              <w:spacing w:line="276" w:lineRule="auto"/>
              <w:ind w:right="60" w:firstLine="0"/>
              <w:jc w:val="center"/>
              <w:rPr>
                <w:rFonts w:asciiTheme="majorBidi" w:hAnsiTheme="majorBidi" w:cstheme="majorBidi"/>
                <w:b/>
                <w:bCs/>
                <w:caps/>
                <w:color w:val="000000"/>
                <w:sz w:val="24"/>
                <w:szCs w:val="24"/>
              </w:rPr>
            </w:pPr>
            <w:r>
              <w:rPr>
                <w:rFonts w:asciiTheme="majorBidi" w:hAnsiTheme="majorBidi" w:cstheme="majorBidi"/>
                <w:caps/>
                <w:color w:val="000000"/>
                <w:sz w:val="24"/>
                <w:szCs w:val="24"/>
              </w:rPr>
              <w:t>strongly agree</w:t>
            </w:r>
          </w:p>
        </w:tc>
        <w:tc>
          <w:tcPr>
            <w:tcW w:w="2499" w:type="dxa"/>
          </w:tcPr>
          <w:p w14:paraId="1B015D2D">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45</w:t>
            </w:r>
          </w:p>
        </w:tc>
        <w:tc>
          <w:tcPr>
            <w:tcW w:w="4403" w:type="dxa"/>
          </w:tcPr>
          <w:p w14:paraId="1E604923">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48.9</w:t>
            </w:r>
          </w:p>
        </w:tc>
      </w:tr>
      <w:tr w14:paraId="3A5B49A0">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66" w:type="dxa"/>
          </w:tcPr>
          <w:p w14:paraId="03C684AA">
            <w:pPr>
              <w:autoSpaceDE w:val="0"/>
              <w:autoSpaceDN w:val="0"/>
              <w:adjustRightInd w:val="0"/>
              <w:spacing w:line="276" w:lineRule="auto"/>
              <w:ind w:right="60" w:firstLine="0"/>
              <w:jc w:val="center"/>
              <w:rPr>
                <w:rFonts w:asciiTheme="majorBidi" w:hAnsiTheme="majorBidi" w:cstheme="majorBidi"/>
                <w:b/>
                <w:bCs/>
                <w:caps/>
                <w:color w:val="000000"/>
                <w:sz w:val="24"/>
                <w:szCs w:val="24"/>
              </w:rPr>
            </w:pPr>
            <w:r>
              <w:rPr>
                <w:rFonts w:asciiTheme="majorBidi" w:hAnsiTheme="majorBidi" w:cstheme="majorBidi"/>
                <w:caps/>
                <w:color w:val="000000"/>
                <w:sz w:val="24"/>
                <w:szCs w:val="24"/>
              </w:rPr>
              <w:t>Agree</w:t>
            </w:r>
          </w:p>
        </w:tc>
        <w:tc>
          <w:tcPr>
            <w:tcW w:w="2499" w:type="dxa"/>
          </w:tcPr>
          <w:p w14:paraId="71DC1072">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38</w:t>
            </w:r>
          </w:p>
        </w:tc>
        <w:tc>
          <w:tcPr>
            <w:tcW w:w="4403" w:type="dxa"/>
          </w:tcPr>
          <w:p w14:paraId="226FE971">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41.30</w:t>
            </w:r>
          </w:p>
        </w:tc>
      </w:tr>
      <w:tr w14:paraId="1498933F">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66" w:type="dxa"/>
          </w:tcPr>
          <w:p w14:paraId="5B245418">
            <w:pPr>
              <w:autoSpaceDE w:val="0"/>
              <w:autoSpaceDN w:val="0"/>
              <w:adjustRightInd w:val="0"/>
              <w:spacing w:line="276" w:lineRule="auto"/>
              <w:ind w:right="60" w:firstLine="0"/>
              <w:jc w:val="center"/>
              <w:rPr>
                <w:rFonts w:asciiTheme="majorBidi" w:hAnsiTheme="majorBidi" w:cstheme="majorBidi"/>
                <w:b/>
                <w:bCs/>
                <w:caps/>
                <w:color w:val="000000"/>
                <w:sz w:val="24"/>
                <w:szCs w:val="24"/>
              </w:rPr>
            </w:pPr>
            <w:r>
              <w:rPr>
                <w:rFonts w:asciiTheme="majorBidi" w:hAnsiTheme="majorBidi" w:cstheme="majorBidi"/>
                <w:caps/>
                <w:color w:val="000000"/>
                <w:sz w:val="24"/>
                <w:szCs w:val="24"/>
              </w:rPr>
              <w:t>Disagree</w:t>
            </w:r>
          </w:p>
        </w:tc>
        <w:tc>
          <w:tcPr>
            <w:tcW w:w="2499" w:type="dxa"/>
          </w:tcPr>
          <w:p w14:paraId="1BBAF5D0">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6</w:t>
            </w:r>
          </w:p>
        </w:tc>
        <w:tc>
          <w:tcPr>
            <w:tcW w:w="4403" w:type="dxa"/>
          </w:tcPr>
          <w:p w14:paraId="6E74DEE9">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6.52</w:t>
            </w:r>
          </w:p>
        </w:tc>
      </w:tr>
      <w:tr w14:paraId="0A311ADF">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66" w:type="dxa"/>
          </w:tcPr>
          <w:p w14:paraId="3C55A271">
            <w:pPr>
              <w:autoSpaceDE w:val="0"/>
              <w:autoSpaceDN w:val="0"/>
              <w:adjustRightInd w:val="0"/>
              <w:spacing w:line="276" w:lineRule="auto"/>
              <w:ind w:right="60" w:firstLine="0"/>
              <w:jc w:val="center"/>
              <w:rPr>
                <w:rFonts w:asciiTheme="majorBidi" w:hAnsiTheme="majorBidi" w:cstheme="majorBidi"/>
                <w:b/>
                <w:bCs/>
                <w:caps/>
                <w:color w:val="000000"/>
                <w:sz w:val="24"/>
                <w:szCs w:val="24"/>
              </w:rPr>
            </w:pPr>
            <w:r>
              <w:rPr>
                <w:rFonts w:asciiTheme="majorBidi" w:hAnsiTheme="majorBidi" w:cstheme="majorBidi"/>
                <w:caps/>
                <w:color w:val="000000"/>
                <w:sz w:val="24"/>
                <w:szCs w:val="24"/>
              </w:rPr>
              <w:t>strongly disagree</w:t>
            </w:r>
          </w:p>
        </w:tc>
        <w:tc>
          <w:tcPr>
            <w:tcW w:w="2499" w:type="dxa"/>
          </w:tcPr>
          <w:p w14:paraId="3C4598A0">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3</w:t>
            </w:r>
          </w:p>
        </w:tc>
        <w:tc>
          <w:tcPr>
            <w:tcW w:w="4403" w:type="dxa"/>
          </w:tcPr>
          <w:p w14:paraId="54FD0837">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8.3</w:t>
            </w:r>
          </w:p>
        </w:tc>
      </w:tr>
      <w:tr w14:paraId="15525B6E">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66" w:type="dxa"/>
          </w:tcPr>
          <w:p w14:paraId="18E09E47">
            <w:pPr>
              <w:tabs>
                <w:tab w:val="left" w:pos="1512"/>
              </w:tabs>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Total</w:t>
            </w:r>
          </w:p>
        </w:tc>
        <w:tc>
          <w:tcPr>
            <w:tcW w:w="2499" w:type="dxa"/>
          </w:tcPr>
          <w:p w14:paraId="7C24C548">
            <w:pPr>
              <w:tabs>
                <w:tab w:val="left" w:pos="1512"/>
              </w:tabs>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92</w:t>
            </w:r>
          </w:p>
        </w:tc>
        <w:tc>
          <w:tcPr>
            <w:tcW w:w="4403" w:type="dxa"/>
          </w:tcPr>
          <w:p w14:paraId="29B163E7">
            <w:pPr>
              <w:tabs>
                <w:tab w:val="left" w:pos="1512"/>
              </w:tabs>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100.0</w:t>
            </w:r>
          </w:p>
        </w:tc>
      </w:tr>
    </w:tbl>
    <w:p w14:paraId="391A0567">
      <w:pPr>
        <w:spacing w:line="276" w:lineRule="auto"/>
        <w:jc w:val="center"/>
        <w:rPr>
          <w:rFonts w:asciiTheme="majorBidi" w:hAnsiTheme="majorBidi" w:cstheme="majorBidi"/>
        </w:rPr>
      </w:pPr>
      <w:r>
        <w:rPr>
          <w:rFonts w:asciiTheme="majorBidi" w:hAnsiTheme="majorBidi" w:cstheme="majorBidi"/>
          <w:b/>
          <w:bCs/>
          <w:i/>
          <w:iCs/>
          <w:color w:val="000000"/>
        </w:rPr>
        <w:t>Source: Own survey 202</w:t>
      </w:r>
      <w:r>
        <w:rPr>
          <w:rFonts w:asciiTheme="majorBidi" w:hAnsiTheme="majorBidi" w:cstheme="majorBidi"/>
          <w:b/>
          <w:bCs/>
          <w:i/>
          <w:iCs/>
          <w:color w:val="000000"/>
          <w:lang w:val="en-US"/>
        </w:rPr>
        <w:t>3</w:t>
      </w:r>
      <w:r>
        <w:rPr>
          <w:rFonts w:asciiTheme="majorBidi" w:hAnsiTheme="majorBidi" w:cstheme="majorBidi"/>
          <w:b/>
          <w:bCs/>
          <w:i/>
          <w:iCs/>
          <w:color w:val="000000"/>
        </w:rPr>
        <w:t>(SPSS).</w:t>
      </w:r>
    </w:p>
    <w:p w14:paraId="364E2114">
      <w:pPr>
        <w:autoSpaceDE w:val="0"/>
        <w:autoSpaceDN w:val="0"/>
        <w:adjustRightInd w:val="0"/>
        <w:spacing w:after="0" w:line="276" w:lineRule="auto"/>
        <w:rPr>
          <w:rFonts w:asciiTheme="majorBidi" w:hAnsiTheme="majorBidi" w:cstheme="majorBidi"/>
          <w:spacing w:val="-2"/>
        </w:rPr>
      </w:pPr>
      <w:r>
        <w:rPr>
          <w:rFonts w:asciiTheme="majorBidi" w:hAnsiTheme="majorBidi" w:cstheme="majorBidi"/>
        </w:rPr>
        <w:t xml:space="preserve">Figure  above show that 45 of the respondent strong agree or 48.9% 38 agree or 41.30%, 6 disagree or 6.52% 3 strong disagree or 8.3% thus the most of respondent agree </w:t>
      </w:r>
      <w:r>
        <w:rPr>
          <w:rFonts w:asciiTheme="majorBidi" w:hAnsiTheme="majorBidi" w:cstheme="majorBidi"/>
          <w:spacing w:val="-2"/>
        </w:rPr>
        <w:t>The Ministry of Finance has set up a fund for</w:t>
      </w:r>
      <w:r>
        <w:rPr>
          <w:rFonts w:asciiTheme="majorBidi" w:hAnsiTheme="majorBidi" w:cstheme="majorBidi"/>
        </w:rPr>
        <w:t xml:space="preserve"> implementation</w:t>
      </w:r>
      <w:r>
        <w:rPr>
          <w:rFonts w:asciiTheme="majorBidi" w:hAnsiTheme="majorBidi" w:cstheme="majorBidi"/>
          <w:spacing w:val="-1"/>
        </w:rPr>
        <w:t xml:space="preserve"> </w:t>
      </w:r>
      <w:r>
        <w:rPr>
          <w:rFonts w:asciiTheme="majorBidi" w:hAnsiTheme="majorBidi" w:cstheme="majorBidi"/>
        </w:rPr>
        <w:t>in</w:t>
      </w:r>
      <w:r>
        <w:rPr>
          <w:rFonts w:asciiTheme="majorBidi" w:hAnsiTheme="majorBidi" w:cstheme="majorBidi"/>
          <w:spacing w:val="-5"/>
        </w:rPr>
        <w:t xml:space="preserve"> the </w:t>
      </w:r>
      <w:r>
        <w:rPr>
          <w:rFonts w:asciiTheme="majorBidi" w:hAnsiTheme="majorBidi" w:cstheme="majorBidi"/>
        </w:rPr>
        <w:t>Puntland</w:t>
      </w:r>
      <w:r>
        <w:rPr>
          <w:rFonts w:asciiTheme="majorBidi" w:hAnsiTheme="majorBidi" w:cstheme="majorBidi"/>
          <w:spacing w:val="3"/>
        </w:rPr>
        <w:t xml:space="preserve"> </w:t>
      </w:r>
      <w:r>
        <w:rPr>
          <w:rFonts w:asciiTheme="majorBidi" w:hAnsiTheme="majorBidi" w:cstheme="majorBidi"/>
        </w:rPr>
        <w:t>state</w:t>
      </w:r>
      <w:r>
        <w:rPr>
          <w:rFonts w:asciiTheme="majorBidi" w:hAnsiTheme="majorBidi" w:cstheme="majorBidi"/>
          <w:spacing w:val="-6"/>
        </w:rPr>
        <w:t xml:space="preserve"> </w:t>
      </w:r>
      <w:r>
        <w:rPr>
          <w:rFonts w:asciiTheme="majorBidi" w:hAnsiTheme="majorBidi" w:cstheme="majorBidi"/>
        </w:rPr>
        <w:t>of</w:t>
      </w:r>
      <w:r>
        <w:rPr>
          <w:rFonts w:asciiTheme="majorBidi" w:hAnsiTheme="majorBidi" w:cstheme="majorBidi"/>
          <w:spacing w:val="-8"/>
        </w:rPr>
        <w:t xml:space="preserve"> </w:t>
      </w:r>
      <w:r>
        <w:rPr>
          <w:rFonts w:asciiTheme="majorBidi" w:hAnsiTheme="majorBidi" w:cstheme="majorBidi"/>
          <w:spacing w:val="-2"/>
        </w:rPr>
        <w:t>Somalia</w:t>
      </w:r>
    </w:p>
    <w:p w14:paraId="36CF88BF">
      <w:pPr>
        <w:pStyle w:val="4"/>
        <w:spacing w:line="276" w:lineRule="auto"/>
        <w:ind w:firstLine="0"/>
        <w:rPr>
          <w:rFonts w:asciiTheme="majorBidi" w:hAnsiTheme="majorBidi"/>
          <w:spacing w:val="-2"/>
          <w:sz w:val="24"/>
          <w:szCs w:val="24"/>
        </w:rPr>
      </w:pPr>
      <w:r>
        <w:rPr>
          <w:rFonts w:asciiTheme="majorBidi" w:hAnsiTheme="majorBidi"/>
          <w:sz w:val="24"/>
          <w:szCs w:val="24"/>
        </w:rPr>
        <w:t>The ministry leadership could</w:t>
      </w:r>
      <w:r>
        <w:rPr>
          <w:rFonts w:asciiTheme="majorBidi" w:hAnsiTheme="majorBidi"/>
          <w:spacing w:val="-14"/>
          <w:sz w:val="24"/>
          <w:szCs w:val="24"/>
        </w:rPr>
        <w:t xml:space="preserve"> affect</w:t>
      </w:r>
      <w:r>
        <w:rPr>
          <w:rFonts w:asciiTheme="majorBidi" w:hAnsiTheme="majorBidi"/>
          <w:spacing w:val="-15"/>
          <w:sz w:val="24"/>
          <w:szCs w:val="24"/>
        </w:rPr>
        <w:t xml:space="preserve"> </w:t>
      </w:r>
      <w:r>
        <w:rPr>
          <w:rFonts w:asciiTheme="majorBidi" w:hAnsiTheme="majorBidi"/>
          <w:sz w:val="24"/>
          <w:szCs w:val="24"/>
        </w:rPr>
        <w:t>or change</w:t>
      </w:r>
      <w:r>
        <w:rPr>
          <w:rFonts w:asciiTheme="majorBidi" w:hAnsiTheme="majorBidi"/>
          <w:spacing w:val="-6"/>
          <w:sz w:val="24"/>
          <w:szCs w:val="24"/>
        </w:rPr>
        <w:t xml:space="preserve"> </w:t>
      </w:r>
      <w:r>
        <w:rPr>
          <w:rFonts w:asciiTheme="majorBidi" w:hAnsiTheme="majorBidi"/>
          <w:sz w:val="24"/>
          <w:szCs w:val="24"/>
        </w:rPr>
        <w:t>the</w:t>
      </w:r>
      <w:r>
        <w:rPr>
          <w:rFonts w:asciiTheme="majorBidi" w:hAnsiTheme="majorBidi"/>
          <w:spacing w:val="-5"/>
          <w:sz w:val="24"/>
          <w:szCs w:val="24"/>
        </w:rPr>
        <w:t xml:space="preserve"> </w:t>
      </w:r>
      <w:r>
        <w:rPr>
          <w:rFonts w:asciiTheme="majorBidi" w:hAnsiTheme="majorBidi"/>
          <w:sz w:val="24"/>
          <w:szCs w:val="24"/>
        </w:rPr>
        <w:t>values,</w:t>
      </w:r>
      <w:r>
        <w:rPr>
          <w:rFonts w:asciiTheme="majorBidi" w:hAnsiTheme="majorBidi"/>
          <w:spacing w:val="-3"/>
          <w:sz w:val="24"/>
          <w:szCs w:val="24"/>
        </w:rPr>
        <w:t xml:space="preserve"> </w:t>
      </w:r>
      <w:r>
        <w:rPr>
          <w:rFonts w:asciiTheme="majorBidi" w:hAnsiTheme="majorBidi"/>
          <w:sz w:val="24"/>
          <w:szCs w:val="24"/>
        </w:rPr>
        <w:t>beliefs,</w:t>
      </w:r>
      <w:r>
        <w:rPr>
          <w:rFonts w:asciiTheme="majorBidi" w:hAnsiTheme="majorBidi"/>
          <w:spacing w:val="2"/>
          <w:sz w:val="24"/>
          <w:szCs w:val="24"/>
        </w:rPr>
        <w:t xml:space="preserve"> </w:t>
      </w:r>
      <w:r>
        <w:rPr>
          <w:rFonts w:asciiTheme="majorBidi" w:hAnsiTheme="majorBidi"/>
          <w:sz w:val="24"/>
          <w:szCs w:val="24"/>
        </w:rPr>
        <w:t>behaviors,</w:t>
      </w:r>
      <w:r>
        <w:rPr>
          <w:rFonts w:asciiTheme="majorBidi" w:hAnsiTheme="majorBidi"/>
          <w:spacing w:val="-7"/>
          <w:sz w:val="24"/>
          <w:szCs w:val="24"/>
        </w:rPr>
        <w:t xml:space="preserve"> </w:t>
      </w:r>
      <w:r>
        <w:rPr>
          <w:rFonts w:asciiTheme="majorBidi" w:hAnsiTheme="majorBidi"/>
          <w:sz w:val="24"/>
          <w:szCs w:val="24"/>
        </w:rPr>
        <w:t>and</w:t>
      </w:r>
      <w:r>
        <w:rPr>
          <w:rFonts w:asciiTheme="majorBidi" w:hAnsiTheme="majorBidi"/>
          <w:spacing w:val="-4"/>
          <w:sz w:val="24"/>
          <w:szCs w:val="24"/>
        </w:rPr>
        <w:t xml:space="preserve"> </w:t>
      </w:r>
      <w:r>
        <w:rPr>
          <w:rFonts w:asciiTheme="majorBidi" w:hAnsiTheme="majorBidi"/>
          <w:spacing w:val="-2"/>
          <w:sz w:val="24"/>
          <w:szCs w:val="24"/>
        </w:rPr>
        <w:t>attitudes</w:t>
      </w:r>
      <w:r>
        <w:rPr>
          <w:rFonts w:asciiTheme="majorBidi" w:hAnsiTheme="majorBidi"/>
          <w:sz w:val="24"/>
          <w:szCs w:val="24"/>
        </w:rPr>
        <w:t xml:space="preserve"> of</w:t>
      </w:r>
      <w:r>
        <w:rPr>
          <w:rFonts w:asciiTheme="majorBidi" w:hAnsiTheme="majorBidi"/>
          <w:spacing w:val="-5"/>
          <w:sz w:val="24"/>
          <w:szCs w:val="24"/>
        </w:rPr>
        <w:t xml:space="preserve"> </w:t>
      </w:r>
      <w:r>
        <w:rPr>
          <w:rFonts w:asciiTheme="majorBidi" w:hAnsiTheme="majorBidi"/>
          <w:sz w:val="24"/>
          <w:szCs w:val="24"/>
        </w:rPr>
        <w:t>the</w:t>
      </w:r>
      <w:r>
        <w:rPr>
          <w:rFonts w:asciiTheme="majorBidi" w:hAnsiTheme="majorBidi"/>
          <w:spacing w:val="4"/>
          <w:sz w:val="24"/>
          <w:szCs w:val="24"/>
        </w:rPr>
        <w:t xml:space="preserve"> </w:t>
      </w:r>
      <w:r>
        <w:rPr>
          <w:rFonts w:asciiTheme="majorBidi" w:hAnsiTheme="majorBidi"/>
          <w:spacing w:val="-2"/>
          <w:sz w:val="24"/>
          <w:szCs w:val="24"/>
        </w:rPr>
        <w:t>employee</w:t>
      </w:r>
    </w:p>
    <w:tbl>
      <w:tblPr>
        <w:tblStyle w:val="84"/>
        <w:tblW w:w="9738" w:type="dxa"/>
        <w:tblInd w:w="0" w:type="dxa"/>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Layout w:type="autofit"/>
        <w:tblCellMar>
          <w:top w:w="0" w:type="dxa"/>
          <w:left w:w="108" w:type="dxa"/>
          <w:bottom w:w="0" w:type="dxa"/>
          <w:right w:w="108" w:type="dxa"/>
        </w:tblCellMar>
      </w:tblPr>
      <w:tblGrid>
        <w:gridCol w:w="2630"/>
        <w:gridCol w:w="3688"/>
        <w:gridCol w:w="3420"/>
      </w:tblGrid>
      <w:tr w14:paraId="6B7386BF">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rPr>
          <w:trHeight w:val="782" w:hRule="atLeast"/>
        </w:trPr>
        <w:tc>
          <w:tcPr>
            <w:tcW w:w="2630" w:type="dxa"/>
          </w:tcPr>
          <w:p w14:paraId="52BDD157">
            <w:pPr>
              <w:autoSpaceDE w:val="0"/>
              <w:autoSpaceDN w:val="0"/>
              <w:adjustRightInd w:val="0"/>
              <w:spacing w:line="276" w:lineRule="auto"/>
              <w:ind w:right="60" w:firstLine="0"/>
              <w:jc w:val="center"/>
              <w:rPr>
                <w:rFonts w:asciiTheme="majorBidi" w:hAnsiTheme="majorBidi" w:cstheme="majorBidi"/>
                <w:b/>
                <w:bCs/>
                <w:caps/>
                <w:color w:val="000000"/>
                <w:sz w:val="24"/>
                <w:szCs w:val="24"/>
              </w:rPr>
            </w:pPr>
            <w:r>
              <w:rPr>
                <w:rFonts w:asciiTheme="majorBidi" w:hAnsiTheme="majorBidi" w:cstheme="majorBidi"/>
                <w:b/>
                <w:bCs/>
                <w:caps/>
                <w:color w:val="000000"/>
                <w:sz w:val="24"/>
                <w:szCs w:val="24"/>
              </w:rPr>
              <w:t>Respondents</w:t>
            </w:r>
          </w:p>
        </w:tc>
        <w:tc>
          <w:tcPr>
            <w:tcW w:w="3688" w:type="dxa"/>
          </w:tcPr>
          <w:p w14:paraId="5714DB28">
            <w:pPr>
              <w:autoSpaceDE w:val="0"/>
              <w:autoSpaceDN w:val="0"/>
              <w:adjustRightInd w:val="0"/>
              <w:spacing w:line="276" w:lineRule="auto"/>
              <w:ind w:left="60" w:right="60" w:firstLine="0"/>
              <w:jc w:val="center"/>
              <w:rPr>
                <w:rFonts w:asciiTheme="majorBidi" w:hAnsiTheme="majorBidi" w:cstheme="majorBidi"/>
                <w:b/>
                <w:bCs/>
                <w:caps/>
                <w:color w:val="000000"/>
                <w:sz w:val="24"/>
                <w:szCs w:val="24"/>
              </w:rPr>
            </w:pPr>
            <w:r>
              <w:rPr>
                <w:rFonts w:asciiTheme="majorBidi" w:hAnsiTheme="majorBidi" w:cstheme="majorBidi"/>
                <w:b/>
                <w:bCs/>
                <w:caps/>
                <w:color w:val="000000"/>
                <w:sz w:val="24"/>
                <w:szCs w:val="24"/>
              </w:rPr>
              <w:t>Frequency</w:t>
            </w:r>
          </w:p>
        </w:tc>
        <w:tc>
          <w:tcPr>
            <w:tcW w:w="3420" w:type="dxa"/>
          </w:tcPr>
          <w:p w14:paraId="56288497">
            <w:pPr>
              <w:autoSpaceDE w:val="0"/>
              <w:autoSpaceDN w:val="0"/>
              <w:adjustRightInd w:val="0"/>
              <w:spacing w:line="276" w:lineRule="auto"/>
              <w:ind w:left="60" w:right="60" w:firstLine="0"/>
              <w:jc w:val="center"/>
              <w:rPr>
                <w:rFonts w:asciiTheme="majorBidi" w:hAnsiTheme="majorBidi" w:cstheme="majorBidi"/>
                <w:b/>
                <w:bCs/>
                <w:caps/>
                <w:color w:val="000000"/>
                <w:sz w:val="24"/>
                <w:szCs w:val="24"/>
              </w:rPr>
            </w:pPr>
            <w:r>
              <w:rPr>
                <w:rFonts w:asciiTheme="majorBidi" w:hAnsiTheme="majorBidi" w:cstheme="majorBidi"/>
                <w:b/>
                <w:bCs/>
                <w:caps/>
                <w:color w:val="000000"/>
                <w:sz w:val="24"/>
                <w:szCs w:val="24"/>
              </w:rPr>
              <w:t>Percent</w:t>
            </w:r>
          </w:p>
        </w:tc>
      </w:tr>
      <w:tr w14:paraId="684FC35B">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rPr>
          <w:trHeight w:val="384" w:hRule="atLeast"/>
        </w:trPr>
        <w:tc>
          <w:tcPr>
            <w:tcW w:w="2630" w:type="dxa"/>
            <w:shd w:val="clear" w:color="auto" w:fill="F1F1F1" w:themeFill="background1" w:themeFillShade="F2"/>
          </w:tcPr>
          <w:p w14:paraId="4A052AD2">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strong agree</w:t>
            </w:r>
          </w:p>
        </w:tc>
        <w:tc>
          <w:tcPr>
            <w:tcW w:w="3688" w:type="dxa"/>
            <w:shd w:val="clear" w:color="auto" w:fill="F1F1F1" w:themeFill="background1" w:themeFillShade="F2"/>
          </w:tcPr>
          <w:p w14:paraId="4348A79C">
            <w:pPr>
              <w:autoSpaceDE w:val="0"/>
              <w:autoSpaceDN w:val="0"/>
              <w:adjustRightInd w:val="0"/>
              <w:spacing w:line="276" w:lineRule="auto"/>
              <w:ind w:right="60" w:firstLine="0"/>
              <w:jc w:val="center"/>
              <w:rPr>
                <w:rFonts w:asciiTheme="majorBidi" w:hAnsiTheme="majorBidi" w:cstheme="majorBidi"/>
                <w:caps/>
                <w:color w:val="000000"/>
                <w:sz w:val="24"/>
                <w:szCs w:val="24"/>
              </w:rPr>
            </w:pPr>
            <w:r>
              <w:rPr>
                <w:rFonts w:asciiTheme="majorBidi" w:hAnsiTheme="majorBidi" w:cstheme="majorBidi"/>
                <w:caps/>
                <w:color w:val="000000"/>
                <w:sz w:val="24"/>
                <w:szCs w:val="24"/>
              </w:rPr>
              <w:t>25</w:t>
            </w:r>
          </w:p>
        </w:tc>
        <w:tc>
          <w:tcPr>
            <w:tcW w:w="3420" w:type="dxa"/>
            <w:shd w:val="clear" w:color="auto" w:fill="F1F1F1" w:themeFill="background1" w:themeFillShade="F2"/>
          </w:tcPr>
          <w:p w14:paraId="5552E609">
            <w:pPr>
              <w:autoSpaceDE w:val="0"/>
              <w:autoSpaceDN w:val="0"/>
              <w:adjustRightInd w:val="0"/>
              <w:spacing w:line="276" w:lineRule="auto"/>
              <w:ind w:right="60" w:firstLine="0"/>
              <w:jc w:val="center"/>
              <w:rPr>
                <w:rFonts w:asciiTheme="majorBidi" w:hAnsiTheme="majorBidi" w:cstheme="majorBidi"/>
                <w:caps/>
                <w:color w:val="000000"/>
                <w:sz w:val="24"/>
                <w:szCs w:val="24"/>
              </w:rPr>
            </w:pPr>
            <w:r>
              <w:rPr>
                <w:rFonts w:asciiTheme="majorBidi" w:hAnsiTheme="majorBidi" w:cstheme="majorBidi"/>
                <w:caps/>
                <w:color w:val="000000"/>
                <w:sz w:val="24"/>
                <w:szCs w:val="24"/>
              </w:rPr>
              <w:t>27.17</w:t>
            </w:r>
          </w:p>
        </w:tc>
      </w:tr>
      <w:tr w14:paraId="787C77A0">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rPr>
          <w:trHeight w:val="384" w:hRule="atLeast"/>
        </w:trPr>
        <w:tc>
          <w:tcPr>
            <w:tcW w:w="2630" w:type="dxa"/>
          </w:tcPr>
          <w:p w14:paraId="57065CF6">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Agree</w:t>
            </w:r>
          </w:p>
        </w:tc>
        <w:tc>
          <w:tcPr>
            <w:tcW w:w="3688" w:type="dxa"/>
          </w:tcPr>
          <w:p w14:paraId="2A294094">
            <w:pPr>
              <w:autoSpaceDE w:val="0"/>
              <w:autoSpaceDN w:val="0"/>
              <w:adjustRightInd w:val="0"/>
              <w:spacing w:line="276" w:lineRule="auto"/>
              <w:ind w:right="60" w:firstLine="0"/>
              <w:jc w:val="center"/>
              <w:rPr>
                <w:rFonts w:asciiTheme="majorBidi" w:hAnsiTheme="majorBidi" w:cstheme="majorBidi"/>
                <w:caps/>
                <w:color w:val="000000"/>
                <w:sz w:val="24"/>
                <w:szCs w:val="24"/>
              </w:rPr>
            </w:pPr>
            <w:r>
              <w:rPr>
                <w:rFonts w:asciiTheme="majorBidi" w:hAnsiTheme="majorBidi" w:cstheme="majorBidi"/>
                <w:caps/>
                <w:color w:val="000000"/>
                <w:sz w:val="24"/>
                <w:szCs w:val="24"/>
              </w:rPr>
              <w:t>19</w:t>
            </w:r>
          </w:p>
        </w:tc>
        <w:tc>
          <w:tcPr>
            <w:tcW w:w="3420" w:type="dxa"/>
          </w:tcPr>
          <w:p w14:paraId="0B9F473C">
            <w:pPr>
              <w:autoSpaceDE w:val="0"/>
              <w:autoSpaceDN w:val="0"/>
              <w:adjustRightInd w:val="0"/>
              <w:spacing w:line="276" w:lineRule="auto"/>
              <w:ind w:right="60" w:firstLine="0"/>
              <w:jc w:val="center"/>
              <w:rPr>
                <w:rFonts w:asciiTheme="majorBidi" w:hAnsiTheme="majorBidi" w:cstheme="majorBidi"/>
                <w:caps/>
                <w:color w:val="000000"/>
                <w:sz w:val="24"/>
                <w:szCs w:val="24"/>
              </w:rPr>
            </w:pPr>
            <w:r>
              <w:rPr>
                <w:rFonts w:asciiTheme="majorBidi" w:hAnsiTheme="majorBidi" w:cstheme="majorBidi"/>
                <w:caps/>
                <w:color w:val="000000"/>
                <w:sz w:val="24"/>
                <w:szCs w:val="24"/>
              </w:rPr>
              <w:t>52.8</w:t>
            </w:r>
          </w:p>
        </w:tc>
      </w:tr>
      <w:tr w14:paraId="34C1C4F8">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rPr>
          <w:trHeight w:val="398" w:hRule="atLeast"/>
        </w:trPr>
        <w:tc>
          <w:tcPr>
            <w:tcW w:w="2630" w:type="dxa"/>
            <w:shd w:val="clear" w:color="auto" w:fill="F1F1F1" w:themeFill="background1" w:themeFillShade="F2"/>
          </w:tcPr>
          <w:p w14:paraId="5A06231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Disagree</w:t>
            </w:r>
          </w:p>
        </w:tc>
        <w:tc>
          <w:tcPr>
            <w:tcW w:w="3688" w:type="dxa"/>
            <w:shd w:val="clear" w:color="auto" w:fill="F1F1F1" w:themeFill="background1" w:themeFillShade="F2"/>
          </w:tcPr>
          <w:p w14:paraId="387E289D">
            <w:pPr>
              <w:autoSpaceDE w:val="0"/>
              <w:autoSpaceDN w:val="0"/>
              <w:adjustRightInd w:val="0"/>
              <w:spacing w:line="276" w:lineRule="auto"/>
              <w:ind w:right="60" w:firstLine="0"/>
              <w:jc w:val="center"/>
              <w:rPr>
                <w:rFonts w:asciiTheme="majorBidi" w:hAnsiTheme="majorBidi" w:cstheme="majorBidi"/>
                <w:caps/>
                <w:color w:val="000000"/>
                <w:sz w:val="24"/>
                <w:szCs w:val="24"/>
              </w:rPr>
            </w:pPr>
            <w:r>
              <w:rPr>
                <w:rFonts w:asciiTheme="majorBidi" w:hAnsiTheme="majorBidi" w:cstheme="majorBidi"/>
                <w:caps/>
                <w:color w:val="000000"/>
                <w:sz w:val="24"/>
                <w:szCs w:val="24"/>
              </w:rPr>
              <w:t>20</w:t>
            </w:r>
          </w:p>
        </w:tc>
        <w:tc>
          <w:tcPr>
            <w:tcW w:w="3420" w:type="dxa"/>
            <w:shd w:val="clear" w:color="auto" w:fill="F1F1F1" w:themeFill="background1" w:themeFillShade="F2"/>
          </w:tcPr>
          <w:p w14:paraId="5AE8EC65">
            <w:pPr>
              <w:autoSpaceDE w:val="0"/>
              <w:autoSpaceDN w:val="0"/>
              <w:adjustRightInd w:val="0"/>
              <w:spacing w:line="276" w:lineRule="auto"/>
              <w:ind w:right="60" w:firstLine="0"/>
              <w:jc w:val="center"/>
              <w:rPr>
                <w:rFonts w:asciiTheme="majorBidi" w:hAnsiTheme="majorBidi" w:cstheme="majorBidi"/>
                <w:caps/>
                <w:color w:val="000000"/>
                <w:sz w:val="24"/>
                <w:szCs w:val="24"/>
              </w:rPr>
            </w:pPr>
            <w:r>
              <w:rPr>
                <w:rFonts w:asciiTheme="majorBidi" w:hAnsiTheme="majorBidi" w:cstheme="majorBidi"/>
                <w:caps/>
                <w:color w:val="000000"/>
                <w:sz w:val="24"/>
                <w:szCs w:val="24"/>
              </w:rPr>
              <w:t>21.73</w:t>
            </w:r>
          </w:p>
        </w:tc>
      </w:tr>
      <w:tr w14:paraId="050654FC">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rPr>
          <w:trHeight w:val="398" w:hRule="atLeast"/>
        </w:trPr>
        <w:tc>
          <w:tcPr>
            <w:tcW w:w="2630" w:type="dxa"/>
          </w:tcPr>
          <w:p w14:paraId="08AE359D">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strong disagree</w:t>
            </w:r>
          </w:p>
        </w:tc>
        <w:tc>
          <w:tcPr>
            <w:tcW w:w="3688" w:type="dxa"/>
          </w:tcPr>
          <w:p w14:paraId="1E4B8182">
            <w:pPr>
              <w:autoSpaceDE w:val="0"/>
              <w:autoSpaceDN w:val="0"/>
              <w:adjustRightInd w:val="0"/>
              <w:spacing w:line="276" w:lineRule="auto"/>
              <w:ind w:right="60" w:firstLine="0"/>
              <w:jc w:val="center"/>
              <w:rPr>
                <w:rFonts w:asciiTheme="majorBidi" w:hAnsiTheme="majorBidi" w:cstheme="majorBidi"/>
                <w:caps/>
                <w:color w:val="000000"/>
                <w:sz w:val="24"/>
                <w:szCs w:val="24"/>
              </w:rPr>
            </w:pPr>
            <w:r>
              <w:rPr>
                <w:rFonts w:asciiTheme="majorBidi" w:hAnsiTheme="majorBidi" w:cstheme="majorBidi"/>
                <w:caps/>
                <w:color w:val="000000"/>
                <w:sz w:val="24"/>
                <w:szCs w:val="24"/>
              </w:rPr>
              <w:t>24</w:t>
            </w:r>
          </w:p>
        </w:tc>
        <w:tc>
          <w:tcPr>
            <w:tcW w:w="3420" w:type="dxa"/>
          </w:tcPr>
          <w:p w14:paraId="51B417EA">
            <w:pPr>
              <w:autoSpaceDE w:val="0"/>
              <w:autoSpaceDN w:val="0"/>
              <w:adjustRightInd w:val="0"/>
              <w:spacing w:line="276" w:lineRule="auto"/>
              <w:ind w:right="60" w:firstLine="0"/>
              <w:jc w:val="center"/>
              <w:rPr>
                <w:rFonts w:asciiTheme="majorBidi" w:hAnsiTheme="majorBidi" w:cstheme="majorBidi"/>
                <w:caps/>
                <w:color w:val="000000"/>
                <w:sz w:val="24"/>
                <w:szCs w:val="24"/>
              </w:rPr>
            </w:pPr>
            <w:r>
              <w:rPr>
                <w:rFonts w:asciiTheme="majorBidi" w:hAnsiTheme="majorBidi" w:cstheme="majorBidi"/>
                <w:caps/>
                <w:color w:val="000000"/>
                <w:sz w:val="24"/>
                <w:szCs w:val="24"/>
              </w:rPr>
              <w:t>26.08</w:t>
            </w:r>
          </w:p>
        </w:tc>
      </w:tr>
      <w:tr w14:paraId="7B179464">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rPr>
          <w:trHeight w:val="384" w:hRule="atLeast"/>
        </w:trPr>
        <w:tc>
          <w:tcPr>
            <w:tcW w:w="2630" w:type="dxa"/>
            <w:shd w:val="clear" w:color="auto" w:fill="F1F1F1" w:themeFill="background1" w:themeFillShade="F2"/>
          </w:tcPr>
          <w:p w14:paraId="5EF70D61">
            <w:pPr>
              <w:autoSpaceDE w:val="0"/>
              <w:autoSpaceDN w:val="0"/>
              <w:adjustRightInd w:val="0"/>
              <w:spacing w:line="276" w:lineRule="auto"/>
              <w:ind w:right="60" w:firstLine="0"/>
              <w:jc w:val="center"/>
              <w:rPr>
                <w:rFonts w:asciiTheme="majorBidi" w:hAnsiTheme="majorBidi" w:cstheme="majorBidi"/>
                <w:b/>
                <w:bCs/>
                <w:caps/>
                <w:color w:val="000000"/>
                <w:sz w:val="24"/>
                <w:szCs w:val="24"/>
              </w:rPr>
            </w:pPr>
            <w:r>
              <w:rPr>
                <w:rFonts w:asciiTheme="majorBidi" w:hAnsiTheme="majorBidi" w:cstheme="majorBidi"/>
                <w:b/>
                <w:bCs/>
                <w:caps/>
                <w:color w:val="000000"/>
                <w:sz w:val="24"/>
                <w:szCs w:val="24"/>
              </w:rPr>
              <w:t>Missing</w:t>
            </w:r>
          </w:p>
        </w:tc>
        <w:tc>
          <w:tcPr>
            <w:tcW w:w="3688" w:type="dxa"/>
            <w:shd w:val="clear" w:color="auto" w:fill="F1F1F1" w:themeFill="background1" w:themeFillShade="F2"/>
          </w:tcPr>
          <w:p w14:paraId="46C9272B">
            <w:pPr>
              <w:autoSpaceDE w:val="0"/>
              <w:autoSpaceDN w:val="0"/>
              <w:adjustRightInd w:val="0"/>
              <w:spacing w:line="276" w:lineRule="auto"/>
              <w:ind w:right="60" w:firstLine="0"/>
              <w:jc w:val="center"/>
              <w:rPr>
                <w:rFonts w:asciiTheme="majorBidi" w:hAnsiTheme="majorBidi" w:cstheme="majorBidi"/>
                <w:caps/>
                <w:color w:val="000000"/>
                <w:sz w:val="24"/>
                <w:szCs w:val="24"/>
              </w:rPr>
            </w:pPr>
            <w:r>
              <w:rPr>
                <w:rFonts w:asciiTheme="majorBidi" w:hAnsiTheme="majorBidi" w:cstheme="majorBidi"/>
                <w:caps/>
                <w:color w:val="000000"/>
                <w:sz w:val="24"/>
                <w:szCs w:val="24"/>
              </w:rPr>
              <w:t>4</w:t>
            </w:r>
          </w:p>
        </w:tc>
        <w:tc>
          <w:tcPr>
            <w:tcW w:w="3420" w:type="dxa"/>
            <w:shd w:val="clear" w:color="auto" w:fill="F1F1F1" w:themeFill="background1" w:themeFillShade="F2"/>
          </w:tcPr>
          <w:p w14:paraId="2DF069CC">
            <w:pPr>
              <w:autoSpaceDE w:val="0"/>
              <w:autoSpaceDN w:val="0"/>
              <w:adjustRightInd w:val="0"/>
              <w:spacing w:line="276" w:lineRule="auto"/>
              <w:ind w:right="60" w:firstLine="0"/>
              <w:jc w:val="center"/>
              <w:rPr>
                <w:rFonts w:asciiTheme="majorBidi" w:hAnsiTheme="majorBidi" w:cstheme="majorBidi"/>
                <w:caps/>
                <w:color w:val="000000"/>
                <w:sz w:val="24"/>
                <w:szCs w:val="24"/>
              </w:rPr>
            </w:pPr>
            <w:r>
              <w:rPr>
                <w:rFonts w:asciiTheme="majorBidi" w:hAnsiTheme="majorBidi" w:cstheme="majorBidi"/>
                <w:caps/>
                <w:color w:val="000000"/>
                <w:sz w:val="24"/>
                <w:szCs w:val="24"/>
              </w:rPr>
              <w:t>4.34</w:t>
            </w:r>
          </w:p>
        </w:tc>
      </w:tr>
      <w:tr w14:paraId="2AAA1D0F">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rPr>
          <w:trHeight w:val="398" w:hRule="atLeast"/>
        </w:trPr>
        <w:tc>
          <w:tcPr>
            <w:tcW w:w="2630" w:type="dxa"/>
          </w:tcPr>
          <w:p w14:paraId="52A4C600">
            <w:pPr>
              <w:autoSpaceDE w:val="0"/>
              <w:autoSpaceDN w:val="0"/>
              <w:adjustRightInd w:val="0"/>
              <w:spacing w:line="276" w:lineRule="auto"/>
              <w:ind w:right="60" w:firstLine="0"/>
              <w:jc w:val="center"/>
              <w:rPr>
                <w:rFonts w:asciiTheme="majorBidi" w:hAnsiTheme="majorBidi" w:cstheme="majorBidi"/>
                <w:b/>
                <w:bCs/>
                <w:caps/>
                <w:color w:val="000000"/>
                <w:sz w:val="24"/>
                <w:szCs w:val="24"/>
              </w:rPr>
            </w:pPr>
            <w:r>
              <w:rPr>
                <w:rFonts w:asciiTheme="majorBidi" w:hAnsiTheme="majorBidi" w:cstheme="majorBidi"/>
                <w:b/>
                <w:bCs/>
                <w:caps/>
                <w:color w:val="000000"/>
                <w:sz w:val="24"/>
                <w:szCs w:val="24"/>
              </w:rPr>
              <w:t>Total</w:t>
            </w:r>
          </w:p>
        </w:tc>
        <w:tc>
          <w:tcPr>
            <w:tcW w:w="3688" w:type="dxa"/>
          </w:tcPr>
          <w:p w14:paraId="164CC9A4">
            <w:pPr>
              <w:autoSpaceDE w:val="0"/>
              <w:autoSpaceDN w:val="0"/>
              <w:adjustRightInd w:val="0"/>
              <w:spacing w:line="276" w:lineRule="auto"/>
              <w:ind w:right="60" w:firstLine="0"/>
              <w:jc w:val="center"/>
              <w:rPr>
                <w:rFonts w:asciiTheme="majorBidi" w:hAnsiTheme="majorBidi" w:cstheme="majorBidi"/>
                <w:b/>
                <w:bCs/>
                <w:caps/>
                <w:color w:val="000000"/>
                <w:sz w:val="24"/>
                <w:szCs w:val="24"/>
              </w:rPr>
            </w:pPr>
            <w:r>
              <w:rPr>
                <w:rFonts w:asciiTheme="majorBidi" w:hAnsiTheme="majorBidi" w:cstheme="majorBidi"/>
                <w:b/>
                <w:bCs/>
                <w:caps/>
                <w:color w:val="000000"/>
                <w:sz w:val="24"/>
                <w:szCs w:val="24"/>
              </w:rPr>
              <w:t>92</w:t>
            </w:r>
          </w:p>
        </w:tc>
        <w:tc>
          <w:tcPr>
            <w:tcW w:w="3420" w:type="dxa"/>
          </w:tcPr>
          <w:p w14:paraId="1AE051AD">
            <w:pPr>
              <w:autoSpaceDE w:val="0"/>
              <w:autoSpaceDN w:val="0"/>
              <w:adjustRightInd w:val="0"/>
              <w:spacing w:line="276" w:lineRule="auto"/>
              <w:ind w:right="60" w:firstLine="0"/>
              <w:jc w:val="center"/>
              <w:rPr>
                <w:rFonts w:asciiTheme="majorBidi" w:hAnsiTheme="majorBidi" w:cstheme="majorBidi"/>
                <w:b/>
                <w:bCs/>
                <w:caps/>
                <w:color w:val="000000"/>
                <w:sz w:val="24"/>
                <w:szCs w:val="24"/>
              </w:rPr>
            </w:pPr>
            <w:r>
              <w:rPr>
                <w:rFonts w:asciiTheme="majorBidi" w:hAnsiTheme="majorBidi" w:cstheme="majorBidi"/>
                <w:b/>
                <w:bCs/>
                <w:caps/>
                <w:color w:val="000000"/>
                <w:sz w:val="24"/>
                <w:szCs w:val="24"/>
              </w:rPr>
              <w:t>100.0</w:t>
            </w:r>
          </w:p>
        </w:tc>
      </w:tr>
    </w:tbl>
    <w:p w14:paraId="66DF2714">
      <w:pPr>
        <w:spacing w:line="276" w:lineRule="auto"/>
        <w:jc w:val="center"/>
        <w:rPr>
          <w:rFonts w:asciiTheme="majorBidi" w:hAnsiTheme="majorBidi" w:cstheme="majorBidi"/>
        </w:rPr>
      </w:pPr>
      <w:r>
        <w:rPr>
          <w:rFonts w:asciiTheme="majorBidi" w:hAnsiTheme="majorBidi" w:cstheme="majorBidi"/>
          <w:b/>
          <w:bCs/>
          <w:i/>
          <w:iCs/>
          <w:color w:val="000000"/>
        </w:rPr>
        <w:t>Source: Own survey 202</w:t>
      </w:r>
      <w:r>
        <w:rPr>
          <w:rFonts w:asciiTheme="majorBidi" w:hAnsiTheme="majorBidi" w:cstheme="majorBidi"/>
          <w:b/>
          <w:bCs/>
          <w:i/>
          <w:iCs/>
          <w:color w:val="000000"/>
          <w:lang w:val="en-US"/>
        </w:rPr>
        <w:t>3</w:t>
      </w:r>
      <w:r>
        <w:rPr>
          <w:rFonts w:asciiTheme="majorBidi" w:hAnsiTheme="majorBidi" w:cstheme="majorBidi"/>
          <w:b/>
          <w:bCs/>
          <w:i/>
          <w:iCs/>
          <w:color w:val="000000"/>
        </w:rPr>
        <w:t>(SPSS).</w:t>
      </w:r>
    </w:p>
    <w:p w14:paraId="19EB20CE">
      <w:pPr>
        <w:autoSpaceDE w:val="0"/>
        <w:autoSpaceDN w:val="0"/>
        <w:adjustRightInd w:val="0"/>
        <w:spacing w:after="0" w:line="276" w:lineRule="auto"/>
        <w:rPr>
          <w:rFonts w:asciiTheme="majorBidi" w:hAnsiTheme="majorBidi" w:cstheme="majorBidi"/>
          <w:spacing w:val="-2"/>
          <w:lang w:val="en-US"/>
        </w:rPr>
      </w:pPr>
      <w:r>
        <w:rPr>
          <w:rFonts w:asciiTheme="majorBidi" w:hAnsiTheme="majorBidi" w:cstheme="majorBidi"/>
        </w:rPr>
        <w:t>Figure above show that 25 of the respondent strong agree or 27.17% 19 agree or 52.8%, 20 disagree or 21.73% 24 strong disagree or 26.08% also missing 4 or 4.34% thus agree The ministry leadership has the ability to</w:t>
      </w:r>
      <w:r>
        <w:rPr>
          <w:rFonts w:asciiTheme="majorBidi" w:hAnsiTheme="majorBidi" w:cstheme="majorBidi"/>
          <w:spacing w:val="-14"/>
        </w:rPr>
        <w:t xml:space="preserve"> </w:t>
      </w:r>
      <w:r>
        <w:rPr>
          <w:rFonts w:asciiTheme="majorBidi" w:hAnsiTheme="majorBidi" w:cstheme="majorBidi"/>
        </w:rPr>
        <w:t>influence</w:t>
      </w:r>
      <w:r>
        <w:rPr>
          <w:rFonts w:asciiTheme="majorBidi" w:hAnsiTheme="majorBidi" w:cstheme="majorBidi"/>
          <w:spacing w:val="-15"/>
        </w:rPr>
        <w:t xml:space="preserve"> </w:t>
      </w:r>
      <w:r>
        <w:rPr>
          <w:rFonts w:asciiTheme="majorBidi" w:hAnsiTheme="majorBidi" w:cstheme="majorBidi"/>
        </w:rPr>
        <w:t>or change</w:t>
      </w:r>
      <w:r>
        <w:rPr>
          <w:rFonts w:asciiTheme="majorBidi" w:hAnsiTheme="majorBidi" w:cstheme="majorBidi"/>
          <w:spacing w:val="-6"/>
        </w:rPr>
        <w:t xml:space="preserve"> </w:t>
      </w:r>
      <w:r>
        <w:rPr>
          <w:rFonts w:asciiTheme="majorBidi" w:hAnsiTheme="majorBidi" w:cstheme="majorBidi"/>
        </w:rPr>
        <w:t>the</w:t>
      </w:r>
      <w:r>
        <w:rPr>
          <w:rFonts w:asciiTheme="majorBidi" w:hAnsiTheme="majorBidi" w:cstheme="majorBidi"/>
          <w:spacing w:val="-5"/>
        </w:rPr>
        <w:t xml:space="preserve"> </w:t>
      </w:r>
      <w:r>
        <w:rPr>
          <w:rFonts w:asciiTheme="majorBidi" w:hAnsiTheme="majorBidi" w:cstheme="majorBidi"/>
        </w:rPr>
        <w:t>values,</w:t>
      </w:r>
      <w:r>
        <w:rPr>
          <w:rFonts w:asciiTheme="majorBidi" w:hAnsiTheme="majorBidi" w:cstheme="majorBidi"/>
          <w:spacing w:val="-3"/>
        </w:rPr>
        <w:t xml:space="preserve"> </w:t>
      </w:r>
      <w:r>
        <w:rPr>
          <w:rFonts w:asciiTheme="majorBidi" w:hAnsiTheme="majorBidi" w:cstheme="majorBidi"/>
        </w:rPr>
        <w:t>beliefs,</w:t>
      </w:r>
      <w:r>
        <w:rPr>
          <w:rFonts w:asciiTheme="majorBidi" w:hAnsiTheme="majorBidi" w:cstheme="majorBidi"/>
          <w:spacing w:val="2"/>
        </w:rPr>
        <w:t xml:space="preserve"> </w:t>
      </w:r>
      <w:r>
        <w:rPr>
          <w:rFonts w:asciiTheme="majorBidi" w:hAnsiTheme="majorBidi" w:cstheme="majorBidi"/>
        </w:rPr>
        <w:t>behaviors</w:t>
      </w:r>
      <w:r>
        <w:rPr>
          <w:rFonts w:asciiTheme="majorBidi" w:hAnsiTheme="majorBidi" w:cstheme="majorBidi"/>
          <w:spacing w:val="-7"/>
        </w:rPr>
        <w:t xml:space="preserve"> </w:t>
      </w:r>
      <w:r>
        <w:rPr>
          <w:rFonts w:asciiTheme="majorBidi" w:hAnsiTheme="majorBidi" w:cstheme="majorBidi"/>
        </w:rPr>
        <w:t>and</w:t>
      </w:r>
      <w:r>
        <w:rPr>
          <w:rFonts w:asciiTheme="majorBidi" w:hAnsiTheme="majorBidi" w:cstheme="majorBidi"/>
          <w:spacing w:val="-4"/>
        </w:rPr>
        <w:t xml:space="preserve"> </w:t>
      </w:r>
      <w:r>
        <w:rPr>
          <w:rFonts w:asciiTheme="majorBidi" w:hAnsiTheme="majorBidi" w:cstheme="majorBidi"/>
          <w:spacing w:val="-2"/>
        </w:rPr>
        <w:t>attitudes</w:t>
      </w:r>
      <w:r>
        <w:rPr>
          <w:rFonts w:asciiTheme="majorBidi" w:hAnsiTheme="majorBidi" w:cstheme="majorBidi"/>
        </w:rPr>
        <w:t xml:space="preserve"> of</w:t>
      </w:r>
      <w:r>
        <w:rPr>
          <w:rFonts w:asciiTheme="majorBidi" w:hAnsiTheme="majorBidi" w:cstheme="majorBidi"/>
          <w:spacing w:val="-5"/>
        </w:rPr>
        <w:t xml:space="preserve"> </w:t>
      </w:r>
      <w:r>
        <w:rPr>
          <w:rFonts w:asciiTheme="majorBidi" w:hAnsiTheme="majorBidi" w:cstheme="majorBidi"/>
        </w:rPr>
        <w:t>the</w:t>
      </w:r>
      <w:r>
        <w:rPr>
          <w:rFonts w:asciiTheme="majorBidi" w:hAnsiTheme="majorBidi" w:cstheme="majorBidi"/>
          <w:spacing w:val="4"/>
        </w:rPr>
        <w:t xml:space="preserve"> </w:t>
      </w:r>
      <w:r>
        <w:rPr>
          <w:rFonts w:asciiTheme="majorBidi" w:hAnsiTheme="majorBidi" w:cstheme="majorBidi"/>
          <w:spacing w:val="-2"/>
        </w:rPr>
        <w:t>employee</w:t>
      </w:r>
      <w:r>
        <w:rPr>
          <w:rFonts w:asciiTheme="majorBidi" w:hAnsiTheme="majorBidi" w:cstheme="majorBidi"/>
          <w:spacing w:val="-2"/>
          <w:lang w:val="en-US"/>
        </w:rPr>
        <w:t xml:space="preserve">. </w:t>
      </w:r>
    </w:p>
    <w:p w14:paraId="640E2E27">
      <w:pPr>
        <w:pStyle w:val="3"/>
        <w:spacing w:line="276" w:lineRule="auto"/>
        <w:ind w:firstLine="0"/>
        <w:rPr>
          <w:rFonts w:asciiTheme="majorBidi" w:hAnsiTheme="majorBidi"/>
          <w:sz w:val="24"/>
          <w:szCs w:val="24"/>
        </w:rPr>
      </w:pPr>
      <w:bookmarkStart w:id="38" w:name="_Toc136959615"/>
      <w:r>
        <w:rPr>
          <w:rFonts w:asciiTheme="majorBidi" w:hAnsiTheme="majorBidi"/>
          <w:spacing w:val="-2"/>
          <w:sz w:val="24"/>
          <w:szCs w:val="24"/>
        </w:rPr>
        <w:t xml:space="preserve">Technical capacity towards </w:t>
      </w:r>
      <w:r>
        <w:rPr>
          <w:rFonts w:asciiTheme="majorBidi" w:hAnsiTheme="majorBidi"/>
          <w:sz w:val="24"/>
          <w:szCs w:val="24"/>
        </w:rPr>
        <w:t>financial management reform</w:t>
      </w:r>
      <w:bookmarkEnd w:id="38"/>
    </w:p>
    <w:p w14:paraId="0F0D74F9">
      <w:pPr>
        <w:pStyle w:val="14"/>
        <w:spacing w:before="4" w:line="276" w:lineRule="auto"/>
        <w:ind w:left="0"/>
        <w:rPr>
          <w:rFonts w:asciiTheme="majorBidi" w:hAnsiTheme="majorBidi" w:cstheme="majorBidi"/>
          <w:b/>
        </w:rPr>
      </w:pPr>
    </w:p>
    <w:tbl>
      <w:tblPr>
        <w:tblStyle w:val="12"/>
        <w:tblW w:w="0" w:type="auto"/>
        <w:tblInd w:w="33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992"/>
        <w:gridCol w:w="456"/>
        <w:gridCol w:w="801"/>
        <w:gridCol w:w="1613"/>
      </w:tblGrid>
      <w:tr w14:paraId="459DED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9" w:hRule="atLeast"/>
        </w:trPr>
        <w:tc>
          <w:tcPr>
            <w:tcW w:w="5992" w:type="dxa"/>
            <w:shd w:val="clear" w:color="auto" w:fill="FFFFFF" w:themeFill="background1"/>
          </w:tcPr>
          <w:p w14:paraId="124D3007">
            <w:pPr>
              <w:pStyle w:val="81"/>
              <w:spacing w:line="276" w:lineRule="auto"/>
              <w:ind w:left="110"/>
              <w:jc w:val="both"/>
              <w:rPr>
                <w:rFonts w:asciiTheme="majorBidi" w:hAnsiTheme="majorBidi" w:cstheme="majorBidi"/>
                <w:b/>
                <w:sz w:val="24"/>
                <w:szCs w:val="24"/>
              </w:rPr>
            </w:pPr>
            <w:r>
              <w:rPr>
                <w:rFonts w:asciiTheme="majorBidi" w:hAnsiTheme="majorBidi" w:cstheme="majorBidi"/>
                <w:b/>
                <w:spacing w:val="-2"/>
                <w:sz w:val="24"/>
                <w:szCs w:val="24"/>
              </w:rPr>
              <w:t>Statements</w:t>
            </w:r>
          </w:p>
        </w:tc>
        <w:tc>
          <w:tcPr>
            <w:tcW w:w="456" w:type="dxa"/>
            <w:shd w:val="clear" w:color="auto" w:fill="FFFFFF" w:themeFill="background1"/>
          </w:tcPr>
          <w:p w14:paraId="36383F88">
            <w:pPr>
              <w:pStyle w:val="81"/>
              <w:spacing w:line="276" w:lineRule="auto"/>
              <w:ind w:left="105"/>
              <w:jc w:val="both"/>
              <w:rPr>
                <w:rFonts w:asciiTheme="majorBidi" w:hAnsiTheme="majorBidi" w:cstheme="majorBidi"/>
                <w:b/>
                <w:sz w:val="24"/>
                <w:szCs w:val="24"/>
              </w:rPr>
            </w:pPr>
            <w:r>
              <w:rPr>
                <w:rFonts w:asciiTheme="majorBidi" w:hAnsiTheme="majorBidi" w:cstheme="majorBidi"/>
                <w:b/>
                <w:w w:val="99"/>
                <w:sz w:val="24"/>
                <w:szCs w:val="24"/>
              </w:rPr>
              <w:t>N</w:t>
            </w:r>
          </w:p>
        </w:tc>
        <w:tc>
          <w:tcPr>
            <w:tcW w:w="801" w:type="dxa"/>
            <w:shd w:val="clear" w:color="auto" w:fill="FFFFFF" w:themeFill="background1"/>
          </w:tcPr>
          <w:p w14:paraId="26EA06B8">
            <w:pPr>
              <w:pStyle w:val="81"/>
              <w:spacing w:line="276" w:lineRule="auto"/>
              <w:ind w:left="106"/>
              <w:jc w:val="both"/>
              <w:rPr>
                <w:rFonts w:asciiTheme="majorBidi" w:hAnsiTheme="majorBidi" w:cstheme="majorBidi"/>
                <w:b/>
                <w:sz w:val="24"/>
                <w:szCs w:val="24"/>
              </w:rPr>
            </w:pPr>
            <w:r>
              <w:rPr>
                <w:rFonts w:asciiTheme="majorBidi" w:hAnsiTheme="majorBidi" w:cstheme="majorBidi"/>
                <w:b/>
                <w:spacing w:val="-4"/>
                <w:sz w:val="24"/>
                <w:szCs w:val="24"/>
              </w:rPr>
              <w:t>Mean</w:t>
            </w:r>
          </w:p>
        </w:tc>
        <w:tc>
          <w:tcPr>
            <w:tcW w:w="1613" w:type="dxa"/>
            <w:shd w:val="clear" w:color="auto" w:fill="FFFFFF" w:themeFill="background1"/>
          </w:tcPr>
          <w:p w14:paraId="7B10912A">
            <w:pPr>
              <w:pStyle w:val="81"/>
              <w:spacing w:line="276" w:lineRule="auto"/>
              <w:jc w:val="both"/>
              <w:rPr>
                <w:rFonts w:asciiTheme="majorBidi" w:hAnsiTheme="majorBidi" w:cstheme="majorBidi"/>
                <w:b/>
                <w:sz w:val="24"/>
                <w:szCs w:val="24"/>
              </w:rPr>
            </w:pPr>
            <w:r>
              <w:rPr>
                <w:rFonts w:asciiTheme="majorBidi" w:hAnsiTheme="majorBidi" w:cstheme="majorBidi"/>
                <w:b/>
                <w:spacing w:val="-2"/>
                <w:sz w:val="24"/>
                <w:szCs w:val="24"/>
              </w:rPr>
              <w:t>St. Deviation</w:t>
            </w:r>
          </w:p>
        </w:tc>
      </w:tr>
      <w:tr w14:paraId="7660D7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0" w:hRule="atLeast"/>
        </w:trPr>
        <w:tc>
          <w:tcPr>
            <w:tcW w:w="5992" w:type="dxa"/>
          </w:tcPr>
          <w:p w14:paraId="56B3AB3C">
            <w:pPr>
              <w:spacing w:line="276" w:lineRule="auto"/>
              <w:ind w:firstLine="0"/>
              <w:jc w:val="left"/>
              <w:rPr>
                <w:rFonts w:asciiTheme="majorBidi" w:hAnsiTheme="majorBidi" w:cstheme="majorBidi"/>
              </w:rPr>
            </w:pPr>
            <w:r>
              <w:rPr>
                <w:rFonts w:asciiTheme="majorBidi" w:hAnsiTheme="majorBidi" w:cstheme="majorBidi"/>
              </w:rPr>
              <w:t>The ministry has</w:t>
            </w:r>
            <w:r>
              <w:rPr>
                <w:rFonts w:asciiTheme="majorBidi" w:hAnsiTheme="majorBidi" w:cstheme="majorBidi"/>
                <w:spacing w:val="-2"/>
              </w:rPr>
              <w:t xml:space="preserve"> </w:t>
            </w:r>
            <w:r>
              <w:rPr>
                <w:rFonts w:asciiTheme="majorBidi" w:hAnsiTheme="majorBidi" w:cstheme="majorBidi"/>
              </w:rPr>
              <w:t>qualified staff</w:t>
            </w:r>
            <w:r>
              <w:rPr>
                <w:rFonts w:asciiTheme="majorBidi" w:hAnsiTheme="majorBidi" w:cstheme="majorBidi"/>
                <w:spacing w:val="-2"/>
              </w:rPr>
              <w:t xml:space="preserve"> </w:t>
            </w:r>
            <w:r>
              <w:rPr>
                <w:rFonts w:asciiTheme="majorBidi" w:hAnsiTheme="majorBidi" w:cstheme="majorBidi"/>
              </w:rPr>
              <w:t>to oversee</w:t>
            </w:r>
            <w:r>
              <w:rPr>
                <w:rFonts w:asciiTheme="majorBidi" w:hAnsiTheme="majorBidi" w:cstheme="majorBidi"/>
                <w:spacing w:val="-1"/>
              </w:rPr>
              <w:t xml:space="preserve"> </w:t>
            </w:r>
            <w:r>
              <w:rPr>
                <w:rFonts w:asciiTheme="majorBidi" w:hAnsiTheme="majorBidi" w:cstheme="majorBidi"/>
              </w:rPr>
              <w:t>the</w:t>
            </w:r>
            <w:r>
              <w:rPr>
                <w:rFonts w:asciiTheme="majorBidi" w:hAnsiTheme="majorBidi" w:cstheme="majorBidi"/>
                <w:spacing w:val="19"/>
              </w:rPr>
              <w:t xml:space="preserve"> </w:t>
            </w:r>
            <w:r>
              <w:rPr>
                <w:rFonts w:asciiTheme="majorBidi" w:hAnsiTheme="majorBidi" w:cstheme="majorBidi"/>
              </w:rPr>
              <w:t>successful</w:t>
            </w:r>
            <w:r>
              <w:rPr>
                <w:rFonts w:asciiTheme="majorBidi" w:hAnsiTheme="majorBidi" w:cstheme="majorBidi"/>
                <w:spacing w:val="-5"/>
              </w:rPr>
              <w:t xml:space="preserve"> </w:t>
            </w:r>
            <w:r>
              <w:rPr>
                <w:rFonts w:asciiTheme="majorBidi" w:hAnsiTheme="majorBidi" w:cstheme="majorBidi"/>
              </w:rPr>
              <w:t>implementation of</w:t>
            </w:r>
            <w:r>
              <w:rPr>
                <w:rFonts w:asciiTheme="majorBidi" w:hAnsiTheme="majorBidi" w:cstheme="majorBidi"/>
                <w:spacing w:val="-8"/>
              </w:rPr>
              <w:t xml:space="preserve"> </w:t>
            </w:r>
            <w:r>
              <w:rPr>
                <w:rFonts w:asciiTheme="majorBidi" w:hAnsiTheme="majorBidi" w:cstheme="majorBidi"/>
              </w:rPr>
              <w:t xml:space="preserve">public financial </w:t>
            </w:r>
            <w:r>
              <w:rPr>
                <w:rFonts w:asciiTheme="majorBidi" w:hAnsiTheme="majorBidi" w:cstheme="majorBidi"/>
                <w:spacing w:val="-2"/>
              </w:rPr>
              <w:t>management reform</w:t>
            </w:r>
          </w:p>
        </w:tc>
        <w:tc>
          <w:tcPr>
            <w:tcW w:w="456" w:type="dxa"/>
          </w:tcPr>
          <w:p w14:paraId="45BD0F23">
            <w:pPr>
              <w:pStyle w:val="81"/>
              <w:spacing w:line="276" w:lineRule="auto"/>
              <w:ind w:left="105"/>
              <w:jc w:val="both"/>
              <w:rPr>
                <w:rFonts w:asciiTheme="majorBidi" w:hAnsiTheme="majorBidi" w:cstheme="majorBidi"/>
                <w:sz w:val="24"/>
                <w:szCs w:val="24"/>
              </w:rPr>
            </w:pPr>
            <w:r>
              <w:rPr>
                <w:rFonts w:asciiTheme="majorBidi" w:hAnsiTheme="majorBidi" w:cstheme="majorBidi"/>
                <w:spacing w:val="-5"/>
                <w:sz w:val="24"/>
                <w:szCs w:val="24"/>
              </w:rPr>
              <w:t>92</w:t>
            </w:r>
          </w:p>
        </w:tc>
        <w:tc>
          <w:tcPr>
            <w:tcW w:w="801" w:type="dxa"/>
          </w:tcPr>
          <w:p w14:paraId="00FA929A">
            <w:pPr>
              <w:pStyle w:val="81"/>
              <w:spacing w:line="276" w:lineRule="auto"/>
              <w:ind w:left="106"/>
              <w:jc w:val="both"/>
              <w:rPr>
                <w:rFonts w:asciiTheme="majorBidi" w:hAnsiTheme="majorBidi" w:cstheme="majorBidi"/>
                <w:sz w:val="24"/>
                <w:szCs w:val="24"/>
              </w:rPr>
            </w:pPr>
            <w:r>
              <w:rPr>
                <w:rFonts w:asciiTheme="majorBidi" w:hAnsiTheme="majorBidi" w:cstheme="majorBidi"/>
                <w:spacing w:val="-4"/>
                <w:sz w:val="24"/>
                <w:szCs w:val="24"/>
              </w:rPr>
              <w:t>2.68</w:t>
            </w:r>
          </w:p>
        </w:tc>
        <w:tc>
          <w:tcPr>
            <w:tcW w:w="1613" w:type="dxa"/>
          </w:tcPr>
          <w:p w14:paraId="27D6CC1A">
            <w:pPr>
              <w:pStyle w:val="81"/>
              <w:spacing w:line="276" w:lineRule="auto"/>
              <w:jc w:val="both"/>
              <w:rPr>
                <w:rFonts w:asciiTheme="majorBidi" w:hAnsiTheme="majorBidi" w:cstheme="majorBidi"/>
                <w:sz w:val="24"/>
                <w:szCs w:val="24"/>
              </w:rPr>
            </w:pPr>
            <w:r>
              <w:rPr>
                <w:rFonts w:asciiTheme="majorBidi" w:hAnsiTheme="majorBidi" w:cstheme="majorBidi"/>
                <w:spacing w:val="-4"/>
                <w:sz w:val="24"/>
                <w:szCs w:val="24"/>
              </w:rPr>
              <w:t>1.325</w:t>
            </w:r>
          </w:p>
        </w:tc>
      </w:tr>
      <w:tr w14:paraId="7DADA5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0" w:hRule="atLeast"/>
        </w:trPr>
        <w:tc>
          <w:tcPr>
            <w:tcW w:w="5992" w:type="dxa"/>
          </w:tcPr>
          <w:p w14:paraId="7C2863EF">
            <w:pPr>
              <w:spacing w:line="276" w:lineRule="auto"/>
              <w:ind w:firstLine="0"/>
              <w:jc w:val="left"/>
              <w:rPr>
                <w:rFonts w:asciiTheme="majorBidi" w:hAnsiTheme="majorBidi" w:cstheme="majorBidi"/>
              </w:rPr>
            </w:pPr>
            <w:r>
              <w:rPr>
                <w:rFonts w:asciiTheme="majorBidi" w:hAnsiTheme="majorBidi" w:cstheme="majorBidi"/>
              </w:rPr>
              <w:t>The</w:t>
            </w:r>
            <w:r>
              <w:rPr>
                <w:rFonts w:asciiTheme="majorBidi" w:hAnsiTheme="majorBidi" w:cstheme="majorBidi"/>
                <w:spacing w:val="1"/>
              </w:rPr>
              <w:t xml:space="preserve"> </w:t>
            </w:r>
            <w:r>
              <w:rPr>
                <w:rFonts w:asciiTheme="majorBidi" w:hAnsiTheme="majorBidi" w:cstheme="majorBidi"/>
              </w:rPr>
              <w:t>Ministry</w:t>
            </w:r>
            <w:r>
              <w:rPr>
                <w:rFonts w:asciiTheme="majorBidi" w:hAnsiTheme="majorBidi" w:cstheme="majorBidi"/>
                <w:spacing w:val="-11"/>
              </w:rPr>
              <w:t xml:space="preserve"> </w:t>
            </w:r>
            <w:r>
              <w:rPr>
                <w:rFonts w:asciiTheme="majorBidi" w:hAnsiTheme="majorBidi" w:cstheme="majorBidi"/>
              </w:rPr>
              <w:t>of</w:t>
            </w:r>
            <w:r>
              <w:rPr>
                <w:rFonts w:asciiTheme="majorBidi" w:hAnsiTheme="majorBidi" w:cstheme="majorBidi"/>
                <w:spacing w:val="-5"/>
              </w:rPr>
              <w:t xml:space="preserve"> </w:t>
            </w:r>
            <w:r>
              <w:rPr>
                <w:rFonts w:asciiTheme="majorBidi" w:hAnsiTheme="majorBidi" w:cstheme="majorBidi"/>
              </w:rPr>
              <w:t>Finance has sufficient staff for Public Financial Management Reform Implementation</w:t>
            </w:r>
          </w:p>
        </w:tc>
        <w:tc>
          <w:tcPr>
            <w:tcW w:w="456" w:type="dxa"/>
          </w:tcPr>
          <w:p w14:paraId="348EB080">
            <w:pPr>
              <w:pStyle w:val="81"/>
              <w:spacing w:line="276" w:lineRule="auto"/>
              <w:ind w:left="105"/>
              <w:jc w:val="both"/>
              <w:rPr>
                <w:rFonts w:asciiTheme="majorBidi" w:hAnsiTheme="majorBidi" w:cstheme="majorBidi"/>
                <w:sz w:val="24"/>
                <w:szCs w:val="24"/>
              </w:rPr>
            </w:pPr>
            <w:r>
              <w:rPr>
                <w:rFonts w:asciiTheme="majorBidi" w:hAnsiTheme="majorBidi" w:cstheme="majorBidi"/>
                <w:spacing w:val="-5"/>
                <w:sz w:val="24"/>
                <w:szCs w:val="24"/>
              </w:rPr>
              <w:t>92</w:t>
            </w:r>
          </w:p>
        </w:tc>
        <w:tc>
          <w:tcPr>
            <w:tcW w:w="801" w:type="dxa"/>
          </w:tcPr>
          <w:p w14:paraId="6115EEE5">
            <w:pPr>
              <w:pStyle w:val="81"/>
              <w:spacing w:line="276" w:lineRule="auto"/>
              <w:ind w:left="106"/>
              <w:jc w:val="both"/>
              <w:rPr>
                <w:rFonts w:asciiTheme="majorBidi" w:hAnsiTheme="majorBidi" w:cstheme="majorBidi"/>
                <w:sz w:val="24"/>
                <w:szCs w:val="24"/>
              </w:rPr>
            </w:pPr>
            <w:r>
              <w:rPr>
                <w:rFonts w:asciiTheme="majorBidi" w:hAnsiTheme="majorBidi" w:cstheme="majorBidi"/>
                <w:spacing w:val="-4"/>
                <w:sz w:val="24"/>
                <w:szCs w:val="24"/>
              </w:rPr>
              <w:t>3.52</w:t>
            </w:r>
          </w:p>
        </w:tc>
        <w:tc>
          <w:tcPr>
            <w:tcW w:w="1613" w:type="dxa"/>
          </w:tcPr>
          <w:p w14:paraId="217AC393">
            <w:pPr>
              <w:pStyle w:val="81"/>
              <w:spacing w:line="276" w:lineRule="auto"/>
              <w:jc w:val="both"/>
              <w:rPr>
                <w:rFonts w:asciiTheme="majorBidi" w:hAnsiTheme="majorBidi" w:cstheme="majorBidi"/>
                <w:sz w:val="24"/>
                <w:szCs w:val="24"/>
              </w:rPr>
            </w:pPr>
            <w:r>
              <w:rPr>
                <w:rFonts w:asciiTheme="majorBidi" w:hAnsiTheme="majorBidi" w:cstheme="majorBidi"/>
                <w:spacing w:val="-4"/>
                <w:sz w:val="24"/>
                <w:szCs w:val="24"/>
              </w:rPr>
              <w:t>.989</w:t>
            </w:r>
          </w:p>
        </w:tc>
      </w:tr>
      <w:tr w14:paraId="47C1E9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8" w:hRule="atLeast"/>
        </w:trPr>
        <w:tc>
          <w:tcPr>
            <w:tcW w:w="5992" w:type="dxa"/>
          </w:tcPr>
          <w:p w14:paraId="09C493C1">
            <w:pPr>
              <w:spacing w:line="276" w:lineRule="auto"/>
              <w:ind w:firstLine="0"/>
              <w:jc w:val="left"/>
              <w:rPr>
                <w:rFonts w:asciiTheme="majorBidi" w:hAnsiTheme="majorBidi" w:cstheme="majorBidi"/>
              </w:rPr>
            </w:pPr>
            <w:r>
              <w:rPr>
                <w:rFonts w:asciiTheme="majorBidi" w:hAnsiTheme="majorBidi" w:cstheme="majorBidi"/>
              </w:rPr>
              <w:t>The government institutions have adequate information technology infrastructure for the implementation of Public Financial Management Reform</w:t>
            </w:r>
          </w:p>
        </w:tc>
        <w:tc>
          <w:tcPr>
            <w:tcW w:w="456" w:type="dxa"/>
          </w:tcPr>
          <w:p w14:paraId="55650E61">
            <w:pPr>
              <w:pStyle w:val="81"/>
              <w:spacing w:line="276" w:lineRule="auto"/>
              <w:ind w:left="105"/>
              <w:jc w:val="both"/>
              <w:rPr>
                <w:rFonts w:asciiTheme="majorBidi" w:hAnsiTheme="majorBidi" w:cstheme="majorBidi"/>
                <w:sz w:val="24"/>
                <w:szCs w:val="24"/>
              </w:rPr>
            </w:pPr>
            <w:r>
              <w:rPr>
                <w:rFonts w:asciiTheme="majorBidi" w:hAnsiTheme="majorBidi" w:cstheme="majorBidi"/>
                <w:spacing w:val="-5"/>
                <w:sz w:val="24"/>
                <w:szCs w:val="24"/>
              </w:rPr>
              <w:t>92</w:t>
            </w:r>
          </w:p>
        </w:tc>
        <w:tc>
          <w:tcPr>
            <w:tcW w:w="801" w:type="dxa"/>
          </w:tcPr>
          <w:p w14:paraId="20E59314">
            <w:pPr>
              <w:pStyle w:val="81"/>
              <w:spacing w:line="276" w:lineRule="auto"/>
              <w:ind w:left="106"/>
              <w:jc w:val="both"/>
              <w:rPr>
                <w:rFonts w:asciiTheme="majorBidi" w:hAnsiTheme="majorBidi" w:cstheme="majorBidi"/>
                <w:sz w:val="24"/>
                <w:szCs w:val="24"/>
              </w:rPr>
            </w:pPr>
            <w:r>
              <w:rPr>
                <w:rFonts w:asciiTheme="majorBidi" w:hAnsiTheme="majorBidi" w:cstheme="majorBidi"/>
                <w:spacing w:val="-4"/>
                <w:sz w:val="24"/>
                <w:szCs w:val="24"/>
              </w:rPr>
              <w:t>3.39</w:t>
            </w:r>
          </w:p>
        </w:tc>
        <w:tc>
          <w:tcPr>
            <w:tcW w:w="1613" w:type="dxa"/>
          </w:tcPr>
          <w:p w14:paraId="22483910">
            <w:pPr>
              <w:pStyle w:val="81"/>
              <w:spacing w:line="276" w:lineRule="auto"/>
              <w:jc w:val="both"/>
              <w:rPr>
                <w:rFonts w:asciiTheme="majorBidi" w:hAnsiTheme="majorBidi" w:cstheme="majorBidi"/>
                <w:sz w:val="24"/>
                <w:szCs w:val="24"/>
              </w:rPr>
            </w:pPr>
            <w:r>
              <w:rPr>
                <w:rFonts w:asciiTheme="majorBidi" w:hAnsiTheme="majorBidi" w:cstheme="majorBidi"/>
                <w:spacing w:val="-4"/>
                <w:sz w:val="24"/>
                <w:szCs w:val="24"/>
              </w:rPr>
              <w:t>1.099</w:t>
            </w:r>
          </w:p>
        </w:tc>
      </w:tr>
      <w:tr w14:paraId="35EC80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3" w:hRule="atLeast"/>
        </w:trPr>
        <w:tc>
          <w:tcPr>
            <w:tcW w:w="5992" w:type="dxa"/>
          </w:tcPr>
          <w:p w14:paraId="752CEF59">
            <w:pPr>
              <w:spacing w:line="276" w:lineRule="auto"/>
              <w:ind w:firstLine="0"/>
              <w:jc w:val="left"/>
              <w:rPr>
                <w:rFonts w:asciiTheme="majorBidi" w:hAnsiTheme="majorBidi" w:cstheme="majorBidi"/>
              </w:rPr>
            </w:pPr>
            <w:r>
              <w:rPr>
                <w:rFonts w:asciiTheme="majorBidi" w:hAnsiTheme="majorBidi" w:cstheme="majorBidi"/>
              </w:rPr>
              <w:t>The government employees have adequate</w:t>
            </w:r>
            <w:r>
              <w:rPr>
                <w:rFonts w:asciiTheme="majorBidi" w:hAnsiTheme="majorBidi" w:cstheme="majorBidi"/>
                <w:spacing w:val="-15"/>
              </w:rPr>
              <w:t xml:space="preserve"> </w:t>
            </w:r>
            <w:r>
              <w:rPr>
                <w:rFonts w:asciiTheme="majorBidi" w:hAnsiTheme="majorBidi" w:cstheme="majorBidi"/>
              </w:rPr>
              <w:t>technical</w:t>
            </w:r>
            <w:r>
              <w:rPr>
                <w:rFonts w:asciiTheme="majorBidi" w:hAnsiTheme="majorBidi" w:cstheme="majorBidi"/>
                <w:spacing w:val="-15"/>
              </w:rPr>
              <w:t xml:space="preserve"> </w:t>
            </w:r>
            <w:r>
              <w:rPr>
                <w:rFonts w:asciiTheme="majorBidi" w:hAnsiTheme="majorBidi" w:cstheme="majorBidi"/>
              </w:rPr>
              <w:t>skills</w:t>
            </w:r>
            <w:r>
              <w:rPr>
                <w:rFonts w:asciiTheme="majorBidi" w:hAnsiTheme="majorBidi" w:cstheme="majorBidi"/>
                <w:spacing w:val="-15"/>
              </w:rPr>
              <w:t xml:space="preserve"> </w:t>
            </w:r>
            <w:r>
              <w:rPr>
                <w:rFonts w:asciiTheme="majorBidi" w:hAnsiTheme="majorBidi" w:cstheme="majorBidi"/>
              </w:rPr>
              <w:t>&amp; Knowledge for the implementation of PFM Reform</w:t>
            </w:r>
          </w:p>
        </w:tc>
        <w:tc>
          <w:tcPr>
            <w:tcW w:w="456" w:type="dxa"/>
          </w:tcPr>
          <w:p w14:paraId="57E72111">
            <w:pPr>
              <w:pStyle w:val="81"/>
              <w:spacing w:line="276" w:lineRule="auto"/>
              <w:ind w:left="105"/>
              <w:jc w:val="both"/>
              <w:rPr>
                <w:rFonts w:asciiTheme="majorBidi" w:hAnsiTheme="majorBidi" w:cstheme="majorBidi"/>
                <w:sz w:val="24"/>
                <w:szCs w:val="24"/>
              </w:rPr>
            </w:pPr>
            <w:r>
              <w:rPr>
                <w:rFonts w:asciiTheme="majorBidi" w:hAnsiTheme="majorBidi" w:cstheme="majorBidi"/>
                <w:spacing w:val="-5"/>
                <w:sz w:val="24"/>
                <w:szCs w:val="24"/>
              </w:rPr>
              <w:t>92</w:t>
            </w:r>
          </w:p>
        </w:tc>
        <w:tc>
          <w:tcPr>
            <w:tcW w:w="801" w:type="dxa"/>
          </w:tcPr>
          <w:p w14:paraId="58EC6D34">
            <w:pPr>
              <w:pStyle w:val="81"/>
              <w:spacing w:line="276" w:lineRule="auto"/>
              <w:ind w:left="106"/>
              <w:jc w:val="both"/>
              <w:rPr>
                <w:rFonts w:asciiTheme="majorBidi" w:hAnsiTheme="majorBidi" w:cstheme="majorBidi"/>
                <w:sz w:val="24"/>
                <w:szCs w:val="24"/>
              </w:rPr>
            </w:pPr>
            <w:r>
              <w:rPr>
                <w:rFonts w:asciiTheme="majorBidi" w:hAnsiTheme="majorBidi" w:cstheme="majorBidi"/>
                <w:spacing w:val="-4"/>
                <w:sz w:val="24"/>
                <w:szCs w:val="24"/>
              </w:rPr>
              <w:t>2.54</w:t>
            </w:r>
          </w:p>
        </w:tc>
        <w:tc>
          <w:tcPr>
            <w:tcW w:w="1613" w:type="dxa"/>
          </w:tcPr>
          <w:p w14:paraId="0126508A">
            <w:pPr>
              <w:pStyle w:val="81"/>
              <w:spacing w:line="276" w:lineRule="auto"/>
              <w:jc w:val="both"/>
              <w:rPr>
                <w:rFonts w:asciiTheme="majorBidi" w:hAnsiTheme="majorBidi" w:cstheme="majorBidi"/>
                <w:sz w:val="24"/>
                <w:szCs w:val="24"/>
              </w:rPr>
            </w:pPr>
            <w:r>
              <w:rPr>
                <w:rFonts w:asciiTheme="majorBidi" w:hAnsiTheme="majorBidi" w:cstheme="majorBidi"/>
                <w:spacing w:val="-4"/>
                <w:sz w:val="24"/>
                <w:szCs w:val="24"/>
              </w:rPr>
              <w:t>1.063</w:t>
            </w:r>
          </w:p>
        </w:tc>
      </w:tr>
      <w:tr w14:paraId="16D255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5992" w:type="dxa"/>
          </w:tcPr>
          <w:p w14:paraId="4CFCE641">
            <w:pPr>
              <w:spacing w:line="276" w:lineRule="auto"/>
              <w:ind w:firstLine="0"/>
              <w:jc w:val="left"/>
              <w:rPr>
                <w:rFonts w:asciiTheme="majorBidi" w:hAnsiTheme="majorBidi" w:cstheme="majorBidi"/>
              </w:rPr>
            </w:pPr>
            <w:r>
              <w:rPr>
                <w:rFonts w:asciiTheme="majorBidi" w:hAnsiTheme="majorBidi" w:cstheme="majorBidi"/>
              </w:rPr>
              <w:t>Ministry have a clear strategic direction which focuses on the essence of the implementation of PFM Reform</w:t>
            </w:r>
          </w:p>
        </w:tc>
        <w:tc>
          <w:tcPr>
            <w:tcW w:w="456" w:type="dxa"/>
          </w:tcPr>
          <w:p w14:paraId="1D1A369D">
            <w:pPr>
              <w:pStyle w:val="81"/>
              <w:spacing w:line="276" w:lineRule="auto"/>
              <w:ind w:left="105"/>
              <w:jc w:val="both"/>
              <w:rPr>
                <w:rFonts w:asciiTheme="majorBidi" w:hAnsiTheme="majorBidi" w:cstheme="majorBidi"/>
                <w:sz w:val="24"/>
                <w:szCs w:val="24"/>
              </w:rPr>
            </w:pPr>
            <w:r>
              <w:rPr>
                <w:rFonts w:asciiTheme="majorBidi" w:hAnsiTheme="majorBidi" w:cstheme="majorBidi"/>
                <w:spacing w:val="-5"/>
                <w:sz w:val="24"/>
                <w:szCs w:val="24"/>
              </w:rPr>
              <w:t>92</w:t>
            </w:r>
          </w:p>
        </w:tc>
        <w:tc>
          <w:tcPr>
            <w:tcW w:w="801" w:type="dxa"/>
          </w:tcPr>
          <w:p w14:paraId="11ADE733">
            <w:pPr>
              <w:pStyle w:val="81"/>
              <w:spacing w:line="276" w:lineRule="auto"/>
              <w:ind w:left="106"/>
              <w:jc w:val="both"/>
              <w:rPr>
                <w:rFonts w:asciiTheme="majorBidi" w:hAnsiTheme="majorBidi" w:cstheme="majorBidi"/>
                <w:sz w:val="24"/>
                <w:szCs w:val="24"/>
              </w:rPr>
            </w:pPr>
            <w:r>
              <w:rPr>
                <w:rFonts w:asciiTheme="majorBidi" w:hAnsiTheme="majorBidi" w:cstheme="majorBidi"/>
                <w:spacing w:val="-4"/>
                <w:sz w:val="24"/>
                <w:szCs w:val="24"/>
              </w:rPr>
              <w:t>3.35</w:t>
            </w:r>
          </w:p>
        </w:tc>
        <w:tc>
          <w:tcPr>
            <w:tcW w:w="1613" w:type="dxa"/>
          </w:tcPr>
          <w:p w14:paraId="578B51EA">
            <w:pPr>
              <w:pStyle w:val="81"/>
              <w:spacing w:line="276" w:lineRule="auto"/>
              <w:jc w:val="both"/>
              <w:rPr>
                <w:rFonts w:asciiTheme="majorBidi" w:hAnsiTheme="majorBidi" w:cstheme="majorBidi"/>
                <w:sz w:val="24"/>
                <w:szCs w:val="24"/>
              </w:rPr>
            </w:pPr>
            <w:r>
              <w:rPr>
                <w:rFonts w:asciiTheme="majorBidi" w:hAnsiTheme="majorBidi" w:cstheme="majorBidi"/>
                <w:spacing w:val="-4"/>
                <w:sz w:val="24"/>
                <w:szCs w:val="24"/>
              </w:rPr>
              <w:t>1.354</w:t>
            </w:r>
          </w:p>
        </w:tc>
      </w:tr>
      <w:tr w14:paraId="2783C2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0" w:hRule="atLeast"/>
        </w:trPr>
        <w:tc>
          <w:tcPr>
            <w:tcW w:w="5992" w:type="dxa"/>
          </w:tcPr>
          <w:p w14:paraId="1E1F35E7">
            <w:pPr>
              <w:spacing w:line="276" w:lineRule="auto"/>
              <w:ind w:firstLine="0"/>
              <w:jc w:val="left"/>
              <w:rPr>
                <w:rFonts w:asciiTheme="majorBidi" w:hAnsiTheme="majorBidi" w:cstheme="majorBidi"/>
              </w:rPr>
            </w:pPr>
            <w:r>
              <w:rPr>
                <w:rFonts w:asciiTheme="majorBidi" w:hAnsiTheme="majorBidi" w:cstheme="majorBidi"/>
              </w:rPr>
              <w:t>The Ministry of Finance has sufficient staff for Public Financial Management Reform Implementation</w:t>
            </w:r>
          </w:p>
        </w:tc>
        <w:tc>
          <w:tcPr>
            <w:tcW w:w="456" w:type="dxa"/>
          </w:tcPr>
          <w:p w14:paraId="2E63AAF9">
            <w:pPr>
              <w:pStyle w:val="81"/>
              <w:spacing w:line="276" w:lineRule="auto"/>
              <w:ind w:left="105"/>
              <w:jc w:val="both"/>
              <w:rPr>
                <w:rFonts w:asciiTheme="majorBidi" w:hAnsiTheme="majorBidi" w:cstheme="majorBidi"/>
                <w:sz w:val="24"/>
                <w:szCs w:val="24"/>
              </w:rPr>
            </w:pPr>
            <w:r>
              <w:rPr>
                <w:rFonts w:asciiTheme="majorBidi" w:hAnsiTheme="majorBidi" w:cstheme="majorBidi"/>
                <w:spacing w:val="-5"/>
                <w:sz w:val="24"/>
                <w:szCs w:val="24"/>
              </w:rPr>
              <w:t>92</w:t>
            </w:r>
          </w:p>
        </w:tc>
        <w:tc>
          <w:tcPr>
            <w:tcW w:w="801" w:type="dxa"/>
          </w:tcPr>
          <w:p w14:paraId="40A2D3F2">
            <w:pPr>
              <w:pStyle w:val="81"/>
              <w:spacing w:line="276" w:lineRule="auto"/>
              <w:ind w:left="106"/>
              <w:jc w:val="both"/>
              <w:rPr>
                <w:rFonts w:asciiTheme="majorBidi" w:hAnsiTheme="majorBidi" w:cstheme="majorBidi"/>
                <w:sz w:val="24"/>
                <w:szCs w:val="24"/>
              </w:rPr>
            </w:pPr>
            <w:r>
              <w:rPr>
                <w:rFonts w:asciiTheme="majorBidi" w:hAnsiTheme="majorBidi" w:cstheme="majorBidi"/>
                <w:spacing w:val="-4"/>
                <w:sz w:val="24"/>
                <w:szCs w:val="24"/>
              </w:rPr>
              <w:t>3.89</w:t>
            </w:r>
          </w:p>
        </w:tc>
        <w:tc>
          <w:tcPr>
            <w:tcW w:w="1613" w:type="dxa"/>
          </w:tcPr>
          <w:p w14:paraId="41A9BB50">
            <w:pPr>
              <w:pStyle w:val="81"/>
              <w:spacing w:line="276" w:lineRule="auto"/>
              <w:jc w:val="both"/>
              <w:rPr>
                <w:rFonts w:asciiTheme="majorBidi" w:hAnsiTheme="majorBidi" w:cstheme="majorBidi"/>
                <w:sz w:val="24"/>
                <w:szCs w:val="24"/>
              </w:rPr>
            </w:pPr>
            <w:r>
              <w:rPr>
                <w:rFonts w:asciiTheme="majorBidi" w:hAnsiTheme="majorBidi" w:cstheme="majorBidi"/>
                <w:spacing w:val="-4"/>
                <w:sz w:val="24"/>
                <w:szCs w:val="24"/>
              </w:rPr>
              <w:t>.966</w:t>
            </w:r>
          </w:p>
        </w:tc>
      </w:tr>
    </w:tbl>
    <w:p w14:paraId="578D96C5">
      <w:pPr>
        <w:pStyle w:val="14"/>
        <w:spacing w:line="276" w:lineRule="auto"/>
        <w:jc w:val="center"/>
        <w:rPr>
          <w:rFonts w:asciiTheme="majorBidi" w:hAnsiTheme="majorBidi" w:cstheme="majorBidi"/>
          <w:b/>
          <w:bCs/>
          <w:i/>
          <w:iCs/>
        </w:rPr>
      </w:pPr>
      <w:r>
        <w:rPr>
          <w:rFonts w:asciiTheme="majorBidi" w:hAnsiTheme="majorBidi" w:cstheme="majorBidi"/>
          <w:b/>
          <w:bCs/>
          <w:i/>
          <w:iCs/>
        </w:rPr>
        <w:t>Source:</w:t>
      </w:r>
      <w:r>
        <w:rPr>
          <w:rFonts w:asciiTheme="majorBidi" w:hAnsiTheme="majorBidi" w:cstheme="majorBidi"/>
          <w:b/>
          <w:bCs/>
          <w:i/>
          <w:iCs/>
          <w:spacing w:val="-5"/>
        </w:rPr>
        <w:t xml:space="preserve"> </w:t>
      </w:r>
      <w:r>
        <w:rPr>
          <w:rFonts w:asciiTheme="majorBidi" w:hAnsiTheme="majorBidi" w:cstheme="majorBidi"/>
          <w:b/>
          <w:bCs/>
          <w:i/>
          <w:iCs/>
        </w:rPr>
        <w:t>Own</w:t>
      </w:r>
      <w:r>
        <w:rPr>
          <w:rFonts w:asciiTheme="majorBidi" w:hAnsiTheme="majorBidi" w:cstheme="majorBidi"/>
          <w:b/>
          <w:bCs/>
          <w:i/>
          <w:iCs/>
          <w:spacing w:val="-9"/>
        </w:rPr>
        <w:t xml:space="preserve"> </w:t>
      </w:r>
      <w:r>
        <w:rPr>
          <w:rFonts w:asciiTheme="majorBidi" w:hAnsiTheme="majorBidi" w:cstheme="majorBidi"/>
          <w:b/>
          <w:bCs/>
          <w:i/>
          <w:iCs/>
        </w:rPr>
        <w:t>survey</w:t>
      </w:r>
      <w:r>
        <w:rPr>
          <w:rFonts w:asciiTheme="majorBidi" w:hAnsiTheme="majorBidi" w:cstheme="majorBidi"/>
          <w:b/>
          <w:bCs/>
          <w:i/>
          <w:iCs/>
          <w:spacing w:val="-9"/>
        </w:rPr>
        <w:t xml:space="preserve"> </w:t>
      </w:r>
      <w:r>
        <w:rPr>
          <w:rFonts w:asciiTheme="majorBidi" w:hAnsiTheme="majorBidi" w:cstheme="majorBidi"/>
          <w:b/>
          <w:bCs/>
          <w:i/>
          <w:iCs/>
          <w:spacing w:val="-2"/>
        </w:rPr>
        <w:t>2023(SPSS).</w:t>
      </w:r>
    </w:p>
    <w:p w14:paraId="6DDDE977">
      <w:pPr>
        <w:spacing w:line="276" w:lineRule="auto"/>
        <w:rPr>
          <w:rFonts w:asciiTheme="majorBidi" w:hAnsiTheme="majorBidi" w:cstheme="majorBidi"/>
        </w:rPr>
      </w:pPr>
      <w:r>
        <w:rPr>
          <w:rFonts w:asciiTheme="majorBidi" w:hAnsiTheme="majorBidi" w:cstheme="majorBidi"/>
        </w:rPr>
        <w:t>According to</w:t>
      </w:r>
      <w:r>
        <w:rPr>
          <w:rFonts w:asciiTheme="majorBidi" w:hAnsiTheme="majorBidi" w:cstheme="majorBidi"/>
          <w:spacing w:val="-1"/>
        </w:rPr>
        <w:t xml:space="preserve"> </w:t>
      </w:r>
      <w:r>
        <w:rPr>
          <w:rFonts w:asciiTheme="majorBidi" w:hAnsiTheme="majorBidi" w:cstheme="majorBidi"/>
        </w:rPr>
        <w:t>the findings of</w:t>
      </w:r>
      <w:r>
        <w:rPr>
          <w:rFonts w:asciiTheme="majorBidi" w:hAnsiTheme="majorBidi" w:cstheme="majorBidi"/>
          <w:spacing w:val="-4"/>
        </w:rPr>
        <w:t xml:space="preserve"> </w:t>
      </w:r>
      <w:r>
        <w:rPr>
          <w:rFonts w:asciiTheme="majorBidi" w:hAnsiTheme="majorBidi" w:cstheme="majorBidi"/>
        </w:rPr>
        <w:t>the study, Item</w:t>
      </w:r>
      <w:r>
        <w:rPr>
          <w:rFonts w:asciiTheme="majorBidi" w:hAnsiTheme="majorBidi" w:cstheme="majorBidi"/>
          <w:spacing w:val="-6"/>
        </w:rPr>
        <w:t xml:space="preserve"> </w:t>
      </w:r>
      <w:r>
        <w:rPr>
          <w:rFonts w:asciiTheme="majorBidi" w:hAnsiTheme="majorBidi" w:cstheme="majorBidi"/>
        </w:rPr>
        <w:t>number 1</w:t>
      </w:r>
      <w:r>
        <w:rPr>
          <w:rFonts w:asciiTheme="majorBidi" w:hAnsiTheme="majorBidi" w:cstheme="majorBidi"/>
          <w:spacing w:val="-6"/>
        </w:rPr>
        <w:t xml:space="preserve"> </w:t>
      </w:r>
      <w:r>
        <w:rPr>
          <w:rFonts w:asciiTheme="majorBidi" w:hAnsiTheme="majorBidi" w:cstheme="majorBidi"/>
        </w:rPr>
        <w:t>of</w:t>
      </w:r>
      <w:r>
        <w:rPr>
          <w:rFonts w:asciiTheme="majorBidi" w:hAnsiTheme="majorBidi" w:cstheme="majorBidi"/>
          <w:spacing w:val="-4"/>
        </w:rPr>
        <w:t xml:space="preserve"> </w:t>
      </w:r>
      <w:r>
        <w:rPr>
          <w:rFonts w:asciiTheme="majorBidi" w:hAnsiTheme="majorBidi" w:cstheme="majorBidi"/>
        </w:rPr>
        <w:t xml:space="preserve">the respondents agreed (mean = 2.68; Standard deviation = 1.325) that the ministry has qualified staff to oversee the successful implementation of public financial management reform. </w:t>
      </w:r>
    </w:p>
    <w:p w14:paraId="75527BA1">
      <w:pPr>
        <w:spacing w:line="276" w:lineRule="auto"/>
        <w:rPr>
          <w:rFonts w:asciiTheme="majorBidi" w:hAnsiTheme="majorBidi" w:cstheme="majorBidi"/>
        </w:rPr>
      </w:pPr>
      <w:r>
        <w:rPr>
          <w:rFonts w:asciiTheme="majorBidi" w:hAnsiTheme="majorBidi" w:cstheme="majorBidi"/>
        </w:rPr>
        <w:t>Item number 2</w:t>
      </w:r>
      <w:r>
        <w:rPr>
          <w:rFonts w:asciiTheme="majorBidi" w:hAnsiTheme="majorBidi" w:cstheme="majorBidi"/>
          <w:lang w:val="en-US"/>
        </w:rPr>
        <w:t xml:space="preserve">. </w:t>
      </w:r>
      <w:r>
        <w:rPr>
          <w:rFonts w:asciiTheme="majorBidi" w:hAnsiTheme="majorBidi" w:cstheme="majorBidi"/>
        </w:rPr>
        <w:t>also revealed the respondents agreed (mean = 3.52; Standard deviation =. 989) that the ministry</w:t>
      </w:r>
      <w:r>
        <w:rPr>
          <w:rFonts w:asciiTheme="majorBidi" w:hAnsiTheme="majorBidi" w:cstheme="majorBidi"/>
          <w:spacing w:val="-2"/>
        </w:rPr>
        <w:t xml:space="preserve"> </w:t>
      </w:r>
      <w:r>
        <w:rPr>
          <w:rFonts w:asciiTheme="majorBidi" w:hAnsiTheme="majorBidi" w:cstheme="majorBidi"/>
        </w:rPr>
        <w:t xml:space="preserve">of finance has sufficient staff for Public Financial Management Reform </w:t>
      </w:r>
      <w:r>
        <w:rPr>
          <w:rFonts w:asciiTheme="majorBidi" w:hAnsiTheme="majorBidi" w:cstheme="majorBidi"/>
          <w:spacing w:val="-2"/>
        </w:rPr>
        <w:t>implementation.</w:t>
      </w:r>
    </w:p>
    <w:p w14:paraId="785DC400">
      <w:pPr>
        <w:spacing w:line="276" w:lineRule="auto"/>
        <w:rPr>
          <w:rFonts w:asciiTheme="majorBidi" w:hAnsiTheme="majorBidi" w:cstheme="majorBidi"/>
          <w:spacing w:val="61"/>
          <w:w w:val="150"/>
        </w:rPr>
      </w:pPr>
      <w:r>
        <w:rPr>
          <w:rFonts w:asciiTheme="majorBidi" w:hAnsiTheme="majorBidi" w:cstheme="majorBidi"/>
        </w:rPr>
        <w:t>Item number 3, the results of the study show that some of the respondents agree (mean= 3.39; Standard deviation = 1.099) regarding the government institutions have adequate information</w:t>
      </w:r>
      <w:r>
        <w:rPr>
          <w:rFonts w:asciiTheme="majorBidi" w:hAnsiTheme="majorBidi" w:cstheme="majorBidi"/>
          <w:spacing w:val="40"/>
        </w:rPr>
        <w:t xml:space="preserve"> </w:t>
      </w:r>
      <w:r>
        <w:rPr>
          <w:rFonts w:asciiTheme="majorBidi" w:hAnsiTheme="majorBidi" w:cstheme="majorBidi"/>
        </w:rPr>
        <w:t>technology infrastructure for implementation of Public Financial</w:t>
      </w:r>
      <w:r>
        <w:rPr>
          <w:rFonts w:asciiTheme="majorBidi" w:hAnsiTheme="majorBidi" w:cstheme="majorBidi"/>
          <w:spacing w:val="55"/>
          <w:w w:val="150"/>
        </w:rPr>
        <w:t xml:space="preserve"> </w:t>
      </w:r>
      <w:r>
        <w:rPr>
          <w:rFonts w:asciiTheme="majorBidi" w:hAnsiTheme="majorBidi" w:cstheme="majorBidi"/>
        </w:rPr>
        <w:t>Management</w:t>
      </w:r>
      <w:r>
        <w:rPr>
          <w:rFonts w:asciiTheme="majorBidi" w:hAnsiTheme="majorBidi" w:cstheme="majorBidi"/>
          <w:spacing w:val="63"/>
          <w:w w:val="150"/>
        </w:rPr>
        <w:t xml:space="preserve"> </w:t>
      </w:r>
      <w:r>
        <w:rPr>
          <w:rFonts w:asciiTheme="majorBidi" w:hAnsiTheme="majorBidi" w:cstheme="majorBidi"/>
        </w:rPr>
        <w:t>Reform.</w:t>
      </w:r>
      <w:r>
        <w:rPr>
          <w:rFonts w:asciiTheme="majorBidi" w:hAnsiTheme="majorBidi" w:cstheme="majorBidi"/>
          <w:spacing w:val="61"/>
          <w:w w:val="150"/>
        </w:rPr>
        <w:t xml:space="preserve"> </w:t>
      </w:r>
    </w:p>
    <w:p w14:paraId="40351F39">
      <w:pPr>
        <w:spacing w:line="276" w:lineRule="auto"/>
        <w:rPr>
          <w:rFonts w:asciiTheme="majorBidi" w:hAnsiTheme="majorBidi" w:cstheme="majorBidi"/>
          <w:spacing w:val="61"/>
          <w:w w:val="150"/>
          <w:lang w:val="en-US"/>
        </w:rPr>
      </w:pPr>
      <w:r>
        <w:rPr>
          <w:rFonts w:asciiTheme="majorBidi" w:hAnsiTheme="majorBidi" w:cstheme="majorBidi"/>
        </w:rPr>
        <w:t>Item number 4, established that the</w:t>
      </w:r>
      <w:r>
        <w:rPr>
          <w:rFonts w:asciiTheme="majorBidi" w:hAnsiTheme="majorBidi" w:cstheme="majorBidi"/>
          <w:lang w:val="en-US"/>
        </w:rPr>
        <w:t xml:space="preserve"> </w:t>
      </w:r>
      <w:r>
        <w:rPr>
          <w:rFonts w:asciiTheme="majorBidi" w:hAnsiTheme="majorBidi" w:cstheme="majorBidi"/>
        </w:rPr>
        <w:t>respondents disagreed and expressed same views (mean = 2.54; Standard deviation</w:t>
      </w:r>
      <w:r>
        <w:rPr>
          <w:rFonts w:asciiTheme="majorBidi" w:hAnsiTheme="majorBidi" w:cstheme="majorBidi"/>
          <w:lang w:val="en-US"/>
        </w:rPr>
        <w:t xml:space="preserve"> </w:t>
      </w:r>
      <w:r>
        <w:rPr>
          <w:rFonts w:asciiTheme="majorBidi" w:hAnsiTheme="majorBidi" w:cstheme="majorBidi"/>
        </w:rPr>
        <w:t>=1.063) The government employees have skills to analyze development needs; design</w:t>
      </w:r>
      <w:r>
        <w:rPr>
          <w:rFonts w:asciiTheme="majorBidi" w:hAnsiTheme="majorBidi" w:cstheme="majorBidi"/>
          <w:lang w:val="en-US"/>
        </w:rPr>
        <w:t xml:space="preserve"> </w:t>
      </w:r>
      <w:r>
        <w:rPr>
          <w:rFonts w:asciiTheme="majorBidi" w:hAnsiTheme="majorBidi" w:cstheme="majorBidi"/>
        </w:rPr>
        <w:t>and implement strategies, policies, programs, and monitor results.</w:t>
      </w:r>
    </w:p>
    <w:p w14:paraId="50FBA4D9">
      <w:pPr>
        <w:spacing w:line="276" w:lineRule="auto"/>
        <w:rPr>
          <w:rFonts w:asciiTheme="majorBidi" w:hAnsiTheme="majorBidi" w:cstheme="majorBidi"/>
        </w:rPr>
      </w:pPr>
      <w:r>
        <w:rPr>
          <w:rFonts w:asciiTheme="majorBidi" w:hAnsiTheme="majorBidi" w:cstheme="majorBidi"/>
        </w:rPr>
        <w:t>Item</w:t>
      </w:r>
      <w:r>
        <w:rPr>
          <w:rFonts w:asciiTheme="majorBidi" w:hAnsiTheme="majorBidi" w:cstheme="majorBidi"/>
          <w:spacing w:val="-9"/>
        </w:rPr>
        <w:t xml:space="preserve"> </w:t>
      </w:r>
      <w:r>
        <w:rPr>
          <w:rFonts w:asciiTheme="majorBidi" w:hAnsiTheme="majorBidi" w:cstheme="majorBidi"/>
        </w:rPr>
        <w:t>number 5 of</w:t>
      </w:r>
      <w:r>
        <w:rPr>
          <w:rFonts w:asciiTheme="majorBidi" w:hAnsiTheme="majorBidi" w:cstheme="majorBidi"/>
          <w:spacing w:val="-7"/>
        </w:rPr>
        <w:t xml:space="preserve"> </w:t>
      </w:r>
      <w:r>
        <w:rPr>
          <w:rFonts w:asciiTheme="majorBidi" w:hAnsiTheme="majorBidi" w:cstheme="majorBidi"/>
        </w:rPr>
        <w:t>figure</w:t>
      </w:r>
      <w:r>
        <w:rPr>
          <w:rFonts w:asciiTheme="majorBidi" w:hAnsiTheme="majorBidi" w:cstheme="majorBidi"/>
          <w:lang w:val="en-US"/>
        </w:rPr>
        <w:t xml:space="preserve">, </w:t>
      </w:r>
      <w:r>
        <w:rPr>
          <w:rFonts w:asciiTheme="majorBidi" w:hAnsiTheme="majorBidi" w:cstheme="majorBidi"/>
        </w:rPr>
        <w:t>it also emerged that</w:t>
      </w:r>
      <w:r>
        <w:rPr>
          <w:rFonts w:asciiTheme="majorBidi" w:hAnsiTheme="majorBidi" w:cstheme="majorBidi"/>
          <w:spacing w:val="-4"/>
        </w:rPr>
        <w:t xml:space="preserve"> </w:t>
      </w:r>
      <w:r>
        <w:rPr>
          <w:rFonts w:asciiTheme="majorBidi" w:hAnsiTheme="majorBidi" w:cstheme="majorBidi"/>
        </w:rPr>
        <w:t>the respondents</w:t>
      </w:r>
      <w:r>
        <w:rPr>
          <w:rFonts w:asciiTheme="majorBidi" w:hAnsiTheme="majorBidi" w:cstheme="majorBidi"/>
          <w:spacing w:val="-2"/>
        </w:rPr>
        <w:t xml:space="preserve"> </w:t>
      </w:r>
      <w:r>
        <w:rPr>
          <w:rFonts w:asciiTheme="majorBidi" w:hAnsiTheme="majorBidi" w:cstheme="majorBidi"/>
        </w:rPr>
        <w:t>agreed (mean</w:t>
      </w:r>
      <w:r>
        <w:rPr>
          <w:rFonts w:asciiTheme="majorBidi" w:hAnsiTheme="majorBidi" w:cstheme="majorBidi"/>
          <w:spacing w:val="-4"/>
        </w:rPr>
        <w:t xml:space="preserve"> </w:t>
      </w:r>
      <w:r>
        <w:rPr>
          <w:rFonts w:asciiTheme="majorBidi" w:hAnsiTheme="majorBidi" w:cstheme="majorBidi"/>
        </w:rPr>
        <w:t>= 3.35;</w:t>
      </w:r>
      <w:r>
        <w:rPr>
          <w:rFonts w:asciiTheme="majorBidi" w:hAnsiTheme="majorBidi" w:cstheme="majorBidi"/>
          <w:spacing w:val="-4"/>
        </w:rPr>
        <w:t xml:space="preserve"> </w:t>
      </w:r>
      <w:r>
        <w:rPr>
          <w:rFonts w:asciiTheme="majorBidi" w:hAnsiTheme="majorBidi" w:cstheme="majorBidi"/>
        </w:rPr>
        <w:t>Standard deviation</w:t>
      </w:r>
      <w:r>
        <w:rPr>
          <w:rFonts w:asciiTheme="majorBidi" w:hAnsiTheme="majorBidi" w:cstheme="majorBidi"/>
          <w:spacing w:val="-4"/>
        </w:rPr>
        <w:t xml:space="preserve"> </w:t>
      </w:r>
      <w:r>
        <w:rPr>
          <w:rFonts w:asciiTheme="majorBidi" w:hAnsiTheme="majorBidi" w:cstheme="majorBidi"/>
        </w:rPr>
        <w:t>=1.354) that the ministry leadership has the ability to influence or change the values, beliefs, behavior and attitudes of the employee.</w:t>
      </w:r>
    </w:p>
    <w:p w14:paraId="60EFFC2F">
      <w:pPr>
        <w:spacing w:line="276" w:lineRule="auto"/>
        <w:rPr>
          <w:rFonts w:asciiTheme="majorBidi" w:hAnsiTheme="majorBidi" w:cstheme="majorBidi"/>
          <w:spacing w:val="-2"/>
        </w:rPr>
      </w:pPr>
      <w:r>
        <w:rPr>
          <w:rFonts w:asciiTheme="majorBidi" w:hAnsiTheme="majorBidi" w:cstheme="majorBidi"/>
        </w:rPr>
        <w:t xml:space="preserve">Item number 6, also revealed the respondents agreed (mean = 3.89; Standard deviation = .966) that the government employees have Adequate Technical Skills &amp; Knowledge for implementation of PFM </w:t>
      </w:r>
      <w:r>
        <w:rPr>
          <w:rFonts w:asciiTheme="majorBidi" w:hAnsiTheme="majorBidi" w:cstheme="majorBidi"/>
          <w:spacing w:val="-2"/>
        </w:rPr>
        <w:t>Reform.</w:t>
      </w:r>
    </w:p>
    <w:p w14:paraId="71AA91BB">
      <w:pPr>
        <w:pStyle w:val="4"/>
        <w:spacing w:line="276" w:lineRule="auto"/>
        <w:ind w:firstLine="0"/>
        <w:rPr>
          <w:rFonts w:asciiTheme="majorBidi" w:hAnsiTheme="majorBidi"/>
          <w:spacing w:val="-2"/>
          <w:sz w:val="24"/>
          <w:szCs w:val="24"/>
        </w:rPr>
      </w:pPr>
      <w:bookmarkStart w:id="39" w:name="_Toc136959616"/>
      <w:r>
        <w:rPr>
          <w:rFonts w:asciiTheme="majorBidi" w:hAnsiTheme="majorBidi"/>
          <w:sz w:val="24"/>
          <w:szCs w:val="24"/>
        </w:rPr>
        <w:t>The ministry has</w:t>
      </w:r>
      <w:r>
        <w:rPr>
          <w:rFonts w:asciiTheme="majorBidi" w:hAnsiTheme="majorBidi"/>
          <w:spacing w:val="-2"/>
          <w:sz w:val="24"/>
          <w:szCs w:val="24"/>
        </w:rPr>
        <w:t xml:space="preserve"> </w:t>
      </w:r>
      <w:r>
        <w:rPr>
          <w:rFonts w:asciiTheme="majorBidi" w:hAnsiTheme="majorBidi"/>
          <w:sz w:val="24"/>
          <w:szCs w:val="24"/>
        </w:rPr>
        <w:t>qualified staff</w:t>
      </w:r>
      <w:r>
        <w:rPr>
          <w:rFonts w:asciiTheme="majorBidi" w:hAnsiTheme="majorBidi"/>
          <w:spacing w:val="-2"/>
          <w:sz w:val="24"/>
          <w:szCs w:val="24"/>
        </w:rPr>
        <w:t xml:space="preserve"> </w:t>
      </w:r>
      <w:r>
        <w:rPr>
          <w:rFonts w:asciiTheme="majorBidi" w:hAnsiTheme="majorBidi"/>
          <w:sz w:val="24"/>
          <w:szCs w:val="24"/>
        </w:rPr>
        <w:t>to oversee</w:t>
      </w:r>
      <w:r>
        <w:rPr>
          <w:rFonts w:asciiTheme="majorBidi" w:hAnsiTheme="majorBidi"/>
          <w:spacing w:val="-1"/>
          <w:sz w:val="24"/>
          <w:szCs w:val="24"/>
        </w:rPr>
        <w:t xml:space="preserve"> </w:t>
      </w:r>
      <w:r>
        <w:rPr>
          <w:rFonts w:asciiTheme="majorBidi" w:hAnsiTheme="majorBidi"/>
          <w:sz w:val="24"/>
          <w:szCs w:val="24"/>
        </w:rPr>
        <w:t>the</w:t>
      </w:r>
      <w:r>
        <w:rPr>
          <w:rFonts w:asciiTheme="majorBidi" w:hAnsiTheme="majorBidi"/>
          <w:spacing w:val="19"/>
          <w:sz w:val="24"/>
          <w:szCs w:val="24"/>
        </w:rPr>
        <w:t xml:space="preserve"> </w:t>
      </w:r>
      <w:r>
        <w:rPr>
          <w:rFonts w:asciiTheme="majorBidi" w:hAnsiTheme="majorBidi"/>
          <w:sz w:val="24"/>
          <w:szCs w:val="24"/>
        </w:rPr>
        <w:t>successful</w:t>
      </w:r>
      <w:r>
        <w:rPr>
          <w:rFonts w:asciiTheme="majorBidi" w:hAnsiTheme="majorBidi"/>
          <w:spacing w:val="-5"/>
          <w:sz w:val="24"/>
          <w:szCs w:val="24"/>
        </w:rPr>
        <w:t xml:space="preserve"> </w:t>
      </w:r>
      <w:r>
        <w:rPr>
          <w:rFonts w:asciiTheme="majorBidi" w:hAnsiTheme="majorBidi"/>
          <w:sz w:val="24"/>
          <w:szCs w:val="24"/>
        </w:rPr>
        <w:t>implementation of</w:t>
      </w:r>
      <w:r>
        <w:rPr>
          <w:rFonts w:asciiTheme="majorBidi" w:hAnsiTheme="majorBidi"/>
          <w:spacing w:val="-8"/>
          <w:sz w:val="24"/>
          <w:szCs w:val="24"/>
        </w:rPr>
        <w:t xml:space="preserve"> </w:t>
      </w:r>
      <w:r>
        <w:rPr>
          <w:rFonts w:asciiTheme="majorBidi" w:hAnsiTheme="majorBidi"/>
          <w:sz w:val="24"/>
          <w:szCs w:val="24"/>
        </w:rPr>
        <w:t xml:space="preserve">public financial </w:t>
      </w:r>
      <w:r>
        <w:rPr>
          <w:rFonts w:asciiTheme="majorBidi" w:hAnsiTheme="majorBidi"/>
          <w:spacing w:val="-2"/>
          <w:sz w:val="24"/>
          <w:szCs w:val="24"/>
        </w:rPr>
        <w:t>management reform</w:t>
      </w:r>
      <w:bookmarkEnd w:id="39"/>
    </w:p>
    <w:tbl>
      <w:tblPr>
        <w:tblStyle w:val="84"/>
        <w:tblW w:w="0" w:type="auto"/>
        <w:tblInd w:w="0" w:type="dxa"/>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Layout w:type="autofit"/>
        <w:tblCellMar>
          <w:top w:w="0" w:type="dxa"/>
          <w:left w:w="108" w:type="dxa"/>
          <w:bottom w:w="0" w:type="dxa"/>
          <w:right w:w="108" w:type="dxa"/>
        </w:tblCellMar>
      </w:tblPr>
      <w:tblGrid>
        <w:gridCol w:w="2871"/>
        <w:gridCol w:w="2388"/>
        <w:gridCol w:w="4119"/>
      </w:tblGrid>
      <w:tr w14:paraId="59591F5B">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871" w:type="dxa"/>
          </w:tcPr>
          <w:p w14:paraId="37A59A09">
            <w:pPr>
              <w:autoSpaceDE w:val="0"/>
              <w:autoSpaceDN w:val="0"/>
              <w:adjustRightInd w:val="0"/>
              <w:spacing w:line="276" w:lineRule="auto"/>
              <w:ind w:right="60" w:firstLine="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Respondents</w:t>
            </w:r>
          </w:p>
        </w:tc>
        <w:tc>
          <w:tcPr>
            <w:tcW w:w="2388" w:type="dxa"/>
          </w:tcPr>
          <w:p w14:paraId="671322B5">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Frequency</w:t>
            </w:r>
          </w:p>
        </w:tc>
        <w:tc>
          <w:tcPr>
            <w:tcW w:w="4119" w:type="dxa"/>
          </w:tcPr>
          <w:p w14:paraId="642778FB">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Percent</w:t>
            </w:r>
          </w:p>
        </w:tc>
      </w:tr>
      <w:tr w14:paraId="7FCC632F">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871" w:type="dxa"/>
            <w:shd w:val="clear" w:color="auto" w:fill="F1F1F1" w:themeFill="background1" w:themeFillShade="F2"/>
          </w:tcPr>
          <w:p w14:paraId="4B14CEA8">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strong agree</w:t>
            </w:r>
          </w:p>
        </w:tc>
        <w:tc>
          <w:tcPr>
            <w:tcW w:w="2388" w:type="dxa"/>
            <w:shd w:val="clear" w:color="auto" w:fill="F1F1F1" w:themeFill="background1" w:themeFillShade="F2"/>
          </w:tcPr>
          <w:p w14:paraId="7848F2BF">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70</w:t>
            </w:r>
          </w:p>
        </w:tc>
        <w:tc>
          <w:tcPr>
            <w:tcW w:w="4119" w:type="dxa"/>
            <w:shd w:val="clear" w:color="auto" w:fill="F1F1F1" w:themeFill="background1" w:themeFillShade="F2"/>
          </w:tcPr>
          <w:p w14:paraId="219582EC">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76.08</w:t>
            </w:r>
          </w:p>
        </w:tc>
      </w:tr>
      <w:tr w14:paraId="5FBA79A4">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871" w:type="dxa"/>
          </w:tcPr>
          <w:p w14:paraId="5F05FEE7">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Agree</w:t>
            </w:r>
          </w:p>
        </w:tc>
        <w:tc>
          <w:tcPr>
            <w:tcW w:w="2388" w:type="dxa"/>
          </w:tcPr>
          <w:p w14:paraId="0410D570">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18</w:t>
            </w:r>
          </w:p>
        </w:tc>
        <w:tc>
          <w:tcPr>
            <w:tcW w:w="4119" w:type="dxa"/>
          </w:tcPr>
          <w:p w14:paraId="14D8E449">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19.56</w:t>
            </w:r>
          </w:p>
        </w:tc>
      </w:tr>
      <w:tr w14:paraId="470A6100">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871" w:type="dxa"/>
            <w:shd w:val="clear" w:color="auto" w:fill="F1F1F1" w:themeFill="background1" w:themeFillShade="F2"/>
          </w:tcPr>
          <w:p w14:paraId="0FD98077">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Disagree</w:t>
            </w:r>
          </w:p>
        </w:tc>
        <w:tc>
          <w:tcPr>
            <w:tcW w:w="2388" w:type="dxa"/>
            <w:shd w:val="clear" w:color="auto" w:fill="F1F1F1" w:themeFill="background1" w:themeFillShade="F2"/>
          </w:tcPr>
          <w:p w14:paraId="262220AF">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2</w:t>
            </w:r>
          </w:p>
        </w:tc>
        <w:tc>
          <w:tcPr>
            <w:tcW w:w="4119" w:type="dxa"/>
            <w:shd w:val="clear" w:color="auto" w:fill="F1F1F1" w:themeFill="background1" w:themeFillShade="F2"/>
          </w:tcPr>
          <w:p w14:paraId="064CB00C">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5.6</w:t>
            </w:r>
          </w:p>
        </w:tc>
      </w:tr>
      <w:tr w14:paraId="28350338">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871" w:type="dxa"/>
          </w:tcPr>
          <w:p w14:paraId="74381005">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strong disagree</w:t>
            </w:r>
          </w:p>
        </w:tc>
        <w:tc>
          <w:tcPr>
            <w:tcW w:w="2388" w:type="dxa"/>
          </w:tcPr>
          <w:p w14:paraId="25CB738C">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2</w:t>
            </w:r>
          </w:p>
        </w:tc>
        <w:tc>
          <w:tcPr>
            <w:tcW w:w="4119" w:type="dxa"/>
          </w:tcPr>
          <w:p w14:paraId="091C92B6">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5.6</w:t>
            </w:r>
          </w:p>
        </w:tc>
      </w:tr>
      <w:tr w14:paraId="25EA30F3">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871" w:type="dxa"/>
            <w:shd w:val="clear" w:color="auto" w:fill="F1F1F1" w:themeFill="background1" w:themeFillShade="F2"/>
          </w:tcPr>
          <w:p w14:paraId="14C9508A">
            <w:pPr>
              <w:autoSpaceDE w:val="0"/>
              <w:autoSpaceDN w:val="0"/>
              <w:adjustRightInd w:val="0"/>
              <w:spacing w:line="276" w:lineRule="auto"/>
              <w:ind w:right="60" w:firstLine="0"/>
              <w:jc w:val="center"/>
              <w:rPr>
                <w:rFonts w:asciiTheme="majorBidi" w:hAnsiTheme="majorBidi" w:cstheme="majorBidi"/>
                <w:b/>
                <w:bCs/>
                <w:caps/>
                <w:color w:val="000000"/>
                <w:sz w:val="24"/>
                <w:szCs w:val="24"/>
              </w:rPr>
            </w:pPr>
            <w:r>
              <w:rPr>
                <w:rFonts w:asciiTheme="majorBidi" w:hAnsiTheme="majorBidi" w:cstheme="majorBidi"/>
                <w:b/>
                <w:bCs/>
                <w:caps/>
                <w:color w:val="000000"/>
                <w:sz w:val="24"/>
                <w:szCs w:val="24"/>
              </w:rPr>
              <w:t>Total</w:t>
            </w:r>
          </w:p>
        </w:tc>
        <w:tc>
          <w:tcPr>
            <w:tcW w:w="2388" w:type="dxa"/>
            <w:shd w:val="clear" w:color="auto" w:fill="F1F1F1" w:themeFill="background1" w:themeFillShade="F2"/>
          </w:tcPr>
          <w:p w14:paraId="0A2385C5">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92</w:t>
            </w:r>
          </w:p>
        </w:tc>
        <w:tc>
          <w:tcPr>
            <w:tcW w:w="4119" w:type="dxa"/>
            <w:shd w:val="clear" w:color="auto" w:fill="F1F1F1" w:themeFill="background1" w:themeFillShade="F2"/>
          </w:tcPr>
          <w:p w14:paraId="0FCF7C8F">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100.0</w:t>
            </w:r>
          </w:p>
        </w:tc>
      </w:tr>
    </w:tbl>
    <w:p w14:paraId="427C2151">
      <w:pPr>
        <w:spacing w:line="276" w:lineRule="auto"/>
        <w:jc w:val="center"/>
        <w:rPr>
          <w:rFonts w:asciiTheme="majorBidi" w:hAnsiTheme="majorBidi" w:cstheme="majorBidi"/>
        </w:rPr>
      </w:pPr>
      <w:r>
        <w:rPr>
          <w:rFonts w:asciiTheme="majorBidi" w:hAnsiTheme="majorBidi" w:cstheme="majorBidi"/>
          <w:b/>
          <w:bCs/>
          <w:i/>
          <w:iCs/>
          <w:color w:val="000000"/>
        </w:rPr>
        <w:t>Source: Own survey 202</w:t>
      </w:r>
      <w:r>
        <w:rPr>
          <w:rFonts w:asciiTheme="majorBidi" w:hAnsiTheme="majorBidi" w:cstheme="majorBidi"/>
          <w:b/>
          <w:bCs/>
          <w:i/>
          <w:iCs/>
          <w:color w:val="000000"/>
          <w:lang w:val="en-US"/>
        </w:rPr>
        <w:t>3</w:t>
      </w:r>
      <w:r>
        <w:rPr>
          <w:rFonts w:asciiTheme="majorBidi" w:hAnsiTheme="majorBidi" w:cstheme="majorBidi"/>
          <w:b/>
          <w:bCs/>
          <w:i/>
          <w:iCs/>
          <w:color w:val="000000"/>
        </w:rPr>
        <w:t>(SPSS).</w:t>
      </w:r>
    </w:p>
    <w:p w14:paraId="2F170043">
      <w:pPr>
        <w:spacing w:line="276" w:lineRule="auto"/>
        <w:rPr>
          <w:rFonts w:asciiTheme="majorBidi" w:hAnsiTheme="majorBidi" w:cstheme="majorBidi"/>
          <w:lang w:val="en-US"/>
        </w:rPr>
      </w:pPr>
      <w:r>
        <w:rPr>
          <w:rFonts w:asciiTheme="majorBidi" w:hAnsiTheme="majorBidi" w:cstheme="majorBidi"/>
        </w:rPr>
        <w:t>Figure above show that 8 of the respondent strong agree 70</w:t>
      </w:r>
      <w:r>
        <w:rPr>
          <w:rFonts w:asciiTheme="majorBidi" w:hAnsiTheme="majorBidi" w:cstheme="majorBidi"/>
          <w:lang w:val="en-US"/>
        </w:rPr>
        <w:t xml:space="preserve"> </w:t>
      </w:r>
      <w:r>
        <w:rPr>
          <w:rFonts w:asciiTheme="majorBidi" w:hAnsiTheme="majorBidi" w:cstheme="majorBidi"/>
        </w:rPr>
        <w:t>or 76.8% 18 agree or 19.56%, 2 disagree or 5.6% 2 strong disagree or 5.6% thus the most of respondent agree The ministry has</w:t>
      </w:r>
      <w:r>
        <w:rPr>
          <w:rFonts w:asciiTheme="majorBidi" w:hAnsiTheme="majorBidi" w:cstheme="majorBidi"/>
          <w:spacing w:val="-2"/>
        </w:rPr>
        <w:t xml:space="preserve"> </w:t>
      </w:r>
      <w:r>
        <w:rPr>
          <w:rFonts w:asciiTheme="majorBidi" w:hAnsiTheme="majorBidi" w:cstheme="majorBidi"/>
        </w:rPr>
        <w:t>qualified staff</w:t>
      </w:r>
      <w:r>
        <w:rPr>
          <w:rFonts w:asciiTheme="majorBidi" w:hAnsiTheme="majorBidi" w:cstheme="majorBidi"/>
          <w:spacing w:val="-2"/>
        </w:rPr>
        <w:t xml:space="preserve"> </w:t>
      </w:r>
      <w:r>
        <w:rPr>
          <w:rFonts w:asciiTheme="majorBidi" w:hAnsiTheme="majorBidi" w:cstheme="majorBidi"/>
        </w:rPr>
        <w:t>to oversee</w:t>
      </w:r>
      <w:r>
        <w:rPr>
          <w:rFonts w:asciiTheme="majorBidi" w:hAnsiTheme="majorBidi" w:cstheme="majorBidi"/>
          <w:spacing w:val="-1"/>
        </w:rPr>
        <w:t xml:space="preserve"> </w:t>
      </w:r>
      <w:r>
        <w:rPr>
          <w:rFonts w:asciiTheme="majorBidi" w:hAnsiTheme="majorBidi" w:cstheme="majorBidi"/>
        </w:rPr>
        <w:t>the</w:t>
      </w:r>
      <w:r>
        <w:rPr>
          <w:rFonts w:asciiTheme="majorBidi" w:hAnsiTheme="majorBidi" w:cstheme="majorBidi"/>
          <w:spacing w:val="19"/>
        </w:rPr>
        <w:t xml:space="preserve"> </w:t>
      </w:r>
      <w:r>
        <w:rPr>
          <w:rFonts w:asciiTheme="majorBidi" w:hAnsiTheme="majorBidi" w:cstheme="majorBidi"/>
        </w:rPr>
        <w:t>successful</w:t>
      </w:r>
      <w:r>
        <w:rPr>
          <w:rFonts w:asciiTheme="majorBidi" w:hAnsiTheme="majorBidi" w:cstheme="majorBidi"/>
          <w:spacing w:val="-5"/>
        </w:rPr>
        <w:t xml:space="preserve"> </w:t>
      </w:r>
      <w:r>
        <w:rPr>
          <w:rFonts w:asciiTheme="majorBidi" w:hAnsiTheme="majorBidi" w:cstheme="majorBidi"/>
        </w:rPr>
        <w:t>implementation of</w:t>
      </w:r>
      <w:r>
        <w:rPr>
          <w:rFonts w:asciiTheme="majorBidi" w:hAnsiTheme="majorBidi" w:cstheme="majorBidi"/>
          <w:spacing w:val="-8"/>
        </w:rPr>
        <w:t xml:space="preserve"> </w:t>
      </w:r>
      <w:r>
        <w:rPr>
          <w:rFonts w:asciiTheme="majorBidi" w:hAnsiTheme="majorBidi" w:cstheme="majorBidi"/>
        </w:rPr>
        <w:t xml:space="preserve">public financial </w:t>
      </w:r>
      <w:r>
        <w:rPr>
          <w:rFonts w:asciiTheme="majorBidi" w:hAnsiTheme="majorBidi" w:cstheme="majorBidi"/>
          <w:spacing w:val="-2"/>
        </w:rPr>
        <w:t>management reform</w:t>
      </w:r>
      <w:r>
        <w:rPr>
          <w:rFonts w:asciiTheme="majorBidi" w:hAnsiTheme="majorBidi" w:cstheme="majorBidi"/>
          <w:spacing w:val="-2"/>
          <w:lang w:val="en-US"/>
        </w:rPr>
        <w:t>.</w:t>
      </w:r>
    </w:p>
    <w:p w14:paraId="2071CA08">
      <w:pPr>
        <w:pStyle w:val="4"/>
        <w:spacing w:line="276" w:lineRule="auto"/>
        <w:ind w:firstLine="0"/>
        <w:rPr>
          <w:rFonts w:asciiTheme="majorBidi" w:hAnsiTheme="majorBidi"/>
          <w:sz w:val="24"/>
          <w:szCs w:val="24"/>
        </w:rPr>
      </w:pPr>
      <w:bookmarkStart w:id="40" w:name="_Toc136959617"/>
      <w:r>
        <w:rPr>
          <w:rFonts w:asciiTheme="majorBidi" w:hAnsiTheme="majorBidi"/>
          <w:sz w:val="24"/>
          <w:szCs w:val="24"/>
        </w:rPr>
        <w:t>The</w:t>
      </w:r>
      <w:r>
        <w:rPr>
          <w:rFonts w:asciiTheme="majorBidi" w:hAnsiTheme="majorBidi"/>
          <w:spacing w:val="1"/>
          <w:sz w:val="24"/>
          <w:szCs w:val="24"/>
        </w:rPr>
        <w:t xml:space="preserve"> </w:t>
      </w:r>
      <w:r>
        <w:rPr>
          <w:rFonts w:asciiTheme="majorBidi" w:hAnsiTheme="majorBidi"/>
          <w:sz w:val="24"/>
          <w:szCs w:val="24"/>
        </w:rPr>
        <w:t>Ministry</w:t>
      </w:r>
      <w:r>
        <w:rPr>
          <w:rFonts w:asciiTheme="majorBidi" w:hAnsiTheme="majorBidi"/>
          <w:spacing w:val="-11"/>
          <w:sz w:val="24"/>
          <w:szCs w:val="24"/>
        </w:rPr>
        <w:t xml:space="preserve"> </w:t>
      </w:r>
      <w:r>
        <w:rPr>
          <w:rFonts w:asciiTheme="majorBidi" w:hAnsiTheme="majorBidi"/>
          <w:sz w:val="24"/>
          <w:szCs w:val="24"/>
        </w:rPr>
        <w:t>of</w:t>
      </w:r>
      <w:r>
        <w:rPr>
          <w:rFonts w:asciiTheme="majorBidi" w:hAnsiTheme="majorBidi"/>
          <w:spacing w:val="-5"/>
          <w:sz w:val="24"/>
          <w:szCs w:val="24"/>
        </w:rPr>
        <w:t xml:space="preserve"> </w:t>
      </w:r>
      <w:r>
        <w:rPr>
          <w:rFonts w:asciiTheme="majorBidi" w:hAnsiTheme="majorBidi"/>
          <w:sz w:val="24"/>
          <w:szCs w:val="24"/>
        </w:rPr>
        <w:t>Finance has sufficient staff for Public Financial Management Reform Implementation</w:t>
      </w:r>
      <w:bookmarkEnd w:id="40"/>
    </w:p>
    <w:tbl>
      <w:tblPr>
        <w:tblStyle w:val="84"/>
        <w:tblW w:w="0" w:type="auto"/>
        <w:tblInd w:w="0" w:type="dxa"/>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Layout w:type="autofit"/>
        <w:tblCellMar>
          <w:top w:w="0" w:type="dxa"/>
          <w:left w:w="108" w:type="dxa"/>
          <w:bottom w:w="0" w:type="dxa"/>
          <w:right w:w="108" w:type="dxa"/>
        </w:tblCellMar>
      </w:tblPr>
      <w:tblGrid>
        <w:gridCol w:w="2549"/>
        <w:gridCol w:w="3139"/>
        <w:gridCol w:w="3330"/>
      </w:tblGrid>
      <w:tr w14:paraId="53987E79">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tcPr>
          <w:p w14:paraId="48605784">
            <w:pPr>
              <w:autoSpaceDE w:val="0"/>
              <w:autoSpaceDN w:val="0"/>
              <w:adjustRightInd w:val="0"/>
              <w:spacing w:line="276" w:lineRule="auto"/>
              <w:ind w:right="60" w:firstLine="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Respondents</w:t>
            </w:r>
          </w:p>
        </w:tc>
        <w:tc>
          <w:tcPr>
            <w:tcW w:w="3139" w:type="dxa"/>
          </w:tcPr>
          <w:p w14:paraId="330A4F27">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Frequency</w:t>
            </w:r>
          </w:p>
        </w:tc>
        <w:tc>
          <w:tcPr>
            <w:tcW w:w="3330" w:type="dxa"/>
          </w:tcPr>
          <w:p w14:paraId="2D8B49BC">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Percent</w:t>
            </w:r>
          </w:p>
        </w:tc>
      </w:tr>
      <w:tr w14:paraId="1D8ACDEA">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shd w:val="clear" w:color="auto" w:fill="F1F1F1" w:themeFill="background1" w:themeFillShade="F2"/>
          </w:tcPr>
          <w:p w14:paraId="1C38C53F">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olor w:val="000000"/>
                <w:sz w:val="24"/>
                <w:szCs w:val="24"/>
              </w:rPr>
              <w:t>strongly agree</w:t>
            </w:r>
          </w:p>
        </w:tc>
        <w:tc>
          <w:tcPr>
            <w:tcW w:w="3139" w:type="dxa"/>
            <w:shd w:val="clear" w:color="auto" w:fill="F1F1F1" w:themeFill="background1" w:themeFillShade="F2"/>
          </w:tcPr>
          <w:p w14:paraId="48F3BAD5">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24</w:t>
            </w:r>
          </w:p>
        </w:tc>
        <w:tc>
          <w:tcPr>
            <w:tcW w:w="3330" w:type="dxa"/>
            <w:shd w:val="clear" w:color="auto" w:fill="F1F1F1" w:themeFill="background1" w:themeFillShade="F2"/>
          </w:tcPr>
          <w:p w14:paraId="49535904">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26.08</w:t>
            </w:r>
          </w:p>
        </w:tc>
      </w:tr>
      <w:tr w14:paraId="3D37199A">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tcPr>
          <w:p w14:paraId="710A4D37">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olor w:val="000000"/>
                <w:sz w:val="24"/>
                <w:szCs w:val="24"/>
              </w:rPr>
              <w:t>Agree</w:t>
            </w:r>
          </w:p>
        </w:tc>
        <w:tc>
          <w:tcPr>
            <w:tcW w:w="3139" w:type="dxa"/>
          </w:tcPr>
          <w:p w14:paraId="33413490">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20</w:t>
            </w:r>
          </w:p>
        </w:tc>
        <w:tc>
          <w:tcPr>
            <w:tcW w:w="3330" w:type="dxa"/>
          </w:tcPr>
          <w:p w14:paraId="678A3C45">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55.6</w:t>
            </w:r>
          </w:p>
        </w:tc>
      </w:tr>
      <w:tr w14:paraId="759C566D">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shd w:val="clear" w:color="auto" w:fill="F1F1F1" w:themeFill="background1" w:themeFillShade="F2"/>
          </w:tcPr>
          <w:p w14:paraId="05DE106D">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olor w:val="000000"/>
                <w:sz w:val="24"/>
                <w:szCs w:val="24"/>
              </w:rPr>
              <w:t>Disagree</w:t>
            </w:r>
          </w:p>
        </w:tc>
        <w:tc>
          <w:tcPr>
            <w:tcW w:w="3139" w:type="dxa"/>
            <w:shd w:val="clear" w:color="auto" w:fill="F1F1F1" w:themeFill="background1" w:themeFillShade="F2"/>
          </w:tcPr>
          <w:p w14:paraId="3328D328">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25</w:t>
            </w:r>
          </w:p>
        </w:tc>
        <w:tc>
          <w:tcPr>
            <w:tcW w:w="3330" w:type="dxa"/>
            <w:shd w:val="clear" w:color="auto" w:fill="F1F1F1" w:themeFill="background1" w:themeFillShade="F2"/>
          </w:tcPr>
          <w:p w14:paraId="403969CB">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27.17</w:t>
            </w:r>
          </w:p>
        </w:tc>
      </w:tr>
      <w:tr w14:paraId="38EDC8CA">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tcPr>
          <w:p w14:paraId="09AC90F5">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olor w:val="000000"/>
                <w:sz w:val="24"/>
                <w:szCs w:val="24"/>
              </w:rPr>
              <w:t>strongly disagree</w:t>
            </w:r>
          </w:p>
        </w:tc>
        <w:tc>
          <w:tcPr>
            <w:tcW w:w="3139" w:type="dxa"/>
          </w:tcPr>
          <w:p w14:paraId="3C41B622">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23</w:t>
            </w:r>
          </w:p>
        </w:tc>
        <w:tc>
          <w:tcPr>
            <w:tcW w:w="3330" w:type="dxa"/>
          </w:tcPr>
          <w:p w14:paraId="3FF519DB">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25</w:t>
            </w:r>
          </w:p>
        </w:tc>
      </w:tr>
      <w:tr w14:paraId="78F5A54C">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shd w:val="clear" w:color="auto" w:fill="F1F1F1" w:themeFill="background1" w:themeFillShade="F2"/>
          </w:tcPr>
          <w:p w14:paraId="153CCC3F">
            <w:pPr>
              <w:autoSpaceDE w:val="0"/>
              <w:autoSpaceDN w:val="0"/>
              <w:adjustRightInd w:val="0"/>
              <w:spacing w:line="276" w:lineRule="auto"/>
              <w:ind w:right="60" w:firstLine="0"/>
              <w:jc w:val="center"/>
              <w:rPr>
                <w:rFonts w:asciiTheme="majorBidi" w:hAnsiTheme="majorBidi" w:cstheme="majorBidi"/>
                <w:b/>
                <w:bCs/>
                <w:caps/>
                <w:color w:val="000000"/>
                <w:sz w:val="24"/>
                <w:szCs w:val="24"/>
              </w:rPr>
            </w:pPr>
            <w:r>
              <w:rPr>
                <w:rFonts w:asciiTheme="majorBidi" w:hAnsiTheme="majorBidi" w:cstheme="majorBidi"/>
                <w:b/>
                <w:bCs/>
                <w:color w:val="000000"/>
                <w:sz w:val="24"/>
                <w:szCs w:val="24"/>
              </w:rPr>
              <w:t>Total</w:t>
            </w:r>
          </w:p>
        </w:tc>
        <w:tc>
          <w:tcPr>
            <w:tcW w:w="3139" w:type="dxa"/>
            <w:shd w:val="clear" w:color="auto" w:fill="F1F1F1" w:themeFill="background1" w:themeFillShade="F2"/>
          </w:tcPr>
          <w:p w14:paraId="58743EB6">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92</w:t>
            </w:r>
          </w:p>
        </w:tc>
        <w:tc>
          <w:tcPr>
            <w:tcW w:w="3330" w:type="dxa"/>
            <w:shd w:val="clear" w:color="auto" w:fill="F1F1F1" w:themeFill="background1" w:themeFillShade="F2"/>
          </w:tcPr>
          <w:p w14:paraId="7E96C44C">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100.0</w:t>
            </w:r>
          </w:p>
        </w:tc>
      </w:tr>
    </w:tbl>
    <w:p w14:paraId="7D72A373">
      <w:pPr>
        <w:spacing w:line="276" w:lineRule="auto"/>
        <w:jc w:val="center"/>
        <w:rPr>
          <w:rFonts w:asciiTheme="majorBidi" w:hAnsiTheme="majorBidi" w:cstheme="majorBidi"/>
        </w:rPr>
      </w:pPr>
      <w:r>
        <w:rPr>
          <w:rFonts w:asciiTheme="majorBidi" w:hAnsiTheme="majorBidi" w:cstheme="majorBidi"/>
          <w:b/>
          <w:bCs/>
          <w:i/>
          <w:iCs/>
          <w:color w:val="000000"/>
        </w:rPr>
        <w:t>Source: Own survey 202</w:t>
      </w:r>
      <w:r>
        <w:rPr>
          <w:rFonts w:asciiTheme="majorBidi" w:hAnsiTheme="majorBidi" w:cstheme="majorBidi"/>
          <w:b/>
          <w:bCs/>
          <w:i/>
          <w:iCs/>
          <w:color w:val="000000"/>
          <w:lang w:val="en-US"/>
        </w:rPr>
        <w:t>3</w:t>
      </w:r>
      <w:r>
        <w:rPr>
          <w:rFonts w:asciiTheme="majorBidi" w:hAnsiTheme="majorBidi" w:cstheme="majorBidi"/>
          <w:b/>
          <w:bCs/>
          <w:i/>
          <w:iCs/>
          <w:color w:val="000000"/>
        </w:rPr>
        <w:t>(SPSS).</w:t>
      </w:r>
    </w:p>
    <w:p w14:paraId="31F560ED">
      <w:pPr>
        <w:autoSpaceDE w:val="0"/>
        <w:autoSpaceDN w:val="0"/>
        <w:adjustRightInd w:val="0"/>
        <w:spacing w:after="0" w:line="276" w:lineRule="auto"/>
        <w:rPr>
          <w:rFonts w:asciiTheme="majorBidi" w:hAnsiTheme="majorBidi" w:cstheme="majorBidi"/>
          <w:spacing w:val="-2"/>
        </w:rPr>
      </w:pPr>
      <w:r>
        <w:rPr>
          <w:rFonts w:asciiTheme="majorBidi" w:hAnsiTheme="majorBidi" w:cstheme="majorBidi"/>
        </w:rPr>
        <w:t xml:space="preserve">Figure </w:t>
      </w:r>
      <w:r>
        <w:rPr>
          <w:rFonts w:asciiTheme="majorBidi" w:hAnsiTheme="majorBidi" w:cstheme="majorBidi"/>
          <w:lang w:val="en-US"/>
        </w:rPr>
        <w:t xml:space="preserve"> </w:t>
      </w:r>
      <w:r>
        <w:rPr>
          <w:rFonts w:asciiTheme="majorBidi" w:hAnsiTheme="majorBidi" w:cstheme="majorBidi"/>
        </w:rPr>
        <w:t>above show that 10 of the respondent strong agree or 27.8% 20 agree or 55.6%, 5 disagree or 13.9% 1 strong disagree or 2.8 thus the most of respondent disagree The</w:t>
      </w:r>
      <w:r>
        <w:rPr>
          <w:rFonts w:asciiTheme="majorBidi" w:hAnsiTheme="majorBidi" w:cstheme="majorBidi"/>
          <w:spacing w:val="1"/>
        </w:rPr>
        <w:t xml:space="preserve"> </w:t>
      </w:r>
      <w:r>
        <w:rPr>
          <w:rFonts w:asciiTheme="majorBidi" w:hAnsiTheme="majorBidi" w:cstheme="majorBidi"/>
        </w:rPr>
        <w:t>Ministry</w:t>
      </w:r>
      <w:r>
        <w:rPr>
          <w:rFonts w:asciiTheme="majorBidi" w:hAnsiTheme="majorBidi" w:cstheme="majorBidi"/>
          <w:spacing w:val="-11"/>
        </w:rPr>
        <w:t xml:space="preserve"> </w:t>
      </w:r>
      <w:r>
        <w:rPr>
          <w:rFonts w:asciiTheme="majorBidi" w:hAnsiTheme="majorBidi" w:cstheme="majorBidi"/>
        </w:rPr>
        <w:t>of</w:t>
      </w:r>
      <w:r>
        <w:rPr>
          <w:rFonts w:asciiTheme="majorBidi" w:hAnsiTheme="majorBidi" w:cstheme="majorBidi"/>
          <w:spacing w:val="-5"/>
        </w:rPr>
        <w:t xml:space="preserve"> </w:t>
      </w:r>
      <w:r>
        <w:rPr>
          <w:rFonts w:asciiTheme="majorBidi" w:hAnsiTheme="majorBidi" w:cstheme="majorBidi"/>
        </w:rPr>
        <w:t xml:space="preserve">Finance has </w:t>
      </w:r>
      <w:r>
        <w:rPr>
          <w:rFonts w:asciiTheme="majorBidi" w:hAnsiTheme="majorBidi" w:cstheme="majorBidi"/>
          <w:spacing w:val="-2"/>
        </w:rPr>
        <w:t>sufficient staff for Public Financial Management Reform Implementation</w:t>
      </w:r>
    </w:p>
    <w:p w14:paraId="28DFCB78">
      <w:pPr>
        <w:pStyle w:val="4"/>
        <w:spacing w:line="276" w:lineRule="auto"/>
        <w:ind w:firstLine="0"/>
        <w:rPr>
          <w:rFonts w:asciiTheme="majorBidi" w:hAnsiTheme="majorBidi"/>
          <w:sz w:val="24"/>
          <w:szCs w:val="24"/>
        </w:rPr>
      </w:pPr>
      <w:bookmarkStart w:id="41" w:name="_Toc136959618"/>
      <w:r>
        <w:rPr>
          <w:rFonts w:asciiTheme="majorBidi" w:hAnsiTheme="majorBidi"/>
          <w:sz w:val="24"/>
          <w:szCs w:val="24"/>
        </w:rPr>
        <w:t>The government institutions have adequate information technology infrastructure for the implementation of Public Financial Management Reform</w:t>
      </w:r>
      <w:bookmarkEnd w:id="41"/>
    </w:p>
    <w:tbl>
      <w:tblPr>
        <w:tblStyle w:val="84"/>
        <w:tblW w:w="10008" w:type="dxa"/>
        <w:tblInd w:w="0" w:type="dxa"/>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Layout w:type="autofit"/>
        <w:tblCellMar>
          <w:top w:w="0" w:type="dxa"/>
          <w:left w:w="108" w:type="dxa"/>
          <w:bottom w:w="0" w:type="dxa"/>
          <w:right w:w="108" w:type="dxa"/>
        </w:tblCellMar>
      </w:tblPr>
      <w:tblGrid>
        <w:gridCol w:w="2549"/>
        <w:gridCol w:w="3319"/>
        <w:gridCol w:w="4140"/>
      </w:tblGrid>
      <w:tr w14:paraId="771DCCB7">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rPr>
          <w:trHeight w:val="548" w:hRule="atLeast"/>
        </w:trPr>
        <w:tc>
          <w:tcPr>
            <w:tcW w:w="2549" w:type="dxa"/>
          </w:tcPr>
          <w:p w14:paraId="2C8D77F6">
            <w:pPr>
              <w:autoSpaceDE w:val="0"/>
              <w:autoSpaceDN w:val="0"/>
              <w:adjustRightInd w:val="0"/>
              <w:spacing w:line="276" w:lineRule="auto"/>
              <w:ind w:right="60" w:firstLine="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Respondents</w:t>
            </w:r>
          </w:p>
        </w:tc>
        <w:tc>
          <w:tcPr>
            <w:tcW w:w="3319" w:type="dxa"/>
          </w:tcPr>
          <w:p w14:paraId="4A3FE924">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Frequency</w:t>
            </w:r>
          </w:p>
        </w:tc>
        <w:tc>
          <w:tcPr>
            <w:tcW w:w="4140" w:type="dxa"/>
          </w:tcPr>
          <w:p w14:paraId="10DFDC94">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Percent</w:t>
            </w:r>
          </w:p>
        </w:tc>
      </w:tr>
      <w:tr w14:paraId="33DD56A0">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shd w:val="clear" w:color="auto" w:fill="F1F1F1" w:themeFill="background1" w:themeFillShade="F2"/>
          </w:tcPr>
          <w:p w14:paraId="4D43761A">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strong agree</w:t>
            </w:r>
          </w:p>
        </w:tc>
        <w:tc>
          <w:tcPr>
            <w:tcW w:w="3319" w:type="dxa"/>
            <w:shd w:val="clear" w:color="auto" w:fill="F1F1F1" w:themeFill="background1" w:themeFillShade="F2"/>
          </w:tcPr>
          <w:p w14:paraId="30169365">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78</w:t>
            </w:r>
          </w:p>
        </w:tc>
        <w:tc>
          <w:tcPr>
            <w:tcW w:w="4140" w:type="dxa"/>
            <w:shd w:val="clear" w:color="auto" w:fill="F1F1F1" w:themeFill="background1" w:themeFillShade="F2"/>
          </w:tcPr>
          <w:p w14:paraId="6D215C43">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84.7</w:t>
            </w:r>
          </w:p>
        </w:tc>
      </w:tr>
      <w:tr w14:paraId="2D59F031">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tcPr>
          <w:p w14:paraId="4D50FB56">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Agree</w:t>
            </w:r>
          </w:p>
        </w:tc>
        <w:tc>
          <w:tcPr>
            <w:tcW w:w="3319" w:type="dxa"/>
          </w:tcPr>
          <w:p w14:paraId="36C6E976">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11</w:t>
            </w:r>
          </w:p>
        </w:tc>
        <w:tc>
          <w:tcPr>
            <w:tcW w:w="4140" w:type="dxa"/>
          </w:tcPr>
          <w:p w14:paraId="07F717D5">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11.95</w:t>
            </w:r>
          </w:p>
        </w:tc>
      </w:tr>
      <w:tr w14:paraId="3423E0F7">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shd w:val="clear" w:color="auto" w:fill="F1F1F1" w:themeFill="background1" w:themeFillShade="F2"/>
          </w:tcPr>
          <w:p w14:paraId="6E6048E9">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Disagree</w:t>
            </w:r>
          </w:p>
        </w:tc>
        <w:tc>
          <w:tcPr>
            <w:tcW w:w="3319" w:type="dxa"/>
            <w:shd w:val="clear" w:color="auto" w:fill="F1F1F1" w:themeFill="background1" w:themeFillShade="F2"/>
          </w:tcPr>
          <w:p w14:paraId="7EDA0CED">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1</w:t>
            </w:r>
          </w:p>
        </w:tc>
        <w:tc>
          <w:tcPr>
            <w:tcW w:w="4140" w:type="dxa"/>
            <w:shd w:val="clear" w:color="auto" w:fill="F1F1F1" w:themeFill="background1" w:themeFillShade="F2"/>
          </w:tcPr>
          <w:p w14:paraId="0E2ECAB9">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1.08</w:t>
            </w:r>
          </w:p>
        </w:tc>
      </w:tr>
      <w:tr w14:paraId="0065BA9C">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rPr>
          <w:trHeight w:val="378" w:hRule="atLeast"/>
        </w:trPr>
        <w:tc>
          <w:tcPr>
            <w:tcW w:w="2549" w:type="dxa"/>
          </w:tcPr>
          <w:p w14:paraId="5F7A41B0">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strong disagree</w:t>
            </w:r>
          </w:p>
        </w:tc>
        <w:tc>
          <w:tcPr>
            <w:tcW w:w="3319" w:type="dxa"/>
          </w:tcPr>
          <w:p w14:paraId="7036F498">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2</w:t>
            </w:r>
          </w:p>
        </w:tc>
        <w:tc>
          <w:tcPr>
            <w:tcW w:w="4140" w:type="dxa"/>
          </w:tcPr>
          <w:p w14:paraId="07526E7F">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2.173</w:t>
            </w:r>
          </w:p>
        </w:tc>
      </w:tr>
      <w:tr w14:paraId="357D5653">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shd w:val="clear" w:color="auto" w:fill="F1F1F1" w:themeFill="background1" w:themeFillShade="F2"/>
          </w:tcPr>
          <w:p w14:paraId="59B49630">
            <w:pPr>
              <w:autoSpaceDE w:val="0"/>
              <w:autoSpaceDN w:val="0"/>
              <w:adjustRightInd w:val="0"/>
              <w:spacing w:line="276" w:lineRule="auto"/>
              <w:ind w:right="60" w:firstLine="0"/>
              <w:jc w:val="center"/>
              <w:rPr>
                <w:rFonts w:asciiTheme="majorBidi" w:hAnsiTheme="majorBidi" w:cstheme="majorBidi"/>
                <w:b/>
                <w:bCs/>
                <w:caps/>
                <w:color w:val="000000"/>
                <w:sz w:val="24"/>
                <w:szCs w:val="24"/>
              </w:rPr>
            </w:pPr>
            <w:r>
              <w:rPr>
                <w:rFonts w:asciiTheme="majorBidi" w:hAnsiTheme="majorBidi" w:cstheme="majorBidi"/>
                <w:b/>
                <w:bCs/>
                <w:caps/>
                <w:color w:val="000000"/>
                <w:sz w:val="24"/>
                <w:szCs w:val="24"/>
              </w:rPr>
              <w:t>Total</w:t>
            </w:r>
          </w:p>
        </w:tc>
        <w:tc>
          <w:tcPr>
            <w:tcW w:w="3319" w:type="dxa"/>
            <w:shd w:val="clear" w:color="auto" w:fill="F1F1F1" w:themeFill="background1" w:themeFillShade="F2"/>
          </w:tcPr>
          <w:p w14:paraId="7FF28D05">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92</w:t>
            </w:r>
          </w:p>
        </w:tc>
        <w:tc>
          <w:tcPr>
            <w:tcW w:w="4140" w:type="dxa"/>
            <w:shd w:val="clear" w:color="auto" w:fill="F1F1F1" w:themeFill="background1" w:themeFillShade="F2"/>
          </w:tcPr>
          <w:p w14:paraId="17190263">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100.0</w:t>
            </w:r>
          </w:p>
        </w:tc>
      </w:tr>
    </w:tbl>
    <w:p w14:paraId="63982A0B">
      <w:pPr>
        <w:spacing w:line="276" w:lineRule="auto"/>
        <w:jc w:val="center"/>
        <w:rPr>
          <w:rFonts w:asciiTheme="majorBidi" w:hAnsiTheme="majorBidi" w:cstheme="majorBidi"/>
        </w:rPr>
      </w:pPr>
      <w:r>
        <w:rPr>
          <w:rFonts w:asciiTheme="majorBidi" w:hAnsiTheme="majorBidi" w:cstheme="majorBidi"/>
          <w:b/>
          <w:bCs/>
          <w:i/>
          <w:iCs/>
          <w:color w:val="000000"/>
        </w:rPr>
        <w:t>Source: Own survey 202</w:t>
      </w:r>
      <w:r>
        <w:rPr>
          <w:rFonts w:asciiTheme="majorBidi" w:hAnsiTheme="majorBidi" w:cstheme="majorBidi"/>
          <w:b/>
          <w:bCs/>
          <w:i/>
          <w:iCs/>
          <w:color w:val="000000"/>
          <w:lang w:val="en-US"/>
        </w:rPr>
        <w:t>3</w:t>
      </w:r>
      <w:r>
        <w:rPr>
          <w:rFonts w:asciiTheme="majorBidi" w:hAnsiTheme="majorBidi" w:cstheme="majorBidi"/>
          <w:b/>
          <w:bCs/>
          <w:i/>
          <w:iCs/>
          <w:color w:val="000000"/>
        </w:rPr>
        <w:t>(SPSS).</w:t>
      </w:r>
    </w:p>
    <w:p w14:paraId="5F91C7E7">
      <w:pPr>
        <w:autoSpaceDE w:val="0"/>
        <w:autoSpaceDN w:val="0"/>
        <w:adjustRightInd w:val="0"/>
        <w:spacing w:after="0" w:line="276" w:lineRule="auto"/>
        <w:rPr>
          <w:rFonts w:asciiTheme="majorBidi" w:hAnsiTheme="majorBidi" w:cstheme="majorBidi"/>
        </w:rPr>
      </w:pPr>
      <w:r>
        <w:rPr>
          <w:rFonts w:asciiTheme="majorBidi" w:hAnsiTheme="majorBidi" w:cstheme="majorBidi"/>
        </w:rPr>
        <w:t xml:space="preserve">Figure above show that 78 of the respondent strong agree or 84.7% 11 agree or 11.95%, 1 disagree or 1.08% 2 strong disagree or 2.17 thus the most of respondent strong agree </w:t>
      </w:r>
      <w:r>
        <w:rPr>
          <w:rFonts w:asciiTheme="majorBidi" w:hAnsiTheme="majorBidi" w:cstheme="majorBidi"/>
          <w:spacing w:val="-2"/>
        </w:rPr>
        <w:t>The government institutions have adequate information technology infrastructure for the implementation of Public</w:t>
      </w:r>
      <w:r>
        <w:rPr>
          <w:rFonts w:asciiTheme="majorBidi" w:hAnsiTheme="majorBidi" w:cstheme="majorBidi"/>
        </w:rPr>
        <w:t xml:space="preserve"> </w:t>
      </w:r>
      <w:r>
        <w:rPr>
          <w:rFonts w:asciiTheme="majorBidi" w:hAnsiTheme="majorBidi" w:cstheme="majorBidi"/>
          <w:spacing w:val="-2"/>
        </w:rPr>
        <w:t>Financial Management Reform</w:t>
      </w:r>
    </w:p>
    <w:p w14:paraId="76AED5F0">
      <w:pPr>
        <w:pStyle w:val="4"/>
        <w:spacing w:line="276" w:lineRule="auto"/>
        <w:rPr>
          <w:rFonts w:asciiTheme="majorBidi" w:hAnsiTheme="majorBidi"/>
          <w:sz w:val="24"/>
          <w:szCs w:val="24"/>
        </w:rPr>
      </w:pPr>
      <w:bookmarkStart w:id="42" w:name="_Toc136959619"/>
      <w:r>
        <w:rPr>
          <w:rFonts w:asciiTheme="majorBidi" w:hAnsiTheme="majorBidi"/>
          <w:sz w:val="24"/>
          <w:szCs w:val="24"/>
        </w:rPr>
        <w:t>The government employees have adequate</w:t>
      </w:r>
      <w:r>
        <w:rPr>
          <w:rFonts w:asciiTheme="majorBidi" w:hAnsiTheme="majorBidi"/>
          <w:spacing w:val="-15"/>
          <w:sz w:val="24"/>
          <w:szCs w:val="24"/>
        </w:rPr>
        <w:t xml:space="preserve"> </w:t>
      </w:r>
      <w:r>
        <w:rPr>
          <w:rFonts w:asciiTheme="majorBidi" w:hAnsiTheme="majorBidi"/>
          <w:sz w:val="24"/>
          <w:szCs w:val="24"/>
        </w:rPr>
        <w:t>technical</w:t>
      </w:r>
      <w:r>
        <w:rPr>
          <w:rFonts w:asciiTheme="majorBidi" w:hAnsiTheme="majorBidi"/>
          <w:spacing w:val="-15"/>
          <w:sz w:val="24"/>
          <w:szCs w:val="24"/>
        </w:rPr>
        <w:t xml:space="preserve"> </w:t>
      </w:r>
      <w:r>
        <w:rPr>
          <w:rFonts w:asciiTheme="majorBidi" w:hAnsiTheme="majorBidi"/>
          <w:sz w:val="24"/>
          <w:szCs w:val="24"/>
        </w:rPr>
        <w:t>skills</w:t>
      </w:r>
      <w:r>
        <w:rPr>
          <w:rFonts w:asciiTheme="majorBidi" w:hAnsiTheme="majorBidi"/>
          <w:spacing w:val="-15"/>
          <w:sz w:val="24"/>
          <w:szCs w:val="24"/>
        </w:rPr>
        <w:t xml:space="preserve"> </w:t>
      </w:r>
      <w:r>
        <w:rPr>
          <w:rFonts w:asciiTheme="majorBidi" w:hAnsiTheme="majorBidi"/>
          <w:sz w:val="24"/>
          <w:szCs w:val="24"/>
        </w:rPr>
        <w:t>&amp; Knowledge for the implementation of PFM Reform</w:t>
      </w:r>
      <w:bookmarkEnd w:id="42"/>
    </w:p>
    <w:tbl>
      <w:tblPr>
        <w:tblStyle w:val="84"/>
        <w:tblW w:w="0" w:type="auto"/>
        <w:tblInd w:w="0" w:type="dxa"/>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Layout w:type="autofit"/>
        <w:tblCellMar>
          <w:top w:w="0" w:type="dxa"/>
          <w:left w:w="108" w:type="dxa"/>
          <w:bottom w:w="0" w:type="dxa"/>
          <w:right w:w="108" w:type="dxa"/>
        </w:tblCellMar>
      </w:tblPr>
      <w:tblGrid>
        <w:gridCol w:w="2549"/>
        <w:gridCol w:w="3409"/>
        <w:gridCol w:w="3600"/>
      </w:tblGrid>
      <w:tr w14:paraId="3C018F53">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tcPr>
          <w:p w14:paraId="2C523D0B">
            <w:pPr>
              <w:autoSpaceDE w:val="0"/>
              <w:autoSpaceDN w:val="0"/>
              <w:adjustRightInd w:val="0"/>
              <w:spacing w:line="276" w:lineRule="auto"/>
              <w:ind w:right="60" w:firstLine="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Respondents</w:t>
            </w:r>
          </w:p>
        </w:tc>
        <w:tc>
          <w:tcPr>
            <w:tcW w:w="3409" w:type="dxa"/>
          </w:tcPr>
          <w:p w14:paraId="69FC955A">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Frequency</w:t>
            </w:r>
          </w:p>
        </w:tc>
        <w:tc>
          <w:tcPr>
            <w:tcW w:w="3600" w:type="dxa"/>
          </w:tcPr>
          <w:p w14:paraId="19FA8D0B">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Percent</w:t>
            </w:r>
          </w:p>
        </w:tc>
      </w:tr>
      <w:tr w14:paraId="0CC83CFD">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shd w:val="clear" w:color="auto" w:fill="F1F1F1" w:themeFill="background1" w:themeFillShade="F2"/>
          </w:tcPr>
          <w:p w14:paraId="22E44310">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strong agree</w:t>
            </w:r>
          </w:p>
        </w:tc>
        <w:tc>
          <w:tcPr>
            <w:tcW w:w="3409" w:type="dxa"/>
            <w:shd w:val="clear" w:color="auto" w:fill="F1F1F1" w:themeFill="background1" w:themeFillShade="F2"/>
          </w:tcPr>
          <w:p w14:paraId="29ED8379">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60</w:t>
            </w:r>
          </w:p>
        </w:tc>
        <w:tc>
          <w:tcPr>
            <w:tcW w:w="3600" w:type="dxa"/>
            <w:shd w:val="clear" w:color="auto" w:fill="F1F1F1" w:themeFill="background1" w:themeFillShade="F2"/>
          </w:tcPr>
          <w:p w14:paraId="17D97773">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65.21</w:t>
            </w:r>
          </w:p>
        </w:tc>
      </w:tr>
      <w:tr w14:paraId="127426E3">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tcPr>
          <w:p w14:paraId="78D870F3">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Agree</w:t>
            </w:r>
          </w:p>
        </w:tc>
        <w:tc>
          <w:tcPr>
            <w:tcW w:w="3409" w:type="dxa"/>
          </w:tcPr>
          <w:p w14:paraId="22721F94">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21</w:t>
            </w:r>
          </w:p>
        </w:tc>
        <w:tc>
          <w:tcPr>
            <w:tcW w:w="3600" w:type="dxa"/>
          </w:tcPr>
          <w:p w14:paraId="0F3229A4">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22.8</w:t>
            </w:r>
          </w:p>
        </w:tc>
      </w:tr>
      <w:tr w14:paraId="7E4BDBAA">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shd w:val="clear" w:color="auto" w:fill="F1F1F1" w:themeFill="background1" w:themeFillShade="F2"/>
          </w:tcPr>
          <w:p w14:paraId="0D048FAF">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Disagree</w:t>
            </w:r>
          </w:p>
        </w:tc>
        <w:tc>
          <w:tcPr>
            <w:tcW w:w="3409" w:type="dxa"/>
            <w:shd w:val="clear" w:color="auto" w:fill="F1F1F1" w:themeFill="background1" w:themeFillShade="F2"/>
          </w:tcPr>
          <w:p w14:paraId="0308EF6A">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6</w:t>
            </w:r>
          </w:p>
        </w:tc>
        <w:tc>
          <w:tcPr>
            <w:tcW w:w="3600" w:type="dxa"/>
            <w:shd w:val="clear" w:color="auto" w:fill="F1F1F1" w:themeFill="background1" w:themeFillShade="F2"/>
          </w:tcPr>
          <w:p w14:paraId="08D569E3">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6.5</w:t>
            </w:r>
          </w:p>
        </w:tc>
      </w:tr>
      <w:tr w14:paraId="57676979">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tcPr>
          <w:p w14:paraId="3F37146A">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strong disagree</w:t>
            </w:r>
          </w:p>
        </w:tc>
        <w:tc>
          <w:tcPr>
            <w:tcW w:w="3409" w:type="dxa"/>
          </w:tcPr>
          <w:p w14:paraId="3F170764">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5</w:t>
            </w:r>
          </w:p>
        </w:tc>
        <w:tc>
          <w:tcPr>
            <w:tcW w:w="3600" w:type="dxa"/>
          </w:tcPr>
          <w:p w14:paraId="71835BD8">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5.4</w:t>
            </w:r>
          </w:p>
        </w:tc>
      </w:tr>
      <w:tr w14:paraId="54823FA8">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shd w:val="clear" w:color="auto" w:fill="F1F1F1" w:themeFill="background1" w:themeFillShade="F2"/>
          </w:tcPr>
          <w:p w14:paraId="35463879">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Total</w:t>
            </w:r>
          </w:p>
        </w:tc>
        <w:tc>
          <w:tcPr>
            <w:tcW w:w="3409" w:type="dxa"/>
            <w:shd w:val="clear" w:color="auto" w:fill="F1F1F1" w:themeFill="background1" w:themeFillShade="F2"/>
          </w:tcPr>
          <w:p w14:paraId="61F15AEA">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92</w:t>
            </w:r>
          </w:p>
        </w:tc>
        <w:tc>
          <w:tcPr>
            <w:tcW w:w="3600" w:type="dxa"/>
            <w:shd w:val="clear" w:color="auto" w:fill="F1F1F1" w:themeFill="background1" w:themeFillShade="F2"/>
          </w:tcPr>
          <w:p w14:paraId="03399E80">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100.0</w:t>
            </w:r>
          </w:p>
        </w:tc>
      </w:tr>
    </w:tbl>
    <w:p w14:paraId="2440CF4E">
      <w:pPr>
        <w:spacing w:line="276" w:lineRule="auto"/>
        <w:jc w:val="center"/>
        <w:rPr>
          <w:rFonts w:asciiTheme="majorBidi" w:hAnsiTheme="majorBidi" w:cstheme="majorBidi"/>
        </w:rPr>
      </w:pPr>
      <w:r>
        <w:rPr>
          <w:rFonts w:asciiTheme="majorBidi" w:hAnsiTheme="majorBidi" w:cstheme="majorBidi"/>
          <w:b/>
          <w:bCs/>
          <w:i/>
          <w:iCs/>
          <w:color w:val="000000"/>
        </w:rPr>
        <w:t>Source: Own survey 202</w:t>
      </w:r>
      <w:r>
        <w:rPr>
          <w:rFonts w:asciiTheme="majorBidi" w:hAnsiTheme="majorBidi" w:cstheme="majorBidi"/>
          <w:b/>
          <w:bCs/>
          <w:i/>
          <w:iCs/>
          <w:color w:val="000000"/>
          <w:lang w:val="en-US"/>
        </w:rPr>
        <w:t>3</w:t>
      </w:r>
      <w:r>
        <w:rPr>
          <w:rFonts w:asciiTheme="majorBidi" w:hAnsiTheme="majorBidi" w:cstheme="majorBidi"/>
          <w:b/>
          <w:bCs/>
          <w:i/>
          <w:iCs/>
          <w:color w:val="000000"/>
        </w:rPr>
        <w:t>(SPSS).</w:t>
      </w:r>
    </w:p>
    <w:p w14:paraId="655DA545">
      <w:pPr>
        <w:autoSpaceDE w:val="0"/>
        <w:autoSpaceDN w:val="0"/>
        <w:adjustRightInd w:val="0"/>
        <w:spacing w:after="0" w:line="276" w:lineRule="auto"/>
        <w:rPr>
          <w:rFonts w:asciiTheme="majorBidi" w:hAnsiTheme="majorBidi" w:cstheme="majorBidi"/>
        </w:rPr>
      </w:pPr>
      <w:r>
        <w:rPr>
          <w:rFonts w:asciiTheme="majorBidi" w:hAnsiTheme="majorBidi" w:cstheme="majorBidi"/>
        </w:rPr>
        <w:t xml:space="preserve">Figure </w:t>
      </w:r>
      <w:r>
        <w:rPr>
          <w:rFonts w:asciiTheme="majorBidi" w:hAnsiTheme="majorBidi" w:cstheme="majorBidi"/>
          <w:lang w:val="en-US"/>
        </w:rPr>
        <w:t xml:space="preserve">  </w:t>
      </w:r>
      <w:r>
        <w:rPr>
          <w:rFonts w:asciiTheme="majorBidi" w:hAnsiTheme="majorBidi" w:cstheme="majorBidi"/>
        </w:rPr>
        <w:t>above show that 60 of the respondent strong agree or 65.21% 21 agree or 22.8%, 6 disagree or 6.5 % 5 strong disagree or 5.4% thus the most of respondent agree The government employees have Adequate</w:t>
      </w:r>
      <w:r>
        <w:rPr>
          <w:rFonts w:asciiTheme="majorBidi" w:hAnsiTheme="majorBidi" w:cstheme="majorBidi"/>
          <w:spacing w:val="-15"/>
        </w:rPr>
        <w:t xml:space="preserve"> </w:t>
      </w:r>
      <w:r>
        <w:rPr>
          <w:rFonts w:asciiTheme="majorBidi" w:hAnsiTheme="majorBidi" w:cstheme="majorBidi"/>
        </w:rPr>
        <w:t>technical</w:t>
      </w:r>
      <w:r>
        <w:rPr>
          <w:rFonts w:asciiTheme="majorBidi" w:hAnsiTheme="majorBidi" w:cstheme="majorBidi"/>
          <w:spacing w:val="-15"/>
        </w:rPr>
        <w:t xml:space="preserve"> </w:t>
      </w:r>
      <w:r>
        <w:rPr>
          <w:rFonts w:asciiTheme="majorBidi" w:hAnsiTheme="majorBidi" w:cstheme="majorBidi"/>
        </w:rPr>
        <w:t>skills</w:t>
      </w:r>
      <w:r>
        <w:rPr>
          <w:rFonts w:asciiTheme="majorBidi" w:hAnsiTheme="majorBidi" w:cstheme="majorBidi"/>
          <w:spacing w:val="-15"/>
        </w:rPr>
        <w:t xml:space="preserve"> </w:t>
      </w:r>
      <w:r>
        <w:rPr>
          <w:rFonts w:asciiTheme="majorBidi" w:hAnsiTheme="majorBidi" w:cstheme="majorBidi"/>
        </w:rPr>
        <w:t>&amp; Knowledge for the implementation of PFM Reform</w:t>
      </w:r>
    </w:p>
    <w:p w14:paraId="549A4246">
      <w:pPr>
        <w:pStyle w:val="4"/>
        <w:spacing w:line="276" w:lineRule="auto"/>
        <w:ind w:firstLine="0"/>
        <w:rPr>
          <w:rFonts w:asciiTheme="majorBidi" w:hAnsiTheme="majorBidi"/>
          <w:sz w:val="24"/>
          <w:szCs w:val="24"/>
        </w:rPr>
      </w:pPr>
      <w:bookmarkStart w:id="43" w:name="_Toc136959620"/>
      <w:r>
        <w:rPr>
          <w:rFonts w:asciiTheme="majorBidi" w:hAnsiTheme="majorBidi"/>
          <w:sz w:val="24"/>
          <w:szCs w:val="24"/>
        </w:rPr>
        <w:t>Ministry have a clear strategic direction which focuses on the essence of the implementation of PFM Reform</w:t>
      </w:r>
      <w:bookmarkEnd w:id="43"/>
    </w:p>
    <w:tbl>
      <w:tblPr>
        <w:tblStyle w:val="84"/>
        <w:tblW w:w="0" w:type="auto"/>
        <w:tblInd w:w="0" w:type="dxa"/>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Layout w:type="autofit"/>
        <w:tblCellMar>
          <w:top w:w="0" w:type="dxa"/>
          <w:left w:w="108" w:type="dxa"/>
          <w:bottom w:w="0" w:type="dxa"/>
          <w:right w:w="108" w:type="dxa"/>
        </w:tblCellMar>
      </w:tblPr>
      <w:tblGrid>
        <w:gridCol w:w="2549"/>
        <w:gridCol w:w="3319"/>
        <w:gridCol w:w="3600"/>
      </w:tblGrid>
      <w:tr w14:paraId="5639C482">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tcPr>
          <w:p w14:paraId="3CED5B16">
            <w:pPr>
              <w:autoSpaceDE w:val="0"/>
              <w:autoSpaceDN w:val="0"/>
              <w:adjustRightInd w:val="0"/>
              <w:spacing w:line="276" w:lineRule="auto"/>
              <w:ind w:right="60" w:firstLine="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Respondents</w:t>
            </w:r>
          </w:p>
        </w:tc>
        <w:tc>
          <w:tcPr>
            <w:tcW w:w="3319" w:type="dxa"/>
          </w:tcPr>
          <w:p w14:paraId="78CC24CB">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Frequency</w:t>
            </w:r>
          </w:p>
        </w:tc>
        <w:tc>
          <w:tcPr>
            <w:tcW w:w="3600" w:type="dxa"/>
          </w:tcPr>
          <w:p w14:paraId="4AAC7CBA">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Percent</w:t>
            </w:r>
          </w:p>
        </w:tc>
      </w:tr>
      <w:tr w14:paraId="2E01AB75">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shd w:val="clear" w:color="auto" w:fill="F1F1F1" w:themeFill="background1" w:themeFillShade="F2"/>
          </w:tcPr>
          <w:p w14:paraId="0134A05F">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strong agree</w:t>
            </w:r>
          </w:p>
        </w:tc>
        <w:tc>
          <w:tcPr>
            <w:tcW w:w="3319" w:type="dxa"/>
            <w:shd w:val="clear" w:color="auto" w:fill="F1F1F1" w:themeFill="background1" w:themeFillShade="F2"/>
          </w:tcPr>
          <w:p w14:paraId="5AF91AA0">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5</w:t>
            </w:r>
          </w:p>
        </w:tc>
        <w:tc>
          <w:tcPr>
            <w:tcW w:w="3600" w:type="dxa"/>
            <w:shd w:val="clear" w:color="auto" w:fill="F1F1F1" w:themeFill="background1" w:themeFillShade="F2"/>
          </w:tcPr>
          <w:p w14:paraId="217F5C39">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5.4</w:t>
            </w:r>
          </w:p>
        </w:tc>
      </w:tr>
      <w:tr w14:paraId="11377558">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tcPr>
          <w:p w14:paraId="111B7C8D">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Agree</w:t>
            </w:r>
          </w:p>
        </w:tc>
        <w:tc>
          <w:tcPr>
            <w:tcW w:w="3319" w:type="dxa"/>
          </w:tcPr>
          <w:p w14:paraId="6685E6EA">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25</w:t>
            </w:r>
          </w:p>
        </w:tc>
        <w:tc>
          <w:tcPr>
            <w:tcW w:w="3600" w:type="dxa"/>
          </w:tcPr>
          <w:p w14:paraId="39F899F7">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27.17</w:t>
            </w:r>
          </w:p>
        </w:tc>
      </w:tr>
      <w:tr w14:paraId="3E30B68C">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shd w:val="clear" w:color="auto" w:fill="F1F1F1" w:themeFill="background1" w:themeFillShade="F2"/>
          </w:tcPr>
          <w:p w14:paraId="179D77E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Disagree</w:t>
            </w:r>
          </w:p>
        </w:tc>
        <w:tc>
          <w:tcPr>
            <w:tcW w:w="3319" w:type="dxa"/>
            <w:shd w:val="clear" w:color="auto" w:fill="F1F1F1" w:themeFill="background1" w:themeFillShade="F2"/>
          </w:tcPr>
          <w:p w14:paraId="0F0E9977">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30</w:t>
            </w:r>
          </w:p>
        </w:tc>
        <w:tc>
          <w:tcPr>
            <w:tcW w:w="3600" w:type="dxa"/>
            <w:shd w:val="clear" w:color="auto" w:fill="F1F1F1" w:themeFill="background1" w:themeFillShade="F2"/>
          </w:tcPr>
          <w:p w14:paraId="3E221FF4">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32.6</w:t>
            </w:r>
          </w:p>
        </w:tc>
      </w:tr>
      <w:tr w14:paraId="12C9F882">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tcPr>
          <w:p w14:paraId="6DD7E9B4">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strong disagree</w:t>
            </w:r>
          </w:p>
        </w:tc>
        <w:tc>
          <w:tcPr>
            <w:tcW w:w="3319" w:type="dxa"/>
          </w:tcPr>
          <w:p w14:paraId="0F2D9E39">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32</w:t>
            </w:r>
          </w:p>
        </w:tc>
        <w:tc>
          <w:tcPr>
            <w:tcW w:w="3600" w:type="dxa"/>
          </w:tcPr>
          <w:p w14:paraId="641B9FAF">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34.78</w:t>
            </w:r>
          </w:p>
        </w:tc>
      </w:tr>
      <w:tr w14:paraId="667FCA21">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shd w:val="clear" w:color="auto" w:fill="F1F1F1" w:themeFill="background1" w:themeFillShade="F2"/>
          </w:tcPr>
          <w:p w14:paraId="694F5756">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Total</w:t>
            </w:r>
          </w:p>
        </w:tc>
        <w:tc>
          <w:tcPr>
            <w:tcW w:w="3319" w:type="dxa"/>
            <w:shd w:val="clear" w:color="auto" w:fill="F1F1F1" w:themeFill="background1" w:themeFillShade="F2"/>
          </w:tcPr>
          <w:p w14:paraId="23D65C5B">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92</w:t>
            </w:r>
          </w:p>
        </w:tc>
        <w:tc>
          <w:tcPr>
            <w:tcW w:w="3600" w:type="dxa"/>
            <w:shd w:val="clear" w:color="auto" w:fill="F1F1F1" w:themeFill="background1" w:themeFillShade="F2"/>
          </w:tcPr>
          <w:p w14:paraId="71A1C7ED">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100.0</w:t>
            </w:r>
          </w:p>
        </w:tc>
      </w:tr>
    </w:tbl>
    <w:p w14:paraId="1EB85E9E">
      <w:pPr>
        <w:spacing w:line="276" w:lineRule="auto"/>
        <w:jc w:val="center"/>
        <w:rPr>
          <w:rFonts w:asciiTheme="majorBidi" w:hAnsiTheme="majorBidi" w:cstheme="majorBidi"/>
        </w:rPr>
      </w:pPr>
      <w:r>
        <w:rPr>
          <w:rFonts w:asciiTheme="majorBidi" w:hAnsiTheme="majorBidi" w:cstheme="majorBidi"/>
          <w:b/>
          <w:bCs/>
          <w:i/>
          <w:iCs/>
          <w:color w:val="000000"/>
        </w:rPr>
        <w:t>Source: Own survey 202</w:t>
      </w:r>
      <w:r>
        <w:rPr>
          <w:rFonts w:asciiTheme="majorBidi" w:hAnsiTheme="majorBidi" w:cstheme="majorBidi"/>
          <w:b/>
          <w:bCs/>
          <w:i/>
          <w:iCs/>
          <w:color w:val="000000"/>
          <w:lang w:val="en-US"/>
        </w:rPr>
        <w:t>3</w:t>
      </w:r>
      <w:r>
        <w:rPr>
          <w:rFonts w:asciiTheme="majorBidi" w:hAnsiTheme="majorBidi" w:cstheme="majorBidi"/>
          <w:b/>
          <w:bCs/>
          <w:i/>
          <w:iCs/>
          <w:color w:val="000000"/>
        </w:rPr>
        <w:t>(SPSS).</w:t>
      </w:r>
    </w:p>
    <w:p w14:paraId="2212A5E6">
      <w:pPr>
        <w:spacing w:line="276" w:lineRule="auto"/>
        <w:rPr>
          <w:rFonts w:asciiTheme="majorBidi" w:hAnsiTheme="majorBidi" w:cstheme="majorBidi"/>
          <w:lang w:val="en-US"/>
        </w:rPr>
      </w:pPr>
      <w:r>
        <w:rPr>
          <w:rFonts w:asciiTheme="majorBidi" w:hAnsiTheme="majorBidi" w:cstheme="majorBidi"/>
        </w:rPr>
        <w:t xml:space="preserve">Figure </w:t>
      </w:r>
      <w:r>
        <w:rPr>
          <w:rFonts w:asciiTheme="majorBidi" w:hAnsiTheme="majorBidi" w:cstheme="majorBidi"/>
          <w:lang w:val="en-US"/>
        </w:rPr>
        <w:t xml:space="preserve"> </w:t>
      </w:r>
      <w:r>
        <w:rPr>
          <w:rFonts w:asciiTheme="majorBidi" w:hAnsiTheme="majorBidi" w:cstheme="majorBidi"/>
        </w:rPr>
        <w:t xml:space="preserve">above show that 5 of the respondent strong agree or 13.9% 25 agree or 69.4%, 3 disagree or 8.3% 3 strong disagree or 8.3% thus the most of respondent agree </w:t>
      </w:r>
      <w:r>
        <w:rPr>
          <w:rFonts w:asciiTheme="majorBidi" w:hAnsiTheme="majorBidi" w:cstheme="majorBidi"/>
          <w:spacing w:val="-2"/>
        </w:rPr>
        <w:t>Ministry have a clear strategic direction which focuses on the essence of the implementation of PFM Reform</w:t>
      </w:r>
      <w:r>
        <w:rPr>
          <w:rFonts w:asciiTheme="majorBidi" w:hAnsiTheme="majorBidi" w:cstheme="majorBidi"/>
          <w:lang w:val="en-US"/>
        </w:rPr>
        <w:t>.</w:t>
      </w:r>
    </w:p>
    <w:p w14:paraId="40731B82">
      <w:pPr>
        <w:pStyle w:val="4"/>
        <w:spacing w:line="276" w:lineRule="auto"/>
        <w:ind w:firstLine="0"/>
        <w:rPr>
          <w:rFonts w:asciiTheme="majorBidi" w:hAnsiTheme="majorBidi"/>
          <w:sz w:val="24"/>
          <w:szCs w:val="24"/>
        </w:rPr>
      </w:pPr>
      <w:bookmarkStart w:id="44" w:name="_Toc136959621"/>
      <w:r>
        <w:rPr>
          <w:rFonts w:asciiTheme="majorBidi" w:hAnsiTheme="majorBidi"/>
          <w:sz w:val="24"/>
          <w:szCs w:val="24"/>
        </w:rPr>
        <w:t>The Ministry of Finance has sufficient staff for Public Financial Management Reform Implementation</w:t>
      </w:r>
      <w:bookmarkEnd w:id="44"/>
    </w:p>
    <w:tbl>
      <w:tblPr>
        <w:tblStyle w:val="95"/>
        <w:tblW w:w="0" w:type="auto"/>
        <w:tblInd w:w="0" w:type="dxa"/>
        <w:tblBorders>
          <w:top w:val="single" w:color="BDD6EE" w:themeColor="accent5" w:themeTint="66" w:sz="4" w:space="0"/>
          <w:left w:val="single" w:color="BDD6EE" w:themeColor="accent5" w:themeTint="66" w:sz="4" w:space="0"/>
          <w:bottom w:val="single" w:color="BDD6EE" w:themeColor="accent5" w:themeTint="66" w:sz="4" w:space="0"/>
          <w:right w:val="single" w:color="BDD6EE" w:themeColor="accent5" w:themeTint="66" w:sz="4" w:space="0"/>
          <w:insideH w:val="single" w:color="BDD6EE" w:themeColor="accent5" w:themeTint="66" w:sz="4" w:space="0"/>
          <w:insideV w:val="single" w:color="BDD6EE" w:themeColor="accent5" w:themeTint="66" w:sz="4" w:space="0"/>
        </w:tblBorders>
        <w:tblLayout w:type="autofit"/>
        <w:tblCellMar>
          <w:top w:w="0" w:type="dxa"/>
          <w:left w:w="108" w:type="dxa"/>
          <w:bottom w:w="0" w:type="dxa"/>
          <w:right w:w="108" w:type="dxa"/>
        </w:tblCellMar>
      </w:tblPr>
      <w:tblGrid>
        <w:gridCol w:w="2549"/>
        <w:gridCol w:w="3949"/>
        <w:gridCol w:w="2880"/>
      </w:tblGrid>
      <w:tr w14:paraId="252F85B9">
        <w:tblPrEx>
          <w:tblBorders>
            <w:top w:val="single" w:color="BDD6EE" w:themeColor="accent5" w:themeTint="66" w:sz="4" w:space="0"/>
            <w:left w:val="single" w:color="BDD6EE" w:themeColor="accent5" w:themeTint="66" w:sz="4" w:space="0"/>
            <w:bottom w:val="single" w:color="BDD6EE" w:themeColor="accent5" w:themeTint="66" w:sz="4" w:space="0"/>
            <w:right w:val="single" w:color="BDD6EE" w:themeColor="accent5" w:themeTint="66" w:sz="4" w:space="0"/>
            <w:insideH w:val="single" w:color="BDD6EE" w:themeColor="accent5" w:themeTint="66" w:sz="4" w:space="0"/>
            <w:insideV w:val="single" w:color="BDD6EE" w:themeColor="accent5" w:themeTint="66" w:sz="4" w:space="0"/>
          </w:tblBorders>
          <w:tblCellMar>
            <w:top w:w="0" w:type="dxa"/>
            <w:left w:w="108" w:type="dxa"/>
            <w:bottom w:w="0" w:type="dxa"/>
            <w:right w:w="108" w:type="dxa"/>
          </w:tblCellMar>
        </w:tblPrEx>
        <w:tc>
          <w:tcPr>
            <w:tcW w:w="2549" w:type="dxa"/>
            <w:tcBorders>
              <w:bottom w:val="single" w:color="9CC2E5" w:themeColor="accent5" w:themeTint="99" w:sz="12" w:space="0"/>
              <w:insideH w:val="single" w:sz="12" w:space="0"/>
            </w:tcBorders>
          </w:tcPr>
          <w:p w14:paraId="1AF3117C">
            <w:pPr>
              <w:autoSpaceDE w:val="0"/>
              <w:autoSpaceDN w:val="0"/>
              <w:adjustRightInd w:val="0"/>
              <w:spacing w:line="276" w:lineRule="auto"/>
              <w:ind w:right="60" w:firstLine="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Respondents</w:t>
            </w:r>
          </w:p>
        </w:tc>
        <w:tc>
          <w:tcPr>
            <w:tcW w:w="3949" w:type="dxa"/>
            <w:tcBorders>
              <w:bottom w:val="single" w:color="9CC2E5" w:themeColor="accent5" w:themeTint="99" w:sz="12" w:space="0"/>
              <w:insideH w:val="single" w:sz="12" w:space="0"/>
            </w:tcBorders>
          </w:tcPr>
          <w:p w14:paraId="79F291EB">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Frequency</w:t>
            </w:r>
          </w:p>
        </w:tc>
        <w:tc>
          <w:tcPr>
            <w:tcW w:w="2880" w:type="dxa"/>
            <w:tcBorders>
              <w:bottom w:val="single" w:color="9CC2E5" w:themeColor="accent5" w:themeTint="99" w:sz="12" w:space="0"/>
              <w:insideH w:val="single" w:sz="12" w:space="0"/>
            </w:tcBorders>
          </w:tcPr>
          <w:p w14:paraId="69D4D656">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Percent</w:t>
            </w:r>
          </w:p>
        </w:tc>
      </w:tr>
      <w:tr w14:paraId="28F4B464">
        <w:tblPrEx>
          <w:tblBorders>
            <w:top w:val="single" w:color="BDD6EE" w:themeColor="accent5" w:themeTint="66" w:sz="4" w:space="0"/>
            <w:left w:val="single" w:color="BDD6EE" w:themeColor="accent5" w:themeTint="66" w:sz="4" w:space="0"/>
            <w:bottom w:val="single" w:color="BDD6EE" w:themeColor="accent5" w:themeTint="66" w:sz="4" w:space="0"/>
            <w:right w:val="single" w:color="BDD6EE" w:themeColor="accent5" w:themeTint="66" w:sz="4" w:space="0"/>
            <w:insideH w:val="single" w:color="BDD6EE" w:themeColor="accent5" w:themeTint="66" w:sz="4" w:space="0"/>
            <w:insideV w:val="single" w:color="BDD6EE" w:themeColor="accent5" w:themeTint="66" w:sz="4" w:space="0"/>
          </w:tblBorders>
          <w:tblCellMar>
            <w:top w:w="0" w:type="dxa"/>
            <w:left w:w="108" w:type="dxa"/>
            <w:bottom w:w="0" w:type="dxa"/>
            <w:right w:w="108" w:type="dxa"/>
          </w:tblCellMar>
        </w:tblPrEx>
        <w:tc>
          <w:tcPr>
            <w:tcW w:w="2549" w:type="dxa"/>
          </w:tcPr>
          <w:p w14:paraId="2B29D3F0">
            <w:pPr>
              <w:autoSpaceDE w:val="0"/>
              <w:autoSpaceDN w:val="0"/>
              <w:adjustRightInd w:val="0"/>
              <w:spacing w:line="276" w:lineRule="auto"/>
              <w:ind w:right="60" w:firstLine="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strong agree</w:t>
            </w:r>
          </w:p>
        </w:tc>
        <w:tc>
          <w:tcPr>
            <w:tcW w:w="3949" w:type="dxa"/>
          </w:tcPr>
          <w:p w14:paraId="7EB46DD5">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88</w:t>
            </w:r>
          </w:p>
        </w:tc>
        <w:tc>
          <w:tcPr>
            <w:tcW w:w="2880" w:type="dxa"/>
          </w:tcPr>
          <w:p w14:paraId="6AE687CD">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95.65</w:t>
            </w:r>
          </w:p>
        </w:tc>
      </w:tr>
      <w:tr w14:paraId="4A235ADD">
        <w:tblPrEx>
          <w:tblBorders>
            <w:top w:val="single" w:color="BDD6EE" w:themeColor="accent5" w:themeTint="66" w:sz="4" w:space="0"/>
            <w:left w:val="single" w:color="BDD6EE" w:themeColor="accent5" w:themeTint="66" w:sz="4" w:space="0"/>
            <w:bottom w:val="single" w:color="BDD6EE" w:themeColor="accent5" w:themeTint="66" w:sz="4" w:space="0"/>
            <w:right w:val="single" w:color="BDD6EE" w:themeColor="accent5" w:themeTint="66" w:sz="4" w:space="0"/>
            <w:insideH w:val="single" w:color="BDD6EE" w:themeColor="accent5" w:themeTint="66" w:sz="4" w:space="0"/>
            <w:insideV w:val="single" w:color="BDD6EE" w:themeColor="accent5" w:themeTint="66" w:sz="4" w:space="0"/>
          </w:tblBorders>
          <w:tblCellMar>
            <w:top w:w="0" w:type="dxa"/>
            <w:left w:w="108" w:type="dxa"/>
            <w:bottom w:w="0" w:type="dxa"/>
            <w:right w:w="108" w:type="dxa"/>
          </w:tblCellMar>
        </w:tblPrEx>
        <w:tc>
          <w:tcPr>
            <w:tcW w:w="2549" w:type="dxa"/>
          </w:tcPr>
          <w:p w14:paraId="4EB92FFA">
            <w:pPr>
              <w:autoSpaceDE w:val="0"/>
              <w:autoSpaceDN w:val="0"/>
              <w:adjustRightInd w:val="0"/>
              <w:spacing w:line="276" w:lineRule="auto"/>
              <w:ind w:right="60" w:firstLine="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Agree</w:t>
            </w:r>
          </w:p>
        </w:tc>
        <w:tc>
          <w:tcPr>
            <w:tcW w:w="3949" w:type="dxa"/>
          </w:tcPr>
          <w:p w14:paraId="317266E2">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2</w:t>
            </w:r>
          </w:p>
        </w:tc>
        <w:tc>
          <w:tcPr>
            <w:tcW w:w="2880" w:type="dxa"/>
          </w:tcPr>
          <w:p w14:paraId="0CE1B682">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2.173</w:t>
            </w:r>
          </w:p>
        </w:tc>
      </w:tr>
      <w:tr w14:paraId="10415A65">
        <w:tblPrEx>
          <w:tblBorders>
            <w:top w:val="single" w:color="BDD6EE" w:themeColor="accent5" w:themeTint="66" w:sz="4" w:space="0"/>
            <w:left w:val="single" w:color="BDD6EE" w:themeColor="accent5" w:themeTint="66" w:sz="4" w:space="0"/>
            <w:bottom w:val="single" w:color="BDD6EE" w:themeColor="accent5" w:themeTint="66" w:sz="4" w:space="0"/>
            <w:right w:val="single" w:color="BDD6EE" w:themeColor="accent5" w:themeTint="66" w:sz="4" w:space="0"/>
            <w:insideH w:val="single" w:color="BDD6EE" w:themeColor="accent5" w:themeTint="66" w:sz="4" w:space="0"/>
            <w:insideV w:val="single" w:color="BDD6EE" w:themeColor="accent5" w:themeTint="66" w:sz="4" w:space="0"/>
          </w:tblBorders>
          <w:tblCellMar>
            <w:top w:w="0" w:type="dxa"/>
            <w:left w:w="108" w:type="dxa"/>
            <w:bottom w:w="0" w:type="dxa"/>
            <w:right w:w="108" w:type="dxa"/>
          </w:tblCellMar>
        </w:tblPrEx>
        <w:tc>
          <w:tcPr>
            <w:tcW w:w="2549" w:type="dxa"/>
          </w:tcPr>
          <w:p w14:paraId="4961AE9F">
            <w:pPr>
              <w:autoSpaceDE w:val="0"/>
              <w:autoSpaceDN w:val="0"/>
              <w:adjustRightInd w:val="0"/>
              <w:spacing w:line="276" w:lineRule="auto"/>
              <w:ind w:right="60" w:firstLine="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Disagree</w:t>
            </w:r>
          </w:p>
        </w:tc>
        <w:tc>
          <w:tcPr>
            <w:tcW w:w="3949" w:type="dxa"/>
          </w:tcPr>
          <w:p w14:paraId="4374D78A">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1</w:t>
            </w:r>
          </w:p>
        </w:tc>
        <w:tc>
          <w:tcPr>
            <w:tcW w:w="2880" w:type="dxa"/>
          </w:tcPr>
          <w:p w14:paraId="747D9170">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1.08</w:t>
            </w:r>
          </w:p>
        </w:tc>
      </w:tr>
      <w:tr w14:paraId="4A1F896B">
        <w:tblPrEx>
          <w:tblBorders>
            <w:top w:val="single" w:color="BDD6EE" w:themeColor="accent5" w:themeTint="66" w:sz="4" w:space="0"/>
            <w:left w:val="single" w:color="BDD6EE" w:themeColor="accent5" w:themeTint="66" w:sz="4" w:space="0"/>
            <w:bottom w:val="single" w:color="BDD6EE" w:themeColor="accent5" w:themeTint="66" w:sz="4" w:space="0"/>
            <w:right w:val="single" w:color="BDD6EE" w:themeColor="accent5" w:themeTint="66" w:sz="4" w:space="0"/>
            <w:insideH w:val="single" w:color="BDD6EE" w:themeColor="accent5" w:themeTint="66" w:sz="4" w:space="0"/>
            <w:insideV w:val="single" w:color="BDD6EE" w:themeColor="accent5" w:themeTint="66" w:sz="4" w:space="0"/>
          </w:tblBorders>
          <w:tblCellMar>
            <w:top w:w="0" w:type="dxa"/>
            <w:left w:w="108" w:type="dxa"/>
            <w:bottom w:w="0" w:type="dxa"/>
            <w:right w:w="108" w:type="dxa"/>
          </w:tblCellMar>
        </w:tblPrEx>
        <w:tc>
          <w:tcPr>
            <w:tcW w:w="2549" w:type="dxa"/>
          </w:tcPr>
          <w:p w14:paraId="36358CF7">
            <w:pPr>
              <w:autoSpaceDE w:val="0"/>
              <w:autoSpaceDN w:val="0"/>
              <w:adjustRightInd w:val="0"/>
              <w:spacing w:line="276" w:lineRule="auto"/>
              <w:ind w:right="60" w:firstLine="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strong disagree</w:t>
            </w:r>
          </w:p>
        </w:tc>
        <w:tc>
          <w:tcPr>
            <w:tcW w:w="3949" w:type="dxa"/>
          </w:tcPr>
          <w:p w14:paraId="3F6DA304">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1</w:t>
            </w:r>
          </w:p>
        </w:tc>
        <w:tc>
          <w:tcPr>
            <w:tcW w:w="2880" w:type="dxa"/>
          </w:tcPr>
          <w:p w14:paraId="6C13AEA3">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1.08</w:t>
            </w:r>
          </w:p>
        </w:tc>
      </w:tr>
      <w:tr w14:paraId="0DC4D917">
        <w:tblPrEx>
          <w:tblBorders>
            <w:top w:val="single" w:color="BDD6EE" w:themeColor="accent5" w:themeTint="66" w:sz="4" w:space="0"/>
            <w:left w:val="single" w:color="BDD6EE" w:themeColor="accent5" w:themeTint="66" w:sz="4" w:space="0"/>
            <w:bottom w:val="single" w:color="BDD6EE" w:themeColor="accent5" w:themeTint="66" w:sz="4" w:space="0"/>
            <w:right w:val="single" w:color="BDD6EE" w:themeColor="accent5" w:themeTint="66" w:sz="4" w:space="0"/>
            <w:insideH w:val="single" w:color="BDD6EE" w:themeColor="accent5" w:themeTint="66" w:sz="4" w:space="0"/>
            <w:insideV w:val="single" w:color="BDD6EE" w:themeColor="accent5" w:themeTint="66" w:sz="4" w:space="0"/>
          </w:tblBorders>
        </w:tblPrEx>
        <w:tc>
          <w:tcPr>
            <w:tcW w:w="2549" w:type="dxa"/>
          </w:tcPr>
          <w:p w14:paraId="36E79E6B">
            <w:pPr>
              <w:autoSpaceDE w:val="0"/>
              <w:autoSpaceDN w:val="0"/>
              <w:adjustRightInd w:val="0"/>
              <w:spacing w:line="276" w:lineRule="auto"/>
              <w:ind w:right="60" w:firstLine="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Total</w:t>
            </w:r>
          </w:p>
        </w:tc>
        <w:tc>
          <w:tcPr>
            <w:tcW w:w="3949" w:type="dxa"/>
          </w:tcPr>
          <w:p w14:paraId="6EB552D3">
            <w:pPr>
              <w:autoSpaceDE w:val="0"/>
              <w:autoSpaceDN w:val="0"/>
              <w:adjustRightInd w:val="0"/>
              <w:spacing w:line="276" w:lineRule="auto"/>
              <w:ind w:right="60" w:firstLine="0"/>
              <w:jc w:val="center"/>
              <w:rPr>
                <w:rFonts w:asciiTheme="majorBidi" w:hAnsiTheme="majorBidi" w:cstheme="majorBidi"/>
                <w:color w:val="000000"/>
                <w:sz w:val="24"/>
                <w:szCs w:val="24"/>
              </w:rPr>
            </w:pPr>
            <w:r>
              <w:rPr>
                <w:rFonts w:asciiTheme="majorBidi" w:hAnsiTheme="majorBidi" w:cstheme="majorBidi"/>
                <w:b/>
                <w:bCs/>
                <w:color w:val="000000"/>
                <w:sz w:val="24"/>
                <w:szCs w:val="24"/>
              </w:rPr>
              <w:t>92</w:t>
            </w:r>
          </w:p>
        </w:tc>
        <w:tc>
          <w:tcPr>
            <w:tcW w:w="2880" w:type="dxa"/>
          </w:tcPr>
          <w:p w14:paraId="3D374E55">
            <w:pPr>
              <w:autoSpaceDE w:val="0"/>
              <w:autoSpaceDN w:val="0"/>
              <w:adjustRightInd w:val="0"/>
              <w:spacing w:line="276" w:lineRule="auto"/>
              <w:ind w:right="60" w:firstLine="0"/>
              <w:jc w:val="center"/>
              <w:rPr>
                <w:rFonts w:asciiTheme="majorBidi" w:hAnsiTheme="majorBidi" w:cstheme="majorBidi"/>
                <w:color w:val="000000"/>
                <w:sz w:val="24"/>
                <w:szCs w:val="24"/>
              </w:rPr>
            </w:pPr>
            <w:r>
              <w:rPr>
                <w:rFonts w:asciiTheme="majorBidi" w:hAnsiTheme="majorBidi" w:cstheme="majorBidi"/>
                <w:b/>
                <w:bCs/>
                <w:color w:val="000000"/>
                <w:sz w:val="24"/>
                <w:szCs w:val="24"/>
              </w:rPr>
              <w:t>100.0</w:t>
            </w:r>
          </w:p>
        </w:tc>
      </w:tr>
    </w:tbl>
    <w:p w14:paraId="616DE1FD">
      <w:pPr>
        <w:spacing w:line="276" w:lineRule="auto"/>
        <w:jc w:val="center"/>
        <w:rPr>
          <w:rFonts w:asciiTheme="majorBidi" w:hAnsiTheme="majorBidi" w:cstheme="majorBidi"/>
        </w:rPr>
      </w:pPr>
      <w:r>
        <w:rPr>
          <w:rFonts w:asciiTheme="majorBidi" w:hAnsiTheme="majorBidi" w:cstheme="majorBidi"/>
          <w:b/>
          <w:bCs/>
          <w:i/>
          <w:iCs/>
          <w:color w:val="000000"/>
        </w:rPr>
        <w:t>Source: Own survey 202</w:t>
      </w:r>
      <w:r>
        <w:rPr>
          <w:rFonts w:asciiTheme="majorBidi" w:hAnsiTheme="majorBidi" w:cstheme="majorBidi"/>
          <w:b/>
          <w:bCs/>
          <w:i/>
          <w:iCs/>
          <w:color w:val="000000"/>
          <w:lang w:val="en-US"/>
        </w:rPr>
        <w:t>3</w:t>
      </w:r>
      <w:r>
        <w:rPr>
          <w:rFonts w:asciiTheme="majorBidi" w:hAnsiTheme="majorBidi" w:cstheme="majorBidi"/>
          <w:b/>
          <w:bCs/>
          <w:i/>
          <w:iCs/>
          <w:color w:val="000000"/>
        </w:rPr>
        <w:t>(SPSS).</w:t>
      </w:r>
    </w:p>
    <w:p w14:paraId="4F838612">
      <w:pPr>
        <w:spacing w:line="276" w:lineRule="auto"/>
        <w:rPr>
          <w:rFonts w:asciiTheme="majorBidi" w:hAnsiTheme="majorBidi" w:cstheme="majorBidi"/>
          <w:spacing w:val="-2"/>
        </w:rPr>
      </w:pPr>
      <w:r>
        <w:rPr>
          <w:rFonts w:asciiTheme="majorBidi" w:hAnsiTheme="majorBidi" w:cstheme="majorBidi"/>
        </w:rPr>
        <w:t>Figure</w:t>
      </w:r>
      <w:r>
        <w:rPr>
          <w:rFonts w:asciiTheme="majorBidi" w:hAnsiTheme="majorBidi" w:cstheme="majorBidi"/>
          <w:lang w:val="en-US"/>
        </w:rPr>
        <w:t xml:space="preserve"> </w:t>
      </w:r>
      <w:r>
        <w:rPr>
          <w:rFonts w:asciiTheme="majorBidi" w:hAnsiTheme="majorBidi" w:cstheme="majorBidi"/>
        </w:rPr>
        <w:t>above show that 88 of the respondent strong agree or 95.65% 2 agree or 2.173%, 1 disagree or 1.08% 1 strong disagree or 1.08% thus the most of respondent agree The</w:t>
      </w:r>
      <w:r>
        <w:rPr>
          <w:rFonts w:asciiTheme="majorBidi" w:hAnsiTheme="majorBidi" w:cstheme="majorBidi"/>
          <w:spacing w:val="1"/>
        </w:rPr>
        <w:t xml:space="preserve"> </w:t>
      </w:r>
      <w:r>
        <w:rPr>
          <w:rFonts w:asciiTheme="majorBidi" w:hAnsiTheme="majorBidi" w:cstheme="majorBidi"/>
        </w:rPr>
        <w:t>Ministry</w:t>
      </w:r>
      <w:r>
        <w:rPr>
          <w:rFonts w:asciiTheme="majorBidi" w:hAnsiTheme="majorBidi" w:cstheme="majorBidi"/>
          <w:spacing w:val="-11"/>
        </w:rPr>
        <w:t xml:space="preserve"> </w:t>
      </w:r>
      <w:r>
        <w:rPr>
          <w:rFonts w:asciiTheme="majorBidi" w:hAnsiTheme="majorBidi" w:cstheme="majorBidi"/>
        </w:rPr>
        <w:t>of</w:t>
      </w:r>
      <w:r>
        <w:rPr>
          <w:rFonts w:asciiTheme="majorBidi" w:hAnsiTheme="majorBidi" w:cstheme="majorBidi"/>
          <w:spacing w:val="-5"/>
        </w:rPr>
        <w:t xml:space="preserve"> </w:t>
      </w:r>
      <w:r>
        <w:rPr>
          <w:rFonts w:asciiTheme="majorBidi" w:hAnsiTheme="majorBidi" w:cstheme="majorBidi"/>
        </w:rPr>
        <w:t xml:space="preserve">Finance has </w:t>
      </w:r>
      <w:r>
        <w:rPr>
          <w:rFonts w:asciiTheme="majorBidi" w:hAnsiTheme="majorBidi" w:cstheme="majorBidi"/>
          <w:spacing w:val="-2"/>
        </w:rPr>
        <w:t>sufficient staff for Public Financial Management Reform Implementation</w:t>
      </w:r>
    </w:p>
    <w:p w14:paraId="03BB2E3E">
      <w:pPr>
        <w:pStyle w:val="3"/>
        <w:spacing w:line="276" w:lineRule="auto"/>
        <w:ind w:firstLine="0"/>
        <w:rPr>
          <w:rFonts w:asciiTheme="majorBidi" w:hAnsiTheme="majorBidi"/>
          <w:sz w:val="24"/>
          <w:szCs w:val="24"/>
        </w:rPr>
      </w:pPr>
      <w:bookmarkStart w:id="45" w:name="_Toc136959622"/>
      <w:r>
        <w:rPr>
          <w:rFonts w:asciiTheme="majorBidi" w:hAnsiTheme="majorBidi"/>
          <w:sz w:val="24"/>
          <w:szCs w:val="24"/>
        </w:rPr>
        <w:t>Effect of donor’s support towards financial reform</w:t>
      </w:r>
      <w:bookmarkEnd w:id="45"/>
    </w:p>
    <w:tbl>
      <w:tblPr>
        <w:tblStyle w:val="12"/>
        <w:tblW w:w="9047" w:type="dxa"/>
        <w:tblInd w:w="3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141"/>
        <w:gridCol w:w="495"/>
        <w:gridCol w:w="802"/>
        <w:gridCol w:w="1609"/>
      </w:tblGrid>
      <w:tr w14:paraId="4EC7E5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3" w:hRule="atLeast"/>
        </w:trPr>
        <w:tc>
          <w:tcPr>
            <w:tcW w:w="6141" w:type="dxa"/>
            <w:shd w:val="clear" w:color="auto" w:fill="FFFFFF" w:themeFill="background1"/>
          </w:tcPr>
          <w:p w14:paraId="3EE9C1DC">
            <w:pPr>
              <w:pStyle w:val="81"/>
              <w:spacing w:line="276" w:lineRule="auto"/>
              <w:ind w:left="110"/>
              <w:rPr>
                <w:rFonts w:asciiTheme="majorBidi" w:hAnsiTheme="majorBidi" w:cstheme="majorBidi"/>
                <w:b/>
                <w:sz w:val="24"/>
                <w:szCs w:val="24"/>
              </w:rPr>
            </w:pPr>
            <w:r>
              <w:rPr>
                <w:rFonts w:asciiTheme="majorBidi" w:hAnsiTheme="majorBidi" w:cstheme="majorBidi"/>
                <w:b/>
                <w:spacing w:val="-2"/>
                <w:sz w:val="24"/>
                <w:szCs w:val="24"/>
              </w:rPr>
              <w:t>Statements</w:t>
            </w:r>
          </w:p>
        </w:tc>
        <w:tc>
          <w:tcPr>
            <w:tcW w:w="495" w:type="dxa"/>
            <w:shd w:val="clear" w:color="auto" w:fill="FFFFFF" w:themeFill="background1"/>
          </w:tcPr>
          <w:p w14:paraId="28BEFDC0">
            <w:pPr>
              <w:pStyle w:val="81"/>
              <w:spacing w:line="276" w:lineRule="auto"/>
              <w:ind w:left="0" w:right="89"/>
              <w:jc w:val="center"/>
              <w:rPr>
                <w:rFonts w:asciiTheme="majorBidi" w:hAnsiTheme="majorBidi" w:cstheme="majorBidi"/>
                <w:b/>
                <w:sz w:val="24"/>
                <w:szCs w:val="24"/>
              </w:rPr>
            </w:pPr>
            <w:r>
              <w:rPr>
                <w:rFonts w:asciiTheme="majorBidi" w:hAnsiTheme="majorBidi" w:cstheme="majorBidi"/>
                <w:b/>
                <w:w w:val="99"/>
                <w:sz w:val="24"/>
                <w:szCs w:val="24"/>
              </w:rPr>
              <w:t>N</w:t>
            </w:r>
          </w:p>
        </w:tc>
        <w:tc>
          <w:tcPr>
            <w:tcW w:w="802" w:type="dxa"/>
            <w:shd w:val="clear" w:color="auto" w:fill="FFFFFF" w:themeFill="background1"/>
          </w:tcPr>
          <w:p w14:paraId="421966A6">
            <w:pPr>
              <w:pStyle w:val="81"/>
              <w:spacing w:line="276" w:lineRule="auto"/>
              <w:ind w:left="105"/>
              <w:rPr>
                <w:rFonts w:asciiTheme="majorBidi" w:hAnsiTheme="majorBidi" w:cstheme="majorBidi"/>
                <w:b/>
                <w:sz w:val="24"/>
                <w:szCs w:val="24"/>
              </w:rPr>
            </w:pPr>
            <w:r>
              <w:rPr>
                <w:rFonts w:asciiTheme="majorBidi" w:hAnsiTheme="majorBidi" w:cstheme="majorBidi"/>
                <w:b/>
                <w:spacing w:val="-4"/>
                <w:sz w:val="24"/>
                <w:szCs w:val="24"/>
              </w:rPr>
              <w:t>Mean</w:t>
            </w:r>
          </w:p>
        </w:tc>
        <w:tc>
          <w:tcPr>
            <w:tcW w:w="1609" w:type="dxa"/>
            <w:shd w:val="clear" w:color="auto" w:fill="FFFFFF" w:themeFill="background1"/>
          </w:tcPr>
          <w:p w14:paraId="6383B51C">
            <w:pPr>
              <w:pStyle w:val="81"/>
              <w:spacing w:line="276" w:lineRule="auto"/>
              <w:ind w:left="104"/>
              <w:rPr>
                <w:rFonts w:asciiTheme="majorBidi" w:hAnsiTheme="majorBidi" w:cstheme="majorBidi"/>
                <w:b/>
                <w:sz w:val="24"/>
                <w:szCs w:val="24"/>
              </w:rPr>
            </w:pPr>
            <w:r>
              <w:rPr>
                <w:rFonts w:asciiTheme="majorBidi" w:hAnsiTheme="majorBidi" w:cstheme="majorBidi"/>
                <w:b/>
                <w:spacing w:val="-2"/>
                <w:sz w:val="24"/>
                <w:szCs w:val="24"/>
              </w:rPr>
              <w:t>St. Deviation</w:t>
            </w:r>
          </w:p>
        </w:tc>
      </w:tr>
      <w:tr w14:paraId="4EF1FC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2" w:hRule="atLeast"/>
        </w:trPr>
        <w:tc>
          <w:tcPr>
            <w:tcW w:w="6141" w:type="dxa"/>
          </w:tcPr>
          <w:p w14:paraId="65CDF2B2">
            <w:pPr>
              <w:spacing w:line="276" w:lineRule="auto"/>
              <w:ind w:firstLine="0"/>
              <w:jc w:val="left"/>
              <w:rPr>
                <w:rFonts w:asciiTheme="majorBidi" w:hAnsiTheme="majorBidi" w:cstheme="majorBidi"/>
              </w:rPr>
            </w:pPr>
            <w:r>
              <w:rPr>
                <w:rFonts w:asciiTheme="majorBidi" w:hAnsiTheme="majorBidi" w:cstheme="majorBidi"/>
              </w:rPr>
              <w:t>Donor</w:t>
            </w:r>
            <w:r>
              <w:rPr>
                <w:rFonts w:asciiTheme="majorBidi" w:hAnsiTheme="majorBidi" w:cstheme="majorBidi"/>
                <w:spacing w:val="-7"/>
              </w:rPr>
              <w:t xml:space="preserve"> </w:t>
            </w:r>
            <w:r>
              <w:rPr>
                <w:rFonts w:asciiTheme="majorBidi" w:hAnsiTheme="majorBidi" w:cstheme="majorBidi"/>
              </w:rPr>
              <w:t>agencies</w:t>
            </w:r>
            <w:r>
              <w:rPr>
                <w:rFonts w:asciiTheme="majorBidi" w:hAnsiTheme="majorBidi" w:cstheme="majorBidi"/>
                <w:spacing w:val="-6"/>
              </w:rPr>
              <w:t xml:space="preserve"> </w:t>
            </w:r>
            <w:r>
              <w:rPr>
                <w:rFonts w:asciiTheme="majorBidi" w:hAnsiTheme="majorBidi" w:cstheme="majorBidi"/>
              </w:rPr>
              <w:t>provide</w:t>
            </w:r>
            <w:r>
              <w:rPr>
                <w:rFonts w:asciiTheme="majorBidi" w:hAnsiTheme="majorBidi" w:cstheme="majorBidi"/>
                <w:spacing w:val="-5"/>
              </w:rPr>
              <w:t xml:space="preserve"> </w:t>
            </w:r>
            <w:r>
              <w:rPr>
                <w:rFonts w:asciiTheme="majorBidi" w:hAnsiTheme="majorBidi" w:cstheme="majorBidi"/>
              </w:rPr>
              <w:t>the</w:t>
            </w:r>
            <w:r>
              <w:rPr>
                <w:rFonts w:asciiTheme="majorBidi" w:hAnsiTheme="majorBidi" w:cstheme="majorBidi"/>
                <w:spacing w:val="-5"/>
              </w:rPr>
              <w:t xml:space="preserve"> </w:t>
            </w:r>
            <w:r>
              <w:rPr>
                <w:rFonts w:asciiTheme="majorBidi" w:hAnsiTheme="majorBidi" w:cstheme="majorBidi"/>
              </w:rPr>
              <w:t>government</w:t>
            </w:r>
            <w:r>
              <w:rPr>
                <w:rFonts w:asciiTheme="majorBidi" w:hAnsiTheme="majorBidi" w:cstheme="majorBidi"/>
                <w:spacing w:val="9"/>
              </w:rPr>
              <w:t xml:space="preserve"> </w:t>
            </w:r>
            <w:r>
              <w:rPr>
                <w:rFonts w:asciiTheme="majorBidi" w:hAnsiTheme="majorBidi" w:cstheme="majorBidi"/>
              </w:rPr>
              <w:t>institutions</w:t>
            </w:r>
            <w:r>
              <w:rPr>
                <w:rFonts w:asciiTheme="majorBidi" w:hAnsiTheme="majorBidi" w:cstheme="majorBidi"/>
                <w:spacing w:val="-5"/>
              </w:rPr>
              <w:t xml:space="preserve"> </w:t>
            </w:r>
            <w:r>
              <w:rPr>
                <w:rFonts w:asciiTheme="majorBidi" w:hAnsiTheme="majorBidi" w:cstheme="majorBidi"/>
              </w:rPr>
              <w:t>and</w:t>
            </w:r>
            <w:r>
              <w:rPr>
                <w:rFonts w:asciiTheme="majorBidi" w:hAnsiTheme="majorBidi" w:cstheme="majorBidi"/>
                <w:spacing w:val="-4"/>
              </w:rPr>
              <w:t xml:space="preserve"> </w:t>
            </w:r>
            <w:r>
              <w:rPr>
                <w:rFonts w:asciiTheme="majorBidi" w:hAnsiTheme="majorBidi" w:cstheme="majorBidi"/>
                <w:spacing w:val="-2"/>
              </w:rPr>
              <w:t>their</w:t>
            </w:r>
            <w:r>
              <w:rPr>
                <w:rFonts w:asciiTheme="majorBidi" w:hAnsiTheme="majorBidi" w:cstheme="majorBidi"/>
                <w:lang w:val="en-US"/>
              </w:rPr>
              <w:t xml:space="preserve"> </w:t>
            </w:r>
            <w:r>
              <w:rPr>
                <w:rFonts w:asciiTheme="majorBidi" w:hAnsiTheme="majorBidi" w:cstheme="majorBidi"/>
              </w:rPr>
              <w:t>employee</w:t>
            </w:r>
            <w:r>
              <w:rPr>
                <w:rFonts w:asciiTheme="majorBidi" w:hAnsiTheme="majorBidi" w:cstheme="majorBidi"/>
                <w:spacing w:val="-8"/>
              </w:rPr>
              <w:t xml:space="preserve"> </w:t>
            </w:r>
            <w:r>
              <w:rPr>
                <w:rFonts w:asciiTheme="majorBidi" w:hAnsiTheme="majorBidi" w:cstheme="majorBidi"/>
              </w:rPr>
              <w:t>effective</w:t>
            </w:r>
            <w:r>
              <w:rPr>
                <w:rFonts w:asciiTheme="majorBidi" w:hAnsiTheme="majorBidi" w:cstheme="majorBidi"/>
                <w:spacing w:val="-8"/>
              </w:rPr>
              <w:t xml:space="preserve"> </w:t>
            </w:r>
            <w:r>
              <w:rPr>
                <w:rFonts w:asciiTheme="majorBidi" w:hAnsiTheme="majorBidi" w:cstheme="majorBidi"/>
              </w:rPr>
              <w:t>Technical</w:t>
            </w:r>
            <w:r>
              <w:rPr>
                <w:rFonts w:asciiTheme="majorBidi" w:hAnsiTheme="majorBidi" w:cstheme="majorBidi"/>
                <w:spacing w:val="-7"/>
              </w:rPr>
              <w:t xml:space="preserve"> </w:t>
            </w:r>
            <w:r>
              <w:rPr>
                <w:rFonts w:asciiTheme="majorBidi" w:hAnsiTheme="majorBidi" w:cstheme="majorBidi"/>
              </w:rPr>
              <w:t>Assistance</w:t>
            </w:r>
            <w:r>
              <w:rPr>
                <w:rFonts w:asciiTheme="majorBidi" w:hAnsiTheme="majorBidi" w:cstheme="majorBidi"/>
                <w:spacing w:val="-8"/>
              </w:rPr>
              <w:t xml:space="preserve"> </w:t>
            </w:r>
            <w:r>
              <w:rPr>
                <w:rFonts w:asciiTheme="majorBidi" w:hAnsiTheme="majorBidi" w:cstheme="majorBidi"/>
              </w:rPr>
              <w:t>and</w:t>
            </w:r>
            <w:r>
              <w:rPr>
                <w:rFonts w:asciiTheme="majorBidi" w:hAnsiTheme="majorBidi" w:cstheme="majorBidi"/>
                <w:spacing w:val="-7"/>
              </w:rPr>
              <w:t xml:space="preserve"> </w:t>
            </w:r>
            <w:r>
              <w:rPr>
                <w:rFonts w:asciiTheme="majorBidi" w:hAnsiTheme="majorBidi" w:cstheme="majorBidi"/>
              </w:rPr>
              <w:t>trainings</w:t>
            </w:r>
            <w:r>
              <w:rPr>
                <w:rFonts w:asciiTheme="majorBidi" w:hAnsiTheme="majorBidi" w:cstheme="majorBidi"/>
                <w:spacing w:val="-9"/>
              </w:rPr>
              <w:t xml:space="preserve"> </w:t>
            </w:r>
            <w:r>
              <w:rPr>
                <w:rFonts w:asciiTheme="majorBidi" w:hAnsiTheme="majorBidi" w:cstheme="majorBidi"/>
              </w:rPr>
              <w:t>to insure the implementation of PFM Reform</w:t>
            </w:r>
          </w:p>
        </w:tc>
        <w:tc>
          <w:tcPr>
            <w:tcW w:w="495" w:type="dxa"/>
          </w:tcPr>
          <w:p w14:paraId="28E478D2">
            <w:pPr>
              <w:pStyle w:val="81"/>
              <w:spacing w:line="276" w:lineRule="auto"/>
              <w:ind w:left="96" w:right="118"/>
              <w:jc w:val="center"/>
              <w:rPr>
                <w:rFonts w:asciiTheme="majorBidi" w:hAnsiTheme="majorBidi" w:cstheme="majorBidi"/>
                <w:sz w:val="24"/>
                <w:szCs w:val="24"/>
              </w:rPr>
            </w:pPr>
            <w:r>
              <w:rPr>
                <w:rFonts w:asciiTheme="majorBidi" w:hAnsiTheme="majorBidi" w:cstheme="majorBidi"/>
                <w:spacing w:val="-5"/>
                <w:sz w:val="24"/>
                <w:szCs w:val="24"/>
              </w:rPr>
              <w:t>92</w:t>
            </w:r>
          </w:p>
        </w:tc>
        <w:tc>
          <w:tcPr>
            <w:tcW w:w="802" w:type="dxa"/>
          </w:tcPr>
          <w:p w14:paraId="5FFBE82E">
            <w:pPr>
              <w:pStyle w:val="81"/>
              <w:spacing w:line="276" w:lineRule="auto"/>
              <w:ind w:left="105"/>
              <w:rPr>
                <w:rFonts w:asciiTheme="majorBidi" w:hAnsiTheme="majorBidi" w:cstheme="majorBidi"/>
                <w:sz w:val="24"/>
                <w:szCs w:val="24"/>
              </w:rPr>
            </w:pPr>
            <w:r>
              <w:rPr>
                <w:rFonts w:asciiTheme="majorBidi" w:hAnsiTheme="majorBidi" w:cstheme="majorBidi"/>
                <w:spacing w:val="-4"/>
                <w:sz w:val="24"/>
                <w:szCs w:val="24"/>
              </w:rPr>
              <w:t>3.39</w:t>
            </w:r>
          </w:p>
        </w:tc>
        <w:tc>
          <w:tcPr>
            <w:tcW w:w="1609" w:type="dxa"/>
          </w:tcPr>
          <w:p w14:paraId="5E070905">
            <w:pPr>
              <w:pStyle w:val="81"/>
              <w:spacing w:line="276" w:lineRule="auto"/>
              <w:ind w:left="104"/>
              <w:rPr>
                <w:rFonts w:asciiTheme="majorBidi" w:hAnsiTheme="majorBidi" w:cstheme="majorBidi"/>
                <w:sz w:val="24"/>
                <w:szCs w:val="24"/>
              </w:rPr>
            </w:pPr>
            <w:r>
              <w:rPr>
                <w:rFonts w:asciiTheme="majorBidi" w:hAnsiTheme="majorBidi" w:cstheme="majorBidi"/>
                <w:spacing w:val="-4"/>
                <w:sz w:val="24"/>
                <w:szCs w:val="24"/>
              </w:rPr>
              <w:t>1.467</w:t>
            </w:r>
          </w:p>
        </w:tc>
      </w:tr>
      <w:tr w14:paraId="30C301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8" w:hRule="atLeast"/>
        </w:trPr>
        <w:tc>
          <w:tcPr>
            <w:tcW w:w="6141" w:type="dxa"/>
          </w:tcPr>
          <w:p w14:paraId="347570F9">
            <w:pPr>
              <w:spacing w:line="276" w:lineRule="auto"/>
              <w:ind w:firstLine="0"/>
              <w:jc w:val="left"/>
              <w:rPr>
                <w:rFonts w:asciiTheme="majorBidi" w:hAnsiTheme="majorBidi" w:cstheme="majorBidi"/>
              </w:rPr>
            </w:pPr>
            <w:r>
              <w:rPr>
                <w:rFonts w:asciiTheme="majorBidi" w:hAnsiTheme="majorBidi" w:cstheme="majorBidi"/>
              </w:rPr>
              <w:t>There</w:t>
            </w:r>
            <w:r>
              <w:rPr>
                <w:rFonts w:asciiTheme="majorBidi" w:hAnsiTheme="majorBidi" w:cstheme="majorBidi"/>
                <w:spacing w:val="-5"/>
              </w:rPr>
              <w:t xml:space="preserve"> </w:t>
            </w:r>
            <w:r>
              <w:rPr>
                <w:rFonts w:asciiTheme="majorBidi" w:hAnsiTheme="majorBidi" w:cstheme="majorBidi"/>
              </w:rPr>
              <w:t>are</w:t>
            </w:r>
            <w:r>
              <w:rPr>
                <w:rFonts w:asciiTheme="majorBidi" w:hAnsiTheme="majorBidi" w:cstheme="majorBidi"/>
                <w:spacing w:val="-5"/>
              </w:rPr>
              <w:t xml:space="preserve"> </w:t>
            </w:r>
            <w:r>
              <w:rPr>
                <w:rFonts w:asciiTheme="majorBidi" w:hAnsiTheme="majorBidi" w:cstheme="majorBidi"/>
              </w:rPr>
              <w:t>some</w:t>
            </w:r>
            <w:r>
              <w:rPr>
                <w:rFonts w:asciiTheme="majorBidi" w:hAnsiTheme="majorBidi" w:cstheme="majorBidi"/>
                <w:spacing w:val="-5"/>
              </w:rPr>
              <w:t xml:space="preserve"> </w:t>
            </w:r>
            <w:r>
              <w:rPr>
                <w:rFonts w:asciiTheme="majorBidi" w:hAnsiTheme="majorBidi" w:cstheme="majorBidi"/>
              </w:rPr>
              <w:t>donors</w:t>
            </w:r>
            <w:r>
              <w:rPr>
                <w:rFonts w:asciiTheme="majorBidi" w:hAnsiTheme="majorBidi" w:cstheme="majorBidi"/>
                <w:spacing w:val="-6"/>
              </w:rPr>
              <w:t xml:space="preserve"> </w:t>
            </w:r>
            <w:r>
              <w:rPr>
                <w:rFonts w:asciiTheme="majorBidi" w:hAnsiTheme="majorBidi" w:cstheme="majorBidi"/>
              </w:rPr>
              <w:t>who</w:t>
            </w:r>
            <w:r>
              <w:rPr>
                <w:rFonts w:asciiTheme="majorBidi" w:hAnsiTheme="majorBidi" w:cstheme="majorBidi"/>
                <w:spacing w:val="-1"/>
              </w:rPr>
              <w:t xml:space="preserve"> </w:t>
            </w:r>
            <w:r>
              <w:rPr>
                <w:rFonts w:asciiTheme="majorBidi" w:hAnsiTheme="majorBidi" w:cstheme="majorBidi"/>
              </w:rPr>
              <w:t>pushing</w:t>
            </w:r>
            <w:r>
              <w:rPr>
                <w:rFonts w:asciiTheme="majorBidi" w:hAnsiTheme="majorBidi" w:cstheme="majorBidi"/>
                <w:spacing w:val="-5"/>
              </w:rPr>
              <w:t xml:space="preserve"> </w:t>
            </w:r>
            <w:r>
              <w:rPr>
                <w:rFonts w:asciiTheme="majorBidi" w:hAnsiTheme="majorBidi" w:cstheme="majorBidi"/>
              </w:rPr>
              <w:t>agendas</w:t>
            </w:r>
            <w:r>
              <w:rPr>
                <w:rFonts w:asciiTheme="majorBidi" w:hAnsiTheme="majorBidi" w:cstheme="majorBidi"/>
                <w:spacing w:val="-6"/>
              </w:rPr>
              <w:t xml:space="preserve"> </w:t>
            </w:r>
            <w:r>
              <w:rPr>
                <w:rFonts w:asciiTheme="majorBidi" w:hAnsiTheme="majorBidi" w:cstheme="majorBidi"/>
              </w:rPr>
              <w:t>based</w:t>
            </w:r>
            <w:r>
              <w:rPr>
                <w:rFonts w:asciiTheme="majorBidi" w:hAnsiTheme="majorBidi" w:cstheme="majorBidi"/>
                <w:spacing w:val="-9"/>
              </w:rPr>
              <w:t xml:space="preserve"> </w:t>
            </w:r>
            <w:r>
              <w:rPr>
                <w:rFonts w:asciiTheme="majorBidi" w:hAnsiTheme="majorBidi" w:cstheme="majorBidi"/>
              </w:rPr>
              <w:t>on</w:t>
            </w:r>
            <w:r>
              <w:rPr>
                <w:rFonts w:asciiTheme="majorBidi" w:hAnsiTheme="majorBidi" w:cstheme="majorBidi"/>
                <w:spacing w:val="-9"/>
              </w:rPr>
              <w:t xml:space="preserve"> </w:t>
            </w:r>
            <w:r>
              <w:rPr>
                <w:rFonts w:asciiTheme="majorBidi" w:hAnsiTheme="majorBidi" w:cstheme="majorBidi"/>
              </w:rPr>
              <w:t>their experience elsewhere, or priorities developed by their governments</w:t>
            </w:r>
            <w:r>
              <w:rPr>
                <w:rFonts w:asciiTheme="majorBidi" w:hAnsiTheme="majorBidi" w:cstheme="majorBidi"/>
                <w:spacing w:val="-4"/>
              </w:rPr>
              <w:t xml:space="preserve"> </w:t>
            </w:r>
            <w:r>
              <w:rPr>
                <w:rFonts w:asciiTheme="majorBidi" w:hAnsiTheme="majorBidi" w:cstheme="majorBidi"/>
              </w:rPr>
              <w:t>and</w:t>
            </w:r>
            <w:r>
              <w:rPr>
                <w:rFonts w:asciiTheme="majorBidi" w:hAnsiTheme="majorBidi" w:cstheme="majorBidi"/>
                <w:spacing w:val="-2"/>
              </w:rPr>
              <w:t xml:space="preserve"> </w:t>
            </w:r>
            <w:r>
              <w:rPr>
                <w:rFonts w:asciiTheme="majorBidi" w:hAnsiTheme="majorBidi" w:cstheme="majorBidi"/>
              </w:rPr>
              <w:t>head</w:t>
            </w:r>
            <w:r>
              <w:rPr>
                <w:rFonts w:asciiTheme="majorBidi" w:hAnsiTheme="majorBidi" w:cstheme="majorBidi"/>
                <w:spacing w:val="-2"/>
              </w:rPr>
              <w:t xml:space="preserve"> offices</w:t>
            </w:r>
          </w:p>
        </w:tc>
        <w:tc>
          <w:tcPr>
            <w:tcW w:w="495" w:type="dxa"/>
          </w:tcPr>
          <w:p w14:paraId="187BDB0C">
            <w:pPr>
              <w:pStyle w:val="81"/>
              <w:spacing w:line="276" w:lineRule="auto"/>
              <w:ind w:left="96" w:right="118"/>
              <w:jc w:val="center"/>
              <w:rPr>
                <w:rFonts w:asciiTheme="majorBidi" w:hAnsiTheme="majorBidi" w:cstheme="majorBidi"/>
                <w:sz w:val="24"/>
                <w:szCs w:val="24"/>
              </w:rPr>
            </w:pPr>
            <w:r>
              <w:rPr>
                <w:rFonts w:asciiTheme="majorBidi" w:hAnsiTheme="majorBidi" w:cstheme="majorBidi"/>
                <w:spacing w:val="-5"/>
                <w:sz w:val="24"/>
                <w:szCs w:val="24"/>
              </w:rPr>
              <w:t>92</w:t>
            </w:r>
          </w:p>
        </w:tc>
        <w:tc>
          <w:tcPr>
            <w:tcW w:w="802" w:type="dxa"/>
          </w:tcPr>
          <w:p w14:paraId="628F25FC">
            <w:pPr>
              <w:pStyle w:val="81"/>
              <w:spacing w:line="276" w:lineRule="auto"/>
              <w:ind w:left="105"/>
              <w:rPr>
                <w:rFonts w:asciiTheme="majorBidi" w:hAnsiTheme="majorBidi" w:cstheme="majorBidi"/>
                <w:sz w:val="24"/>
                <w:szCs w:val="24"/>
              </w:rPr>
            </w:pPr>
            <w:r>
              <w:rPr>
                <w:rFonts w:asciiTheme="majorBidi" w:hAnsiTheme="majorBidi" w:cstheme="majorBidi"/>
                <w:spacing w:val="-4"/>
                <w:sz w:val="24"/>
                <w:szCs w:val="24"/>
              </w:rPr>
              <w:t>3.48</w:t>
            </w:r>
          </w:p>
        </w:tc>
        <w:tc>
          <w:tcPr>
            <w:tcW w:w="1609" w:type="dxa"/>
          </w:tcPr>
          <w:p w14:paraId="28B13174">
            <w:pPr>
              <w:pStyle w:val="81"/>
              <w:spacing w:line="276" w:lineRule="auto"/>
              <w:ind w:left="104"/>
              <w:rPr>
                <w:rFonts w:asciiTheme="majorBidi" w:hAnsiTheme="majorBidi" w:cstheme="majorBidi"/>
                <w:sz w:val="24"/>
                <w:szCs w:val="24"/>
              </w:rPr>
            </w:pPr>
            <w:r>
              <w:rPr>
                <w:rFonts w:asciiTheme="majorBidi" w:hAnsiTheme="majorBidi" w:cstheme="majorBidi"/>
                <w:spacing w:val="-4"/>
                <w:sz w:val="24"/>
                <w:szCs w:val="24"/>
              </w:rPr>
              <w:t>1.162</w:t>
            </w:r>
          </w:p>
        </w:tc>
      </w:tr>
      <w:tr w14:paraId="602F08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0" w:hRule="atLeast"/>
        </w:trPr>
        <w:tc>
          <w:tcPr>
            <w:tcW w:w="6141" w:type="dxa"/>
          </w:tcPr>
          <w:p w14:paraId="440E846F">
            <w:pPr>
              <w:spacing w:line="276" w:lineRule="auto"/>
              <w:ind w:firstLine="0"/>
              <w:jc w:val="left"/>
              <w:rPr>
                <w:rFonts w:asciiTheme="majorBidi" w:hAnsiTheme="majorBidi" w:cstheme="majorBidi"/>
              </w:rPr>
            </w:pPr>
            <w:r>
              <w:rPr>
                <w:rFonts w:asciiTheme="majorBidi" w:hAnsiTheme="majorBidi" w:cstheme="majorBidi"/>
              </w:rPr>
              <w:t>Donor</w:t>
            </w:r>
            <w:r>
              <w:rPr>
                <w:rFonts w:asciiTheme="majorBidi" w:hAnsiTheme="majorBidi" w:cstheme="majorBidi"/>
                <w:spacing w:val="-6"/>
              </w:rPr>
              <w:t xml:space="preserve"> </w:t>
            </w:r>
            <w:r>
              <w:rPr>
                <w:rFonts w:asciiTheme="majorBidi" w:hAnsiTheme="majorBidi" w:cstheme="majorBidi"/>
              </w:rPr>
              <w:t>agencies</w:t>
            </w:r>
            <w:r>
              <w:rPr>
                <w:rFonts w:asciiTheme="majorBidi" w:hAnsiTheme="majorBidi" w:cstheme="majorBidi"/>
                <w:spacing w:val="-1"/>
              </w:rPr>
              <w:t xml:space="preserve"> </w:t>
            </w:r>
            <w:r>
              <w:rPr>
                <w:rFonts w:asciiTheme="majorBidi" w:hAnsiTheme="majorBidi" w:cstheme="majorBidi"/>
              </w:rPr>
              <w:t>have</w:t>
            </w:r>
            <w:r>
              <w:rPr>
                <w:rFonts w:asciiTheme="majorBidi" w:hAnsiTheme="majorBidi" w:cstheme="majorBidi"/>
                <w:spacing w:val="-4"/>
              </w:rPr>
              <w:t xml:space="preserve"> </w:t>
            </w:r>
            <w:r>
              <w:rPr>
                <w:rFonts w:asciiTheme="majorBidi" w:hAnsiTheme="majorBidi" w:cstheme="majorBidi"/>
              </w:rPr>
              <w:t>effective</w:t>
            </w:r>
            <w:r>
              <w:rPr>
                <w:rFonts w:asciiTheme="majorBidi" w:hAnsiTheme="majorBidi" w:cstheme="majorBidi"/>
                <w:spacing w:val="-4"/>
              </w:rPr>
              <w:t xml:space="preserve"> </w:t>
            </w:r>
            <w:r>
              <w:rPr>
                <w:rFonts w:asciiTheme="majorBidi" w:hAnsiTheme="majorBidi" w:cstheme="majorBidi"/>
              </w:rPr>
              <w:t>commitments</w:t>
            </w:r>
            <w:r>
              <w:rPr>
                <w:rFonts w:asciiTheme="majorBidi" w:hAnsiTheme="majorBidi" w:cstheme="majorBidi"/>
                <w:spacing w:val="-5"/>
              </w:rPr>
              <w:t xml:space="preserve"> </w:t>
            </w:r>
            <w:r>
              <w:rPr>
                <w:rFonts w:asciiTheme="majorBidi" w:hAnsiTheme="majorBidi" w:cstheme="majorBidi"/>
              </w:rPr>
              <w:t>for</w:t>
            </w:r>
            <w:r>
              <w:rPr>
                <w:rFonts w:asciiTheme="majorBidi" w:hAnsiTheme="majorBidi" w:cstheme="majorBidi"/>
                <w:spacing w:val="-2"/>
              </w:rPr>
              <w:t xml:space="preserve"> supporting</w:t>
            </w:r>
            <w:r>
              <w:rPr>
                <w:rFonts w:asciiTheme="majorBidi" w:hAnsiTheme="majorBidi" w:cstheme="majorBidi"/>
                <w:lang w:val="en-US"/>
              </w:rPr>
              <w:t xml:space="preserve"> </w:t>
            </w:r>
            <w:r>
              <w:rPr>
                <w:rFonts w:asciiTheme="majorBidi" w:hAnsiTheme="majorBidi" w:cstheme="majorBidi"/>
              </w:rPr>
              <w:t>and financing</w:t>
            </w:r>
            <w:r>
              <w:rPr>
                <w:rFonts w:asciiTheme="majorBidi" w:hAnsiTheme="majorBidi" w:cstheme="majorBidi"/>
                <w:spacing w:val="-3"/>
              </w:rPr>
              <w:t xml:space="preserve"> </w:t>
            </w:r>
            <w:r>
              <w:rPr>
                <w:rFonts w:asciiTheme="majorBidi" w:hAnsiTheme="majorBidi" w:cstheme="majorBidi"/>
              </w:rPr>
              <w:t>activities</w:t>
            </w:r>
            <w:r>
              <w:rPr>
                <w:rFonts w:asciiTheme="majorBidi" w:hAnsiTheme="majorBidi" w:cstheme="majorBidi"/>
                <w:spacing w:val="-5"/>
              </w:rPr>
              <w:t xml:space="preserve"> </w:t>
            </w:r>
            <w:r>
              <w:rPr>
                <w:rFonts w:asciiTheme="majorBidi" w:hAnsiTheme="majorBidi" w:cstheme="majorBidi"/>
              </w:rPr>
              <w:t>of</w:t>
            </w:r>
            <w:r>
              <w:rPr>
                <w:rFonts w:asciiTheme="majorBidi" w:hAnsiTheme="majorBidi" w:cstheme="majorBidi"/>
                <w:spacing w:val="-10"/>
              </w:rPr>
              <w:t xml:space="preserve"> </w:t>
            </w:r>
            <w:r>
              <w:rPr>
                <w:rFonts w:asciiTheme="majorBidi" w:hAnsiTheme="majorBidi" w:cstheme="majorBidi"/>
              </w:rPr>
              <w:t>PFM</w:t>
            </w:r>
            <w:r>
              <w:rPr>
                <w:rFonts w:asciiTheme="majorBidi" w:hAnsiTheme="majorBidi" w:cstheme="majorBidi"/>
                <w:spacing w:val="-5"/>
              </w:rPr>
              <w:t xml:space="preserve"> </w:t>
            </w:r>
            <w:r>
              <w:rPr>
                <w:rFonts w:asciiTheme="majorBidi" w:hAnsiTheme="majorBidi" w:cstheme="majorBidi"/>
                <w:spacing w:val="-2"/>
              </w:rPr>
              <w:t>reform</w:t>
            </w:r>
          </w:p>
        </w:tc>
        <w:tc>
          <w:tcPr>
            <w:tcW w:w="495" w:type="dxa"/>
          </w:tcPr>
          <w:p w14:paraId="7BFB7A6D">
            <w:pPr>
              <w:pStyle w:val="81"/>
              <w:spacing w:line="276" w:lineRule="auto"/>
              <w:ind w:left="96" w:right="118"/>
              <w:jc w:val="center"/>
              <w:rPr>
                <w:rFonts w:asciiTheme="majorBidi" w:hAnsiTheme="majorBidi" w:cstheme="majorBidi"/>
                <w:sz w:val="24"/>
                <w:szCs w:val="24"/>
              </w:rPr>
            </w:pPr>
            <w:r>
              <w:rPr>
                <w:rFonts w:asciiTheme="majorBidi" w:hAnsiTheme="majorBidi" w:cstheme="majorBidi"/>
                <w:spacing w:val="-5"/>
                <w:sz w:val="24"/>
                <w:szCs w:val="24"/>
              </w:rPr>
              <w:t>92</w:t>
            </w:r>
          </w:p>
        </w:tc>
        <w:tc>
          <w:tcPr>
            <w:tcW w:w="802" w:type="dxa"/>
          </w:tcPr>
          <w:p w14:paraId="79949B35">
            <w:pPr>
              <w:pStyle w:val="81"/>
              <w:spacing w:line="276" w:lineRule="auto"/>
              <w:ind w:left="105"/>
              <w:rPr>
                <w:rFonts w:asciiTheme="majorBidi" w:hAnsiTheme="majorBidi" w:cstheme="majorBidi"/>
                <w:sz w:val="24"/>
                <w:szCs w:val="24"/>
              </w:rPr>
            </w:pPr>
            <w:r>
              <w:rPr>
                <w:rFonts w:asciiTheme="majorBidi" w:hAnsiTheme="majorBidi" w:cstheme="majorBidi"/>
                <w:spacing w:val="-4"/>
                <w:sz w:val="24"/>
                <w:szCs w:val="24"/>
              </w:rPr>
              <w:t>3.41</w:t>
            </w:r>
          </w:p>
        </w:tc>
        <w:tc>
          <w:tcPr>
            <w:tcW w:w="1609" w:type="dxa"/>
          </w:tcPr>
          <w:p w14:paraId="55134AF2">
            <w:pPr>
              <w:pStyle w:val="81"/>
              <w:spacing w:line="276" w:lineRule="auto"/>
              <w:ind w:left="104"/>
              <w:rPr>
                <w:rFonts w:asciiTheme="majorBidi" w:hAnsiTheme="majorBidi" w:cstheme="majorBidi"/>
                <w:sz w:val="24"/>
                <w:szCs w:val="24"/>
              </w:rPr>
            </w:pPr>
            <w:r>
              <w:rPr>
                <w:rFonts w:asciiTheme="majorBidi" w:hAnsiTheme="majorBidi" w:cstheme="majorBidi"/>
                <w:spacing w:val="-4"/>
                <w:sz w:val="24"/>
                <w:szCs w:val="24"/>
              </w:rPr>
              <w:t>1.131</w:t>
            </w:r>
          </w:p>
        </w:tc>
      </w:tr>
      <w:tr w14:paraId="448FE3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9" w:hRule="atLeast"/>
        </w:trPr>
        <w:tc>
          <w:tcPr>
            <w:tcW w:w="9047" w:type="dxa"/>
            <w:gridSpan w:val="4"/>
            <w:tcBorders>
              <w:left w:val="nil"/>
              <w:bottom w:val="nil"/>
              <w:right w:val="nil"/>
            </w:tcBorders>
          </w:tcPr>
          <w:p w14:paraId="0758524E">
            <w:pPr>
              <w:pStyle w:val="81"/>
              <w:spacing w:before="194" w:line="276" w:lineRule="auto"/>
              <w:ind w:left="288"/>
              <w:jc w:val="center"/>
              <w:rPr>
                <w:rFonts w:asciiTheme="majorBidi" w:hAnsiTheme="majorBidi" w:cstheme="majorBidi"/>
                <w:b/>
                <w:bCs/>
                <w:i/>
                <w:iCs/>
                <w:spacing w:val="-2"/>
                <w:sz w:val="24"/>
                <w:szCs w:val="24"/>
              </w:rPr>
            </w:pPr>
            <w:r>
              <w:rPr>
                <w:rFonts w:asciiTheme="majorBidi" w:hAnsiTheme="majorBidi" w:cstheme="majorBidi"/>
                <w:b/>
                <w:bCs/>
                <w:i/>
                <w:iCs/>
                <w:sz w:val="24"/>
                <w:szCs w:val="24"/>
              </w:rPr>
              <w:t>Source:</w:t>
            </w:r>
            <w:r>
              <w:rPr>
                <w:rFonts w:asciiTheme="majorBidi" w:hAnsiTheme="majorBidi" w:cstheme="majorBidi"/>
                <w:b/>
                <w:bCs/>
                <w:i/>
                <w:iCs/>
                <w:spacing w:val="-5"/>
                <w:sz w:val="24"/>
                <w:szCs w:val="24"/>
              </w:rPr>
              <w:t xml:space="preserve"> </w:t>
            </w:r>
            <w:r>
              <w:rPr>
                <w:rFonts w:asciiTheme="majorBidi" w:hAnsiTheme="majorBidi" w:cstheme="majorBidi"/>
                <w:b/>
                <w:bCs/>
                <w:i/>
                <w:iCs/>
                <w:sz w:val="24"/>
                <w:szCs w:val="24"/>
              </w:rPr>
              <w:t>Own</w:t>
            </w:r>
            <w:r>
              <w:rPr>
                <w:rFonts w:asciiTheme="majorBidi" w:hAnsiTheme="majorBidi" w:cstheme="majorBidi"/>
                <w:b/>
                <w:bCs/>
                <w:i/>
                <w:iCs/>
                <w:spacing w:val="-9"/>
                <w:sz w:val="24"/>
                <w:szCs w:val="24"/>
              </w:rPr>
              <w:t xml:space="preserve"> </w:t>
            </w:r>
            <w:r>
              <w:rPr>
                <w:rFonts w:asciiTheme="majorBidi" w:hAnsiTheme="majorBidi" w:cstheme="majorBidi"/>
                <w:b/>
                <w:bCs/>
                <w:i/>
                <w:iCs/>
                <w:sz w:val="24"/>
                <w:szCs w:val="24"/>
              </w:rPr>
              <w:t>survey</w:t>
            </w:r>
            <w:r>
              <w:rPr>
                <w:rFonts w:asciiTheme="majorBidi" w:hAnsiTheme="majorBidi" w:cstheme="majorBidi"/>
                <w:b/>
                <w:bCs/>
                <w:i/>
                <w:iCs/>
                <w:spacing w:val="-9"/>
                <w:sz w:val="24"/>
                <w:szCs w:val="24"/>
              </w:rPr>
              <w:t xml:space="preserve"> </w:t>
            </w:r>
            <w:r>
              <w:rPr>
                <w:rFonts w:asciiTheme="majorBidi" w:hAnsiTheme="majorBidi" w:cstheme="majorBidi"/>
                <w:b/>
                <w:bCs/>
                <w:i/>
                <w:iCs/>
                <w:spacing w:val="-2"/>
                <w:sz w:val="24"/>
                <w:szCs w:val="24"/>
              </w:rPr>
              <w:t>2023(SPSS).</w:t>
            </w:r>
          </w:p>
          <w:p w14:paraId="625A2C29">
            <w:pPr>
              <w:spacing w:line="276" w:lineRule="auto"/>
              <w:rPr>
                <w:rFonts w:asciiTheme="majorBidi" w:hAnsiTheme="majorBidi" w:cstheme="majorBidi"/>
              </w:rPr>
            </w:pPr>
            <w:r>
              <w:rPr>
                <w:rFonts w:asciiTheme="majorBidi" w:hAnsiTheme="majorBidi" w:cstheme="majorBidi"/>
              </w:rPr>
              <w:t>Item number 1, the results of the study revealed that the majority of respondents were agree (mean=3.39; Standard deviation=1.467) that Donor agencies provide the government institutions and their employee effective Technical Assistance and trainings to insure the implementation of PFM Reform.</w:t>
            </w:r>
          </w:p>
          <w:p w14:paraId="385D1915">
            <w:pPr>
              <w:spacing w:line="276" w:lineRule="auto"/>
              <w:rPr>
                <w:rFonts w:asciiTheme="majorBidi" w:hAnsiTheme="majorBidi" w:cstheme="majorBidi"/>
              </w:rPr>
            </w:pPr>
            <w:r>
              <w:rPr>
                <w:rFonts w:asciiTheme="majorBidi" w:hAnsiTheme="majorBidi" w:cstheme="majorBidi"/>
              </w:rPr>
              <w:t>Item number 2, also indicate that the respondents agreed (mean=3.48; Standard deviation=1.162) that there are some donors who pushing agendas based on their experience elsewhere, or priorities developed by their governments and head</w:t>
            </w:r>
            <w:r>
              <w:rPr>
                <w:rFonts w:asciiTheme="majorBidi" w:hAnsiTheme="majorBidi" w:cstheme="majorBidi"/>
                <w:spacing w:val="80"/>
              </w:rPr>
              <w:t xml:space="preserve"> </w:t>
            </w:r>
            <w:r>
              <w:rPr>
                <w:rFonts w:asciiTheme="majorBidi" w:hAnsiTheme="majorBidi" w:cstheme="majorBidi"/>
                <w:spacing w:val="-2"/>
              </w:rPr>
              <w:t>offices.</w:t>
            </w:r>
          </w:p>
          <w:p w14:paraId="6697FB97">
            <w:pPr>
              <w:spacing w:line="276" w:lineRule="auto"/>
              <w:rPr>
                <w:rFonts w:asciiTheme="majorBidi" w:hAnsiTheme="majorBidi" w:cstheme="majorBidi"/>
              </w:rPr>
            </w:pPr>
            <w:r>
              <w:rPr>
                <w:rFonts w:asciiTheme="majorBidi" w:hAnsiTheme="majorBidi" w:cstheme="majorBidi"/>
              </w:rPr>
              <w:t xml:space="preserve">Item number </w:t>
            </w:r>
            <w:r>
              <w:rPr>
                <w:rFonts w:asciiTheme="majorBidi" w:hAnsiTheme="majorBidi" w:cstheme="majorBidi"/>
                <w:lang w:val="en-US"/>
              </w:rPr>
              <w:t>3</w:t>
            </w:r>
            <w:r>
              <w:rPr>
                <w:rFonts w:asciiTheme="majorBidi" w:hAnsiTheme="majorBidi" w:cstheme="majorBidi"/>
              </w:rPr>
              <w:t>, it emerged that the majority</w:t>
            </w:r>
            <w:r>
              <w:rPr>
                <w:rFonts w:asciiTheme="majorBidi" w:hAnsiTheme="majorBidi" w:cstheme="majorBidi"/>
                <w:spacing w:val="-5"/>
              </w:rPr>
              <w:t xml:space="preserve"> </w:t>
            </w:r>
            <w:r>
              <w:rPr>
                <w:rFonts w:asciiTheme="majorBidi" w:hAnsiTheme="majorBidi" w:cstheme="majorBidi"/>
              </w:rPr>
              <w:t xml:space="preserve">of respondents were rated as neutral (mean=3.41; Standard deviation =1.131) that Donor agencies have effective commitments for supporting and financing activities of PFM </w:t>
            </w:r>
            <w:r>
              <w:rPr>
                <w:rFonts w:asciiTheme="majorBidi" w:hAnsiTheme="majorBidi" w:cstheme="majorBidi"/>
                <w:spacing w:val="-2"/>
              </w:rPr>
              <w:t>reform.</w:t>
            </w:r>
          </w:p>
          <w:p w14:paraId="6F9BBC33">
            <w:pPr>
              <w:pStyle w:val="81"/>
              <w:spacing w:before="194" w:line="276" w:lineRule="auto"/>
              <w:ind w:left="288"/>
              <w:rPr>
                <w:rFonts w:asciiTheme="majorBidi" w:hAnsiTheme="majorBidi" w:cstheme="majorBidi"/>
                <w:b/>
                <w:bCs/>
                <w:i/>
                <w:iCs/>
                <w:sz w:val="24"/>
                <w:szCs w:val="24"/>
              </w:rPr>
            </w:pPr>
          </w:p>
        </w:tc>
      </w:tr>
    </w:tbl>
    <w:p w14:paraId="5F135EB3">
      <w:pPr>
        <w:spacing w:line="276" w:lineRule="auto"/>
        <w:ind w:firstLine="0"/>
        <w:rPr>
          <w:rFonts w:asciiTheme="majorBidi" w:hAnsiTheme="majorBidi" w:cstheme="majorBidi"/>
        </w:rPr>
        <w:sectPr>
          <w:footerReference r:id="rId5" w:type="default"/>
          <w:pgSz w:w="12240" w:h="15840"/>
          <w:pgMar w:top="1440" w:right="1440" w:bottom="1440" w:left="1440" w:header="0" w:footer="0" w:gutter="0"/>
          <w:cols w:space="720" w:num="1"/>
          <w:docGrid w:linePitch="326" w:charSpace="0"/>
        </w:sectPr>
      </w:pPr>
    </w:p>
    <w:p w14:paraId="0524DE09">
      <w:pPr>
        <w:pStyle w:val="4"/>
        <w:spacing w:line="276" w:lineRule="auto"/>
        <w:ind w:firstLine="0"/>
        <w:rPr>
          <w:rFonts w:asciiTheme="majorBidi" w:hAnsiTheme="majorBidi"/>
          <w:sz w:val="24"/>
          <w:szCs w:val="24"/>
        </w:rPr>
      </w:pPr>
      <w:bookmarkStart w:id="46" w:name="_Toc136959623"/>
      <w:r>
        <w:rPr>
          <w:rFonts w:asciiTheme="majorBidi" w:hAnsiTheme="majorBidi"/>
          <w:sz w:val="24"/>
          <w:szCs w:val="24"/>
        </w:rPr>
        <w:t>Donor agencies provide government institutions and their employee with effective Technical Assistance and training to sure their implementation of PFM Reform</w:t>
      </w:r>
      <w:bookmarkEnd w:id="46"/>
    </w:p>
    <w:tbl>
      <w:tblPr>
        <w:tblStyle w:val="102"/>
        <w:tblW w:w="0" w:type="auto"/>
        <w:tblInd w:w="0" w:type="dxa"/>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Layout w:type="autofit"/>
        <w:tblCellMar>
          <w:top w:w="0" w:type="dxa"/>
          <w:left w:w="108" w:type="dxa"/>
          <w:bottom w:w="0" w:type="dxa"/>
          <w:right w:w="108" w:type="dxa"/>
        </w:tblCellMar>
      </w:tblPr>
      <w:tblGrid>
        <w:gridCol w:w="2526"/>
        <w:gridCol w:w="2959"/>
        <w:gridCol w:w="3757"/>
      </w:tblGrid>
      <w:tr w14:paraId="1A9EE1AA">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PrEx>
        <w:tc>
          <w:tcPr>
            <w:tcW w:w="2538" w:type="dxa"/>
          </w:tcPr>
          <w:p w14:paraId="7266AD0C">
            <w:pPr>
              <w:autoSpaceDE w:val="0"/>
              <w:autoSpaceDN w:val="0"/>
              <w:adjustRightInd w:val="0"/>
              <w:spacing w:line="276" w:lineRule="auto"/>
              <w:ind w:right="60" w:firstLine="0"/>
              <w:jc w:val="left"/>
              <w:rPr>
                <w:rFonts w:asciiTheme="majorBidi" w:hAnsiTheme="majorBidi" w:cstheme="majorBidi"/>
                <w:color w:val="000000"/>
                <w:sz w:val="24"/>
                <w:szCs w:val="24"/>
              </w:rPr>
            </w:pPr>
            <w:r>
              <w:rPr>
                <w:rFonts w:asciiTheme="majorBidi" w:hAnsiTheme="majorBidi" w:cstheme="majorBidi"/>
                <w:color w:val="000000"/>
                <w:sz w:val="24"/>
                <w:szCs w:val="24"/>
              </w:rPr>
              <w:t>Respondents</w:t>
            </w:r>
          </w:p>
        </w:tc>
        <w:tc>
          <w:tcPr>
            <w:tcW w:w="2970" w:type="dxa"/>
          </w:tcPr>
          <w:p w14:paraId="6809A4E3">
            <w:pPr>
              <w:autoSpaceDE w:val="0"/>
              <w:autoSpaceDN w:val="0"/>
              <w:adjustRightInd w:val="0"/>
              <w:spacing w:line="276" w:lineRule="auto"/>
              <w:ind w:left="60" w:right="60"/>
              <w:jc w:val="left"/>
              <w:rPr>
                <w:rFonts w:asciiTheme="majorBidi" w:hAnsiTheme="majorBidi" w:cstheme="majorBidi"/>
                <w:color w:val="000000"/>
                <w:sz w:val="24"/>
                <w:szCs w:val="24"/>
              </w:rPr>
            </w:pPr>
            <w:r>
              <w:rPr>
                <w:rFonts w:asciiTheme="majorBidi" w:hAnsiTheme="majorBidi" w:cstheme="majorBidi"/>
                <w:color w:val="000000"/>
                <w:sz w:val="24"/>
                <w:szCs w:val="24"/>
              </w:rPr>
              <w:t>Frequency</w:t>
            </w:r>
          </w:p>
        </w:tc>
        <w:tc>
          <w:tcPr>
            <w:tcW w:w="3780" w:type="dxa"/>
          </w:tcPr>
          <w:p w14:paraId="5507784C">
            <w:pPr>
              <w:autoSpaceDE w:val="0"/>
              <w:autoSpaceDN w:val="0"/>
              <w:adjustRightInd w:val="0"/>
              <w:spacing w:line="276" w:lineRule="auto"/>
              <w:ind w:left="60" w:right="60"/>
              <w:jc w:val="left"/>
              <w:rPr>
                <w:rFonts w:asciiTheme="majorBidi" w:hAnsiTheme="majorBidi" w:cstheme="majorBidi"/>
                <w:color w:val="000000"/>
                <w:sz w:val="24"/>
                <w:szCs w:val="24"/>
              </w:rPr>
            </w:pPr>
            <w:r>
              <w:rPr>
                <w:rFonts w:asciiTheme="majorBidi" w:hAnsiTheme="majorBidi" w:cstheme="majorBidi"/>
                <w:color w:val="000000"/>
                <w:sz w:val="24"/>
                <w:szCs w:val="24"/>
              </w:rPr>
              <w:t>Percent</w:t>
            </w:r>
          </w:p>
        </w:tc>
      </w:tr>
      <w:tr w14:paraId="2C2AF7BB">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38" w:type="dxa"/>
          </w:tcPr>
          <w:p w14:paraId="5C43F95E">
            <w:pPr>
              <w:autoSpaceDE w:val="0"/>
              <w:autoSpaceDN w:val="0"/>
              <w:adjustRightInd w:val="0"/>
              <w:spacing w:line="276" w:lineRule="auto"/>
              <w:ind w:right="60" w:firstLine="0"/>
              <w:jc w:val="left"/>
              <w:rPr>
                <w:rFonts w:asciiTheme="majorBidi" w:hAnsiTheme="majorBidi" w:cstheme="majorBidi"/>
                <w:b/>
                <w:bCs/>
                <w:caps/>
                <w:color w:val="000000"/>
                <w:sz w:val="24"/>
                <w:szCs w:val="24"/>
              </w:rPr>
            </w:pPr>
            <w:r>
              <w:rPr>
                <w:rFonts w:asciiTheme="majorBidi" w:hAnsiTheme="majorBidi" w:cstheme="majorBidi"/>
                <w:caps/>
                <w:color w:val="000000"/>
                <w:sz w:val="24"/>
                <w:szCs w:val="24"/>
              </w:rPr>
              <w:t>strong agree</w:t>
            </w:r>
          </w:p>
        </w:tc>
        <w:tc>
          <w:tcPr>
            <w:tcW w:w="2970" w:type="dxa"/>
          </w:tcPr>
          <w:p w14:paraId="36C27759">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14</w:t>
            </w:r>
          </w:p>
        </w:tc>
        <w:tc>
          <w:tcPr>
            <w:tcW w:w="3780" w:type="dxa"/>
          </w:tcPr>
          <w:p w14:paraId="5D694FE5">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15.21</w:t>
            </w:r>
          </w:p>
        </w:tc>
      </w:tr>
      <w:tr w14:paraId="55295ACB">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38" w:type="dxa"/>
          </w:tcPr>
          <w:p w14:paraId="076E9E39">
            <w:pPr>
              <w:autoSpaceDE w:val="0"/>
              <w:autoSpaceDN w:val="0"/>
              <w:adjustRightInd w:val="0"/>
              <w:spacing w:line="276" w:lineRule="auto"/>
              <w:ind w:right="60" w:firstLine="0"/>
              <w:jc w:val="left"/>
              <w:rPr>
                <w:rFonts w:asciiTheme="majorBidi" w:hAnsiTheme="majorBidi" w:cstheme="majorBidi"/>
                <w:b/>
                <w:bCs/>
                <w:caps/>
                <w:color w:val="000000"/>
                <w:sz w:val="24"/>
                <w:szCs w:val="24"/>
              </w:rPr>
            </w:pPr>
            <w:r>
              <w:rPr>
                <w:rFonts w:asciiTheme="majorBidi" w:hAnsiTheme="majorBidi" w:cstheme="majorBidi"/>
                <w:caps/>
                <w:color w:val="000000"/>
                <w:sz w:val="24"/>
                <w:szCs w:val="24"/>
              </w:rPr>
              <w:t>Agree</w:t>
            </w:r>
          </w:p>
        </w:tc>
        <w:tc>
          <w:tcPr>
            <w:tcW w:w="2970" w:type="dxa"/>
          </w:tcPr>
          <w:p w14:paraId="39B8A9A7">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16</w:t>
            </w:r>
          </w:p>
        </w:tc>
        <w:tc>
          <w:tcPr>
            <w:tcW w:w="3780" w:type="dxa"/>
          </w:tcPr>
          <w:p w14:paraId="7C51474D">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17.39</w:t>
            </w:r>
          </w:p>
        </w:tc>
      </w:tr>
      <w:tr w14:paraId="342FAC98">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38" w:type="dxa"/>
          </w:tcPr>
          <w:p w14:paraId="2E8D0779">
            <w:pPr>
              <w:autoSpaceDE w:val="0"/>
              <w:autoSpaceDN w:val="0"/>
              <w:adjustRightInd w:val="0"/>
              <w:spacing w:line="276" w:lineRule="auto"/>
              <w:ind w:right="60" w:firstLine="0"/>
              <w:jc w:val="left"/>
              <w:rPr>
                <w:rFonts w:asciiTheme="majorBidi" w:hAnsiTheme="majorBidi" w:cstheme="majorBidi"/>
                <w:b/>
                <w:bCs/>
                <w:caps/>
                <w:color w:val="000000"/>
                <w:sz w:val="24"/>
                <w:szCs w:val="24"/>
              </w:rPr>
            </w:pPr>
            <w:r>
              <w:rPr>
                <w:rFonts w:asciiTheme="majorBidi" w:hAnsiTheme="majorBidi" w:cstheme="majorBidi"/>
                <w:caps/>
                <w:color w:val="000000"/>
                <w:sz w:val="24"/>
                <w:szCs w:val="24"/>
              </w:rPr>
              <w:t>Disagree</w:t>
            </w:r>
          </w:p>
        </w:tc>
        <w:tc>
          <w:tcPr>
            <w:tcW w:w="2970" w:type="dxa"/>
          </w:tcPr>
          <w:p w14:paraId="73646BBE">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16</w:t>
            </w:r>
          </w:p>
        </w:tc>
        <w:tc>
          <w:tcPr>
            <w:tcW w:w="3780" w:type="dxa"/>
          </w:tcPr>
          <w:p w14:paraId="6E866077">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17.39</w:t>
            </w:r>
          </w:p>
        </w:tc>
      </w:tr>
      <w:tr w14:paraId="2FD021FB">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38" w:type="dxa"/>
          </w:tcPr>
          <w:p w14:paraId="23FD0455">
            <w:pPr>
              <w:autoSpaceDE w:val="0"/>
              <w:autoSpaceDN w:val="0"/>
              <w:adjustRightInd w:val="0"/>
              <w:spacing w:line="276" w:lineRule="auto"/>
              <w:ind w:right="60" w:firstLine="0"/>
              <w:jc w:val="left"/>
              <w:rPr>
                <w:rFonts w:asciiTheme="majorBidi" w:hAnsiTheme="majorBidi" w:cstheme="majorBidi"/>
                <w:b/>
                <w:bCs/>
                <w:caps/>
                <w:color w:val="000000"/>
                <w:sz w:val="24"/>
                <w:szCs w:val="24"/>
              </w:rPr>
            </w:pPr>
            <w:r>
              <w:rPr>
                <w:rFonts w:asciiTheme="majorBidi" w:hAnsiTheme="majorBidi" w:cstheme="majorBidi"/>
                <w:caps/>
                <w:color w:val="000000"/>
                <w:sz w:val="24"/>
                <w:szCs w:val="24"/>
              </w:rPr>
              <w:t>strong disagree</w:t>
            </w:r>
          </w:p>
        </w:tc>
        <w:tc>
          <w:tcPr>
            <w:tcW w:w="2970" w:type="dxa"/>
          </w:tcPr>
          <w:p w14:paraId="3C9C04CD">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46</w:t>
            </w:r>
          </w:p>
        </w:tc>
        <w:tc>
          <w:tcPr>
            <w:tcW w:w="3780" w:type="dxa"/>
          </w:tcPr>
          <w:p w14:paraId="4870F0BB">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50</w:t>
            </w:r>
          </w:p>
        </w:tc>
      </w:tr>
      <w:tr w14:paraId="15F64804">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38" w:type="dxa"/>
          </w:tcPr>
          <w:p w14:paraId="5EB4712C">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Total</w:t>
            </w:r>
          </w:p>
        </w:tc>
        <w:tc>
          <w:tcPr>
            <w:tcW w:w="2970" w:type="dxa"/>
          </w:tcPr>
          <w:p w14:paraId="4B66A0C4">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92</w:t>
            </w:r>
          </w:p>
        </w:tc>
        <w:tc>
          <w:tcPr>
            <w:tcW w:w="3780" w:type="dxa"/>
          </w:tcPr>
          <w:p w14:paraId="3B325BBD">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100.0</w:t>
            </w:r>
          </w:p>
        </w:tc>
      </w:tr>
    </w:tbl>
    <w:p w14:paraId="3285D81E">
      <w:pPr>
        <w:spacing w:line="276" w:lineRule="auto"/>
        <w:jc w:val="center"/>
        <w:rPr>
          <w:rFonts w:asciiTheme="majorBidi" w:hAnsiTheme="majorBidi" w:cstheme="majorBidi"/>
        </w:rPr>
      </w:pPr>
      <w:r>
        <w:rPr>
          <w:rFonts w:asciiTheme="majorBidi" w:hAnsiTheme="majorBidi" w:cstheme="majorBidi"/>
          <w:b/>
          <w:bCs/>
          <w:i/>
          <w:iCs/>
          <w:color w:val="000000"/>
        </w:rPr>
        <w:t>Source: Own survey 202</w:t>
      </w:r>
      <w:r>
        <w:rPr>
          <w:rFonts w:asciiTheme="majorBidi" w:hAnsiTheme="majorBidi" w:cstheme="majorBidi"/>
          <w:b/>
          <w:bCs/>
          <w:i/>
          <w:iCs/>
          <w:color w:val="000000"/>
          <w:lang w:val="en-US"/>
        </w:rPr>
        <w:t>3</w:t>
      </w:r>
      <w:r>
        <w:rPr>
          <w:rFonts w:asciiTheme="majorBidi" w:hAnsiTheme="majorBidi" w:cstheme="majorBidi"/>
          <w:b/>
          <w:bCs/>
          <w:i/>
          <w:iCs/>
          <w:color w:val="000000"/>
        </w:rPr>
        <w:t>(SPSS).</w:t>
      </w:r>
    </w:p>
    <w:p w14:paraId="53C0B6F6">
      <w:pPr>
        <w:spacing w:line="276" w:lineRule="auto"/>
        <w:rPr>
          <w:rFonts w:asciiTheme="majorBidi" w:hAnsiTheme="majorBidi" w:cstheme="majorBidi"/>
          <w:spacing w:val="-2"/>
        </w:rPr>
      </w:pPr>
      <w:r>
        <w:rPr>
          <w:rFonts w:asciiTheme="majorBidi" w:hAnsiTheme="majorBidi" w:cstheme="majorBidi"/>
        </w:rPr>
        <w:t xml:space="preserve">Figure  above show that 14 of the respondent strong agree or 38.9% 16 agree or 44.4%, 4 disagree or 11.1% 2 strong disagree or 5.6% thus the most of respondent disagree Donor agencies provide government institutions and their </w:t>
      </w:r>
      <w:r>
        <w:rPr>
          <w:rFonts w:asciiTheme="majorBidi" w:hAnsiTheme="majorBidi" w:cstheme="majorBidi"/>
          <w:spacing w:val="-2"/>
        </w:rPr>
        <w:t>employee with effective Technical Assistance and training to sure their implementation of PFM Reform</w:t>
      </w:r>
    </w:p>
    <w:p w14:paraId="2337E0D2">
      <w:pPr>
        <w:pStyle w:val="4"/>
        <w:spacing w:line="276" w:lineRule="auto"/>
        <w:ind w:firstLine="0"/>
        <w:rPr>
          <w:rFonts w:asciiTheme="majorBidi" w:hAnsiTheme="majorBidi"/>
          <w:sz w:val="24"/>
          <w:szCs w:val="24"/>
        </w:rPr>
      </w:pPr>
      <w:bookmarkStart w:id="47" w:name="_Toc136959624"/>
      <w:r>
        <w:rPr>
          <w:rFonts w:asciiTheme="majorBidi" w:hAnsiTheme="majorBidi"/>
          <w:sz w:val="24"/>
          <w:szCs w:val="24"/>
        </w:rPr>
        <w:t xml:space="preserve">There are some donors who push agendas </w:t>
      </w:r>
      <w:r>
        <w:rPr>
          <w:rFonts w:asciiTheme="majorBidi" w:hAnsiTheme="majorBidi"/>
          <w:spacing w:val="-2"/>
          <w:sz w:val="24"/>
          <w:szCs w:val="24"/>
        </w:rPr>
        <w:t xml:space="preserve">based on their experience elsewhere, or priorities developed by their </w:t>
      </w:r>
      <w:r>
        <w:rPr>
          <w:rFonts w:asciiTheme="majorBidi" w:hAnsiTheme="majorBidi"/>
          <w:sz w:val="24"/>
          <w:szCs w:val="24"/>
        </w:rPr>
        <w:t>governments and head offices</w:t>
      </w:r>
      <w:bookmarkEnd w:id="47"/>
    </w:p>
    <w:tbl>
      <w:tblPr>
        <w:tblStyle w:val="84"/>
        <w:tblW w:w="0" w:type="auto"/>
        <w:tblInd w:w="0" w:type="dxa"/>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Layout w:type="autofit"/>
        <w:tblCellMar>
          <w:top w:w="0" w:type="dxa"/>
          <w:left w:w="108" w:type="dxa"/>
          <w:bottom w:w="0" w:type="dxa"/>
          <w:right w:w="108" w:type="dxa"/>
        </w:tblCellMar>
      </w:tblPr>
      <w:tblGrid>
        <w:gridCol w:w="2474"/>
        <w:gridCol w:w="3391"/>
        <w:gridCol w:w="3377"/>
      </w:tblGrid>
      <w:tr w14:paraId="1434182A">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tcPr>
          <w:p w14:paraId="31B8AFE2">
            <w:pPr>
              <w:autoSpaceDE w:val="0"/>
              <w:autoSpaceDN w:val="0"/>
              <w:adjustRightInd w:val="0"/>
              <w:spacing w:line="276" w:lineRule="auto"/>
              <w:ind w:right="60" w:firstLine="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Respondents</w:t>
            </w:r>
          </w:p>
        </w:tc>
        <w:tc>
          <w:tcPr>
            <w:tcW w:w="3499" w:type="dxa"/>
          </w:tcPr>
          <w:p w14:paraId="1540318B">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Frequency</w:t>
            </w:r>
          </w:p>
        </w:tc>
        <w:tc>
          <w:tcPr>
            <w:tcW w:w="3510" w:type="dxa"/>
          </w:tcPr>
          <w:p w14:paraId="5AB95D10">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Percent</w:t>
            </w:r>
          </w:p>
        </w:tc>
      </w:tr>
      <w:tr w14:paraId="7AB8B57E">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shd w:val="clear" w:color="auto" w:fill="F1F1F1" w:themeFill="background1" w:themeFillShade="F2"/>
          </w:tcPr>
          <w:p w14:paraId="2D8FC592">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strong agree</w:t>
            </w:r>
          </w:p>
        </w:tc>
        <w:tc>
          <w:tcPr>
            <w:tcW w:w="3499" w:type="dxa"/>
            <w:shd w:val="clear" w:color="auto" w:fill="F1F1F1" w:themeFill="background1" w:themeFillShade="F2"/>
          </w:tcPr>
          <w:p w14:paraId="7F9B425C">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44</w:t>
            </w:r>
          </w:p>
        </w:tc>
        <w:tc>
          <w:tcPr>
            <w:tcW w:w="3510" w:type="dxa"/>
            <w:shd w:val="clear" w:color="auto" w:fill="F1F1F1" w:themeFill="background1" w:themeFillShade="F2"/>
          </w:tcPr>
          <w:p w14:paraId="024DB8D7">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47.8</w:t>
            </w:r>
          </w:p>
        </w:tc>
      </w:tr>
      <w:tr w14:paraId="2B962B4C">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tcPr>
          <w:p w14:paraId="1B17951E">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Agree</w:t>
            </w:r>
          </w:p>
        </w:tc>
        <w:tc>
          <w:tcPr>
            <w:tcW w:w="3499" w:type="dxa"/>
          </w:tcPr>
          <w:p w14:paraId="72C0717E">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16</w:t>
            </w:r>
          </w:p>
        </w:tc>
        <w:tc>
          <w:tcPr>
            <w:tcW w:w="3510" w:type="dxa"/>
          </w:tcPr>
          <w:p w14:paraId="5BCEE78E">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17.39</w:t>
            </w:r>
          </w:p>
        </w:tc>
      </w:tr>
      <w:tr w14:paraId="3BCEEAB7">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shd w:val="clear" w:color="auto" w:fill="F1F1F1" w:themeFill="background1" w:themeFillShade="F2"/>
          </w:tcPr>
          <w:p w14:paraId="3B07CDFD">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Disagree</w:t>
            </w:r>
          </w:p>
        </w:tc>
        <w:tc>
          <w:tcPr>
            <w:tcW w:w="3499" w:type="dxa"/>
            <w:shd w:val="clear" w:color="auto" w:fill="F1F1F1" w:themeFill="background1" w:themeFillShade="F2"/>
          </w:tcPr>
          <w:p w14:paraId="35763269">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16</w:t>
            </w:r>
          </w:p>
        </w:tc>
        <w:tc>
          <w:tcPr>
            <w:tcW w:w="3510" w:type="dxa"/>
            <w:shd w:val="clear" w:color="auto" w:fill="F1F1F1" w:themeFill="background1" w:themeFillShade="F2"/>
          </w:tcPr>
          <w:p w14:paraId="1278B546">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17.39</w:t>
            </w:r>
          </w:p>
        </w:tc>
      </w:tr>
      <w:tr w14:paraId="2C4B61AF">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tcPr>
          <w:p w14:paraId="0C0F2F5F">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strong disagree</w:t>
            </w:r>
          </w:p>
        </w:tc>
        <w:tc>
          <w:tcPr>
            <w:tcW w:w="3499" w:type="dxa"/>
          </w:tcPr>
          <w:p w14:paraId="3D990E87">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16</w:t>
            </w:r>
          </w:p>
        </w:tc>
        <w:tc>
          <w:tcPr>
            <w:tcW w:w="3510" w:type="dxa"/>
          </w:tcPr>
          <w:p w14:paraId="33CF21AB">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17.39</w:t>
            </w:r>
          </w:p>
        </w:tc>
      </w:tr>
      <w:tr w14:paraId="361E7ABD">
        <w:tblPrEx>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Ex>
        <w:tc>
          <w:tcPr>
            <w:tcW w:w="2549" w:type="dxa"/>
            <w:shd w:val="clear" w:color="auto" w:fill="F1F1F1" w:themeFill="background1" w:themeFillShade="F2"/>
          </w:tcPr>
          <w:p w14:paraId="62EF31C4">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Total</w:t>
            </w:r>
          </w:p>
        </w:tc>
        <w:tc>
          <w:tcPr>
            <w:tcW w:w="3499" w:type="dxa"/>
            <w:shd w:val="clear" w:color="auto" w:fill="F1F1F1" w:themeFill="background1" w:themeFillShade="F2"/>
          </w:tcPr>
          <w:p w14:paraId="0D551914">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92</w:t>
            </w:r>
          </w:p>
        </w:tc>
        <w:tc>
          <w:tcPr>
            <w:tcW w:w="3510" w:type="dxa"/>
            <w:shd w:val="clear" w:color="auto" w:fill="F1F1F1" w:themeFill="background1" w:themeFillShade="F2"/>
          </w:tcPr>
          <w:p w14:paraId="14AFC4D2">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100.0</w:t>
            </w:r>
          </w:p>
        </w:tc>
      </w:tr>
    </w:tbl>
    <w:p w14:paraId="1AA25A68">
      <w:pPr>
        <w:spacing w:line="276" w:lineRule="auto"/>
        <w:jc w:val="center"/>
        <w:rPr>
          <w:rFonts w:asciiTheme="majorBidi" w:hAnsiTheme="majorBidi" w:cstheme="majorBidi"/>
        </w:rPr>
      </w:pPr>
      <w:r>
        <w:rPr>
          <w:rFonts w:asciiTheme="majorBidi" w:hAnsiTheme="majorBidi" w:cstheme="majorBidi"/>
          <w:b/>
          <w:bCs/>
          <w:i/>
          <w:iCs/>
          <w:color w:val="000000"/>
        </w:rPr>
        <w:t>Source: Own survey 202</w:t>
      </w:r>
      <w:r>
        <w:rPr>
          <w:rFonts w:asciiTheme="majorBidi" w:hAnsiTheme="majorBidi" w:cstheme="majorBidi"/>
          <w:b/>
          <w:bCs/>
          <w:i/>
          <w:iCs/>
          <w:color w:val="000000"/>
          <w:lang w:val="en-US"/>
        </w:rPr>
        <w:t>3</w:t>
      </w:r>
      <w:r>
        <w:rPr>
          <w:rFonts w:asciiTheme="majorBidi" w:hAnsiTheme="majorBidi" w:cstheme="majorBidi"/>
          <w:b/>
          <w:bCs/>
          <w:i/>
          <w:iCs/>
          <w:color w:val="000000"/>
        </w:rPr>
        <w:t>(SPSS).</w:t>
      </w:r>
    </w:p>
    <w:p w14:paraId="6173036C">
      <w:pPr>
        <w:spacing w:line="276" w:lineRule="auto"/>
        <w:rPr>
          <w:rFonts w:asciiTheme="majorBidi" w:hAnsiTheme="majorBidi" w:cstheme="majorBidi"/>
        </w:rPr>
      </w:pPr>
      <w:r>
        <w:rPr>
          <w:rFonts w:asciiTheme="majorBidi" w:hAnsiTheme="majorBidi" w:cstheme="majorBidi"/>
        </w:rPr>
        <w:t xml:space="preserve">Figure  above show that 14 of the respondent strong agree or 38.9% 16 agree or 44.4%, 4 disagree or 11.1% 2 strong disagree or 5.6% thus the most of respondent agree There are some donors who push agendas </w:t>
      </w:r>
      <w:r>
        <w:rPr>
          <w:rFonts w:asciiTheme="majorBidi" w:hAnsiTheme="majorBidi" w:cstheme="majorBidi"/>
          <w:spacing w:val="-2"/>
        </w:rPr>
        <w:t xml:space="preserve">based on their experience elsewhere, or priorities developed by their </w:t>
      </w:r>
      <w:r>
        <w:rPr>
          <w:rFonts w:asciiTheme="majorBidi" w:hAnsiTheme="majorBidi" w:cstheme="majorBidi"/>
        </w:rPr>
        <w:t>governments and head offices</w:t>
      </w:r>
    </w:p>
    <w:p w14:paraId="70D4A3C6">
      <w:pPr>
        <w:pStyle w:val="4"/>
        <w:spacing w:line="276" w:lineRule="auto"/>
        <w:ind w:firstLine="0"/>
        <w:rPr>
          <w:rFonts w:asciiTheme="majorBidi" w:hAnsiTheme="majorBidi"/>
          <w:sz w:val="24"/>
          <w:szCs w:val="24"/>
        </w:rPr>
      </w:pPr>
      <w:bookmarkStart w:id="48" w:name="_Toc136959625"/>
      <w:r>
        <w:rPr>
          <w:rFonts w:asciiTheme="majorBidi" w:hAnsiTheme="majorBidi"/>
          <w:sz w:val="24"/>
          <w:szCs w:val="24"/>
        </w:rPr>
        <w:t>Donor agencies have effective commitments</w:t>
      </w:r>
      <w:r>
        <w:rPr>
          <w:rFonts w:asciiTheme="majorBidi" w:hAnsiTheme="majorBidi"/>
          <w:spacing w:val="-15"/>
          <w:sz w:val="24"/>
          <w:szCs w:val="24"/>
        </w:rPr>
        <w:t xml:space="preserve"> </w:t>
      </w:r>
      <w:r>
        <w:rPr>
          <w:rFonts w:asciiTheme="majorBidi" w:hAnsiTheme="majorBidi"/>
          <w:sz w:val="24"/>
          <w:szCs w:val="24"/>
        </w:rPr>
        <w:t>to</w:t>
      </w:r>
      <w:r>
        <w:rPr>
          <w:rFonts w:asciiTheme="majorBidi" w:hAnsiTheme="majorBidi"/>
          <w:spacing w:val="-15"/>
          <w:sz w:val="24"/>
          <w:szCs w:val="24"/>
        </w:rPr>
        <w:t xml:space="preserve"> </w:t>
      </w:r>
      <w:r>
        <w:rPr>
          <w:rFonts w:asciiTheme="majorBidi" w:hAnsiTheme="majorBidi"/>
          <w:sz w:val="24"/>
          <w:szCs w:val="24"/>
        </w:rPr>
        <w:t>supporting</w:t>
      </w:r>
      <w:r>
        <w:rPr>
          <w:rFonts w:asciiTheme="majorBidi" w:hAnsiTheme="majorBidi"/>
          <w:spacing w:val="-15"/>
          <w:sz w:val="24"/>
          <w:szCs w:val="24"/>
        </w:rPr>
        <w:t xml:space="preserve"> </w:t>
      </w:r>
      <w:r>
        <w:rPr>
          <w:rFonts w:asciiTheme="majorBidi" w:hAnsiTheme="majorBidi"/>
          <w:sz w:val="24"/>
          <w:szCs w:val="24"/>
        </w:rPr>
        <w:t>and financing activities of PFM reform</w:t>
      </w:r>
      <w:bookmarkEnd w:id="48"/>
    </w:p>
    <w:tbl>
      <w:tblPr>
        <w:tblStyle w:val="86"/>
        <w:tblW w:w="9648" w:type="dxa"/>
        <w:tblInd w:w="0" w:type="dxa"/>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single" w:color="C8C8C8" w:themeColor="accent3" w:themeTint="99" w:sz="4" w:space="0"/>
        </w:tblBorders>
        <w:tblLayout w:type="autofit"/>
        <w:tblCellMar>
          <w:top w:w="0" w:type="dxa"/>
          <w:left w:w="108" w:type="dxa"/>
          <w:bottom w:w="0" w:type="dxa"/>
          <w:right w:w="108" w:type="dxa"/>
        </w:tblCellMar>
      </w:tblPr>
      <w:tblGrid>
        <w:gridCol w:w="2549"/>
        <w:gridCol w:w="3229"/>
        <w:gridCol w:w="3870"/>
      </w:tblGrid>
      <w:tr w14:paraId="13996C6C">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single" w:color="C8C8C8" w:themeColor="accent3" w:themeTint="99" w:sz="4" w:space="0"/>
          </w:tblBorders>
          <w:tblCellMar>
            <w:top w:w="0" w:type="dxa"/>
            <w:left w:w="108" w:type="dxa"/>
            <w:bottom w:w="0" w:type="dxa"/>
            <w:right w:w="108" w:type="dxa"/>
          </w:tblCellMar>
        </w:tblPrEx>
        <w:tc>
          <w:tcPr>
            <w:tcW w:w="2549" w:type="dxa"/>
            <w:tcBorders>
              <w:top w:val="single" w:color="A5A5A5" w:themeColor="accent3" w:sz="4" w:space="0"/>
              <w:left w:val="single" w:color="A5A5A5" w:themeColor="accent3" w:sz="4" w:space="0"/>
              <w:bottom w:val="single" w:color="A5A5A5" w:themeColor="accent3" w:sz="4" w:space="0"/>
              <w:right w:val="nil"/>
              <w:insideH w:val="single" w:sz="4" w:space="0"/>
              <w:insideV w:val="nil"/>
            </w:tcBorders>
            <w:shd w:val="clear" w:color="auto" w:fill="A5A5A5" w:themeFill="accent3"/>
          </w:tcPr>
          <w:p w14:paraId="289BD9FE">
            <w:pPr>
              <w:autoSpaceDE w:val="0"/>
              <w:autoSpaceDN w:val="0"/>
              <w:adjustRightInd w:val="0"/>
              <w:spacing w:line="276" w:lineRule="auto"/>
              <w:ind w:right="60" w:firstLine="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Respondents</w:t>
            </w:r>
          </w:p>
        </w:tc>
        <w:tc>
          <w:tcPr>
            <w:tcW w:w="3229" w:type="dxa"/>
            <w:tcBorders>
              <w:top w:val="single" w:color="A5A5A5" w:themeColor="accent3" w:sz="4" w:space="0"/>
              <w:bottom w:val="single" w:color="A5A5A5" w:themeColor="accent3" w:sz="4" w:space="0"/>
              <w:right w:val="nil"/>
              <w:insideH w:val="single" w:sz="4" w:space="0"/>
              <w:insideV w:val="nil"/>
            </w:tcBorders>
            <w:shd w:val="clear" w:color="auto" w:fill="A5A5A5" w:themeFill="accent3"/>
          </w:tcPr>
          <w:p w14:paraId="7E06B0DF">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Frequency</w:t>
            </w:r>
          </w:p>
        </w:tc>
        <w:tc>
          <w:tcPr>
            <w:tcW w:w="3870" w:type="dxa"/>
            <w:tcBorders>
              <w:top w:val="single" w:color="A5A5A5" w:themeColor="accent3" w:sz="4" w:space="0"/>
              <w:bottom w:val="single" w:color="A5A5A5" w:themeColor="accent3" w:sz="4" w:space="0"/>
              <w:right w:val="single" w:color="A5A5A5" w:themeColor="accent3" w:sz="4" w:space="0"/>
              <w:insideH w:val="single" w:sz="4" w:space="0"/>
              <w:insideV w:val="nil"/>
            </w:tcBorders>
            <w:shd w:val="clear" w:color="auto" w:fill="A5A5A5" w:themeFill="accent3"/>
          </w:tcPr>
          <w:p w14:paraId="61BC65C7">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Percent</w:t>
            </w:r>
          </w:p>
        </w:tc>
      </w:tr>
      <w:tr w14:paraId="027084AE">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single" w:color="C8C8C8" w:themeColor="accent3" w:themeTint="99" w:sz="4" w:space="0"/>
          </w:tblBorders>
          <w:tblCellMar>
            <w:top w:w="0" w:type="dxa"/>
            <w:left w:w="108" w:type="dxa"/>
            <w:bottom w:w="0" w:type="dxa"/>
            <w:right w:w="108" w:type="dxa"/>
          </w:tblCellMar>
        </w:tblPrEx>
        <w:tc>
          <w:tcPr>
            <w:tcW w:w="2549" w:type="dxa"/>
            <w:shd w:val="clear" w:color="auto" w:fill="ECECEC" w:themeFill="accent3" w:themeFillTint="33"/>
          </w:tcPr>
          <w:p w14:paraId="7FE118A3">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strong agree</w:t>
            </w:r>
          </w:p>
        </w:tc>
        <w:tc>
          <w:tcPr>
            <w:tcW w:w="3229" w:type="dxa"/>
            <w:shd w:val="clear" w:color="auto" w:fill="ECECEC" w:themeFill="accent3" w:themeFillTint="33"/>
          </w:tcPr>
          <w:p w14:paraId="797B2843">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44</w:t>
            </w:r>
          </w:p>
        </w:tc>
        <w:tc>
          <w:tcPr>
            <w:tcW w:w="3870" w:type="dxa"/>
            <w:shd w:val="clear" w:color="auto" w:fill="ECECEC" w:themeFill="accent3" w:themeFillTint="33"/>
          </w:tcPr>
          <w:p w14:paraId="04C486B5">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47.8</w:t>
            </w:r>
          </w:p>
        </w:tc>
      </w:tr>
      <w:tr w14:paraId="6365B822">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single" w:color="C8C8C8" w:themeColor="accent3" w:themeTint="99" w:sz="4" w:space="0"/>
          </w:tblBorders>
          <w:tblCellMar>
            <w:top w:w="0" w:type="dxa"/>
            <w:left w:w="108" w:type="dxa"/>
            <w:bottom w:w="0" w:type="dxa"/>
            <w:right w:w="108" w:type="dxa"/>
          </w:tblCellMar>
        </w:tblPrEx>
        <w:tc>
          <w:tcPr>
            <w:tcW w:w="2549" w:type="dxa"/>
          </w:tcPr>
          <w:p w14:paraId="319EC028">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Agree</w:t>
            </w:r>
          </w:p>
        </w:tc>
        <w:tc>
          <w:tcPr>
            <w:tcW w:w="3229" w:type="dxa"/>
          </w:tcPr>
          <w:p w14:paraId="323E9A2C">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15</w:t>
            </w:r>
          </w:p>
        </w:tc>
        <w:tc>
          <w:tcPr>
            <w:tcW w:w="3870" w:type="dxa"/>
          </w:tcPr>
          <w:p w14:paraId="26AD5A16">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16.30</w:t>
            </w:r>
          </w:p>
        </w:tc>
      </w:tr>
      <w:tr w14:paraId="29AC5982">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single" w:color="C8C8C8" w:themeColor="accent3" w:themeTint="99" w:sz="4" w:space="0"/>
          </w:tblBorders>
          <w:tblCellMar>
            <w:top w:w="0" w:type="dxa"/>
            <w:left w:w="108" w:type="dxa"/>
            <w:bottom w:w="0" w:type="dxa"/>
            <w:right w:w="108" w:type="dxa"/>
          </w:tblCellMar>
        </w:tblPrEx>
        <w:tc>
          <w:tcPr>
            <w:tcW w:w="2549" w:type="dxa"/>
            <w:shd w:val="clear" w:color="auto" w:fill="ECECEC" w:themeFill="accent3" w:themeFillTint="33"/>
          </w:tcPr>
          <w:p w14:paraId="5055EEC1">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Disagree</w:t>
            </w:r>
          </w:p>
        </w:tc>
        <w:tc>
          <w:tcPr>
            <w:tcW w:w="3229" w:type="dxa"/>
            <w:shd w:val="clear" w:color="auto" w:fill="ECECEC" w:themeFill="accent3" w:themeFillTint="33"/>
          </w:tcPr>
          <w:p w14:paraId="0BB54C5D">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32</w:t>
            </w:r>
          </w:p>
        </w:tc>
        <w:tc>
          <w:tcPr>
            <w:tcW w:w="3870" w:type="dxa"/>
            <w:shd w:val="clear" w:color="auto" w:fill="ECECEC" w:themeFill="accent3" w:themeFillTint="33"/>
          </w:tcPr>
          <w:p w14:paraId="453F54FD">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34.78</w:t>
            </w:r>
          </w:p>
        </w:tc>
      </w:tr>
      <w:tr w14:paraId="71C084E6">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single" w:color="C8C8C8" w:themeColor="accent3" w:themeTint="99" w:sz="4" w:space="0"/>
          </w:tblBorders>
          <w:tblCellMar>
            <w:top w:w="0" w:type="dxa"/>
            <w:left w:w="108" w:type="dxa"/>
            <w:bottom w:w="0" w:type="dxa"/>
            <w:right w:w="108" w:type="dxa"/>
          </w:tblCellMar>
        </w:tblPrEx>
        <w:tc>
          <w:tcPr>
            <w:tcW w:w="2549" w:type="dxa"/>
          </w:tcPr>
          <w:p w14:paraId="53F2A3C5">
            <w:pPr>
              <w:autoSpaceDE w:val="0"/>
              <w:autoSpaceDN w:val="0"/>
              <w:adjustRightInd w:val="0"/>
              <w:spacing w:line="276" w:lineRule="auto"/>
              <w:ind w:right="60" w:firstLine="0"/>
              <w:jc w:val="center"/>
              <w:rPr>
                <w:rFonts w:asciiTheme="majorBidi" w:hAnsiTheme="majorBidi" w:cstheme="majorBidi"/>
                <w:b w:val="0"/>
                <w:bCs w:val="0"/>
                <w:caps/>
                <w:color w:val="000000"/>
                <w:sz w:val="24"/>
                <w:szCs w:val="24"/>
              </w:rPr>
            </w:pPr>
            <w:r>
              <w:rPr>
                <w:rFonts w:asciiTheme="majorBidi" w:hAnsiTheme="majorBidi" w:cstheme="majorBidi"/>
                <w:b w:val="0"/>
                <w:bCs w:val="0"/>
                <w:caps/>
                <w:color w:val="000000"/>
                <w:sz w:val="24"/>
                <w:szCs w:val="24"/>
              </w:rPr>
              <w:t>strong disagree</w:t>
            </w:r>
          </w:p>
        </w:tc>
        <w:tc>
          <w:tcPr>
            <w:tcW w:w="3229" w:type="dxa"/>
          </w:tcPr>
          <w:p w14:paraId="1E81AAB7">
            <w:pPr>
              <w:autoSpaceDE w:val="0"/>
              <w:autoSpaceDN w:val="0"/>
              <w:adjustRightInd w:val="0"/>
              <w:spacing w:line="276" w:lineRule="auto"/>
              <w:ind w:left="60" w:right="60"/>
              <w:jc w:val="center"/>
              <w:rPr>
                <w:rFonts w:asciiTheme="majorBidi" w:hAnsiTheme="majorBidi" w:cstheme="majorBidi"/>
                <w:color w:val="000000"/>
                <w:sz w:val="24"/>
                <w:szCs w:val="24"/>
              </w:rPr>
            </w:pPr>
            <w:r>
              <w:rPr>
                <w:rFonts w:asciiTheme="majorBidi" w:hAnsiTheme="majorBidi" w:cstheme="majorBidi"/>
                <w:color w:val="000000"/>
                <w:sz w:val="24"/>
                <w:szCs w:val="24"/>
              </w:rPr>
              <w:t>1</w:t>
            </w:r>
          </w:p>
        </w:tc>
        <w:tc>
          <w:tcPr>
            <w:tcW w:w="3870" w:type="dxa"/>
          </w:tcPr>
          <w:p w14:paraId="6F7EE267">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1.08</w:t>
            </w:r>
          </w:p>
        </w:tc>
      </w:tr>
      <w:tr w14:paraId="2DF5233B">
        <w:tblPrEx>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single" w:color="C8C8C8" w:themeColor="accent3" w:themeTint="99" w:sz="4" w:space="0"/>
          </w:tblBorders>
          <w:tblCellMar>
            <w:top w:w="0" w:type="dxa"/>
            <w:left w:w="108" w:type="dxa"/>
            <w:bottom w:w="0" w:type="dxa"/>
            <w:right w:w="108" w:type="dxa"/>
          </w:tblCellMar>
        </w:tblPrEx>
        <w:tc>
          <w:tcPr>
            <w:tcW w:w="2549" w:type="dxa"/>
            <w:tcBorders>
              <w:top w:val="double" w:color="A5A5A5" w:themeColor="accent3" w:sz="4" w:space="0"/>
            </w:tcBorders>
          </w:tcPr>
          <w:p w14:paraId="01B75296">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Total</w:t>
            </w:r>
          </w:p>
        </w:tc>
        <w:tc>
          <w:tcPr>
            <w:tcW w:w="3229" w:type="dxa"/>
            <w:tcBorders>
              <w:top w:val="double" w:color="A5A5A5" w:themeColor="accent3" w:sz="4" w:space="0"/>
            </w:tcBorders>
          </w:tcPr>
          <w:p w14:paraId="70E7EEAD">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92</w:t>
            </w:r>
          </w:p>
        </w:tc>
        <w:tc>
          <w:tcPr>
            <w:tcW w:w="3870" w:type="dxa"/>
            <w:tcBorders>
              <w:top w:val="double" w:color="A5A5A5" w:themeColor="accent3" w:sz="4" w:space="0"/>
            </w:tcBorders>
          </w:tcPr>
          <w:p w14:paraId="0CBC46CF">
            <w:pPr>
              <w:autoSpaceDE w:val="0"/>
              <w:autoSpaceDN w:val="0"/>
              <w:adjustRightInd w:val="0"/>
              <w:spacing w:line="276" w:lineRule="auto"/>
              <w:ind w:left="60" w:right="60"/>
              <w:jc w:val="center"/>
              <w:rPr>
                <w:rFonts w:asciiTheme="majorBidi" w:hAnsiTheme="majorBidi" w:cstheme="majorBidi"/>
                <w:b/>
                <w:bCs/>
                <w:color w:val="000000"/>
                <w:sz w:val="24"/>
                <w:szCs w:val="24"/>
              </w:rPr>
            </w:pPr>
            <w:r>
              <w:rPr>
                <w:rFonts w:asciiTheme="majorBidi" w:hAnsiTheme="majorBidi" w:cstheme="majorBidi"/>
                <w:b/>
                <w:bCs/>
                <w:color w:val="000000"/>
                <w:sz w:val="24"/>
                <w:szCs w:val="24"/>
              </w:rPr>
              <w:t>100.0</w:t>
            </w:r>
          </w:p>
        </w:tc>
      </w:tr>
    </w:tbl>
    <w:p w14:paraId="54499CBC">
      <w:pPr>
        <w:spacing w:line="276" w:lineRule="auto"/>
        <w:jc w:val="center"/>
        <w:rPr>
          <w:rFonts w:asciiTheme="majorBidi" w:hAnsiTheme="majorBidi" w:cstheme="majorBidi"/>
        </w:rPr>
      </w:pPr>
      <w:r>
        <w:rPr>
          <w:rFonts w:asciiTheme="majorBidi" w:hAnsiTheme="majorBidi" w:cstheme="majorBidi"/>
          <w:b/>
          <w:bCs/>
          <w:i/>
          <w:iCs/>
          <w:color w:val="000000"/>
        </w:rPr>
        <w:t>Source: Own survey 202</w:t>
      </w:r>
      <w:r>
        <w:rPr>
          <w:rFonts w:asciiTheme="majorBidi" w:hAnsiTheme="majorBidi" w:cstheme="majorBidi"/>
          <w:b/>
          <w:bCs/>
          <w:i/>
          <w:iCs/>
          <w:color w:val="000000"/>
          <w:lang w:val="en-US"/>
        </w:rPr>
        <w:t>3</w:t>
      </w:r>
      <w:r>
        <w:rPr>
          <w:rFonts w:asciiTheme="majorBidi" w:hAnsiTheme="majorBidi" w:cstheme="majorBidi"/>
          <w:b/>
          <w:bCs/>
          <w:i/>
          <w:iCs/>
          <w:color w:val="000000"/>
        </w:rPr>
        <w:t>(SPSS).</w:t>
      </w:r>
    </w:p>
    <w:p w14:paraId="270EBBA7">
      <w:pPr>
        <w:spacing w:line="276" w:lineRule="auto"/>
        <w:rPr>
          <w:rFonts w:asciiTheme="majorBidi" w:hAnsiTheme="majorBidi" w:cstheme="majorBidi"/>
        </w:rPr>
      </w:pPr>
      <w:r>
        <w:rPr>
          <w:rFonts w:asciiTheme="majorBidi" w:hAnsiTheme="majorBidi" w:cstheme="majorBidi"/>
        </w:rPr>
        <w:t>Figure  above show that 14 of the respondent strong agree or 38.9% 16 agree or 44.4%, 4 disagree or 11.1% 2 strong disagree or 5.6% thus the most of respondent agree Donor agencies have effective commitments</w:t>
      </w:r>
      <w:r>
        <w:rPr>
          <w:rFonts w:asciiTheme="majorBidi" w:hAnsiTheme="majorBidi" w:cstheme="majorBidi"/>
          <w:spacing w:val="-15"/>
        </w:rPr>
        <w:t xml:space="preserve"> </w:t>
      </w:r>
      <w:r>
        <w:rPr>
          <w:rFonts w:asciiTheme="majorBidi" w:hAnsiTheme="majorBidi" w:cstheme="majorBidi"/>
        </w:rPr>
        <w:t>to</w:t>
      </w:r>
      <w:r>
        <w:rPr>
          <w:rFonts w:asciiTheme="majorBidi" w:hAnsiTheme="majorBidi" w:cstheme="majorBidi"/>
          <w:spacing w:val="-15"/>
        </w:rPr>
        <w:t xml:space="preserve"> </w:t>
      </w:r>
      <w:r>
        <w:rPr>
          <w:rFonts w:asciiTheme="majorBidi" w:hAnsiTheme="majorBidi" w:cstheme="majorBidi"/>
        </w:rPr>
        <w:t>supporting</w:t>
      </w:r>
      <w:r>
        <w:rPr>
          <w:rFonts w:asciiTheme="majorBidi" w:hAnsiTheme="majorBidi" w:cstheme="majorBidi"/>
          <w:spacing w:val="-15"/>
        </w:rPr>
        <w:t xml:space="preserve"> </w:t>
      </w:r>
      <w:r>
        <w:rPr>
          <w:rFonts w:asciiTheme="majorBidi" w:hAnsiTheme="majorBidi" w:cstheme="majorBidi"/>
        </w:rPr>
        <w:t>and financing activities of PFM reform</w:t>
      </w:r>
    </w:p>
    <w:p w14:paraId="7B41C9F6">
      <w:pPr>
        <w:pStyle w:val="3"/>
        <w:spacing w:line="276" w:lineRule="auto"/>
        <w:ind w:firstLine="0"/>
        <w:rPr>
          <w:rFonts w:asciiTheme="majorBidi" w:hAnsiTheme="majorBidi"/>
          <w:sz w:val="24"/>
          <w:szCs w:val="24"/>
        </w:rPr>
      </w:pPr>
      <w:bookmarkStart w:id="49" w:name="_Toc136959626"/>
      <w:r>
        <w:rPr>
          <w:rFonts w:asciiTheme="majorBidi" w:hAnsiTheme="majorBidi"/>
          <w:sz w:val="24"/>
          <w:szCs w:val="24"/>
        </w:rPr>
        <w:t xml:space="preserve"> </w:t>
      </w:r>
      <w:r>
        <w:rPr>
          <w:rStyle w:val="42"/>
          <w:rFonts w:asciiTheme="majorBidi" w:hAnsiTheme="majorBidi" w:eastAsiaTheme="minorHAnsi"/>
          <w:b/>
          <w:bCs/>
          <w:sz w:val="24"/>
          <w:szCs w:val="24"/>
        </w:rPr>
        <w:t>Correlation between level of political commitment of effect government and public financial management reform</w:t>
      </w:r>
      <w:bookmarkEnd w:id="49"/>
    </w:p>
    <w:tbl>
      <w:tblPr>
        <w:tblStyle w:val="87"/>
        <w:tblW w:w="0" w:type="auto"/>
        <w:tblInd w:w="0" w:type="dxa"/>
        <w:tblBorders>
          <w:top w:val="single" w:color="8EAADB" w:themeColor="accent1" w:themeTint="99" w:sz="4" w:space="0"/>
          <w:left w:val="single" w:color="8EAADB" w:themeColor="accent1" w:themeTint="99" w:sz="4" w:space="0"/>
          <w:bottom w:val="single" w:color="8EAADB" w:themeColor="accent1" w:themeTint="99" w:sz="4" w:space="0"/>
          <w:right w:val="single" w:color="8EAADB" w:themeColor="accent1" w:themeTint="99" w:sz="4" w:space="0"/>
          <w:insideH w:val="single" w:color="8EAADB" w:themeColor="accent1" w:themeTint="99" w:sz="4" w:space="0"/>
          <w:insideV w:val="single" w:color="8EAADB" w:themeColor="accent1" w:themeTint="99" w:sz="4" w:space="0"/>
        </w:tblBorders>
        <w:tblLayout w:type="autofit"/>
        <w:tblCellMar>
          <w:top w:w="0" w:type="dxa"/>
          <w:left w:w="108" w:type="dxa"/>
          <w:bottom w:w="0" w:type="dxa"/>
          <w:right w:w="108" w:type="dxa"/>
        </w:tblCellMar>
      </w:tblPr>
      <w:tblGrid>
        <w:gridCol w:w="3086"/>
        <w:gridCol w:w="3078"/>
        <w:gridCol w:w="3078"/>
      </w:tblGrid>
      <w:tr w14:paraId="324DC487">
        <w:tblPrEx>
          <w:tblBorders>
            <w:top w:val="single" w:color="8EAADB" w:themeColor="accent1" w:themeTint="99" w:sz="4" w:space="0"/>
            <w:left w:val="single" w:color="8EAADB" w:themeColor="accent1" w:themeTint="99" w:sz="4" w:space="0"/>
            <w:bottom w:val="single" w:color="8EAADB" w:themeColor="accent1" w:themeTint="99" w:sz="4" w:space="0"/>
            <w:right w:val="single" w:color="8EAADB" w:themeColor="accent1" w:themeTint="99" w:sz="4" w:space="0"/>
            <w:insideH w:val="single" w:color="8EAADB" w:themeColor="accent1" w:themeTint="99" w:sz="4" w:space="0"/>
            <w:insideV w:val="single" w:color="8EAADB" w:themeColor="accent1" w:themeTint="99" w:sz="4" w:space="0"/>
          </w:tblBorders>
          <w:tblCellMar>
            <w:top w:w="0" w:type="dxa"/>
            <w:left w:w="108" w:type="dxa"/>
            <w:bottom w:w="0" w:type="dxa"/>
            <w:right w:w="108" w:type="dxa"/>
          </w:tblCellMar>
        </w:tblPrEx>
        <w:tc>
          <w:tcPr>
            <w:tcW w:w="3116" w:type="dxa"/>
            <w:tcBorders>
              <w:top w:val="single" w:color="4472C4" w:themeColor="accent1" w:sz="4" w:space="0"/>
              <w:left w:val="single" w:color="4472C4" w:themeColor="accent1" w:sz="4" w:space="0"/>
              <w:bottom w:val="single" w:color="4472C4" w:themeColor="accent1" w:sz="4" w:space="0"/>
              <w:right w:val="nil"/>
              <w:insideH w:val="single" w:sz="4" w:space="0"/>
              <w:insideV w:val="nil"/>
            </w:tcBorders>
            <w:shd w:val="clear" w:color="auto" w:fill="4472C4" w:themeFill="accent1"/>
          </w:tcPr>
          <w:p w14:paraId="25EDC978">
            <w:pPr>
              <w:autoSpaceDE w:val="0"/>
              <w:autoSpaceDN w:val="0"/>
              <w:adjustRightInd w:val="0"/>
              <w:spacing w:line="276" w:lineRule="auto"/>
              <w:ind w:left="60" w:right="60" w:firstLine="0"/>
              <w:jc w:val="left"/>
              <w:rPr>
                <w:rFonts w:asciiTheme="majorBidi" w:hAnsiTheme="majorBidi" w:cstheme="majorBidi"/>
                <w:b/>
                <w:bCs/>
                <w:color w:val="auto"/>
                <w:sz w:val="24"/>
                <w:szCs w:val="24"/>
              </w:rPr>
            </w:pPr>
            <w:r>
              <w:rPr>
                <w:rFonts w:asciiTheme="majorBidi" w:hAnsiTheme="majorBidi" w:cstheme="majorBidi"/>
                <w:b/>
                <w:bCs/>
                <w:color w:val="auto"/>
                <w:sz w:val="24"/>
                <w:szCs w:val="24"/>
              </w:rPr>
              <w:t>Pearson Correlation</w:t>
            </w:r>
          </w:p>
        </w:tc>
        <w:tc>
          <w:tcPr>
            <w:tcW w:w="3117" w:type="dxa"/>
            <w:tcBorders>
              <w:top w:val="single" w:color="4472C4" w:themeColor="accent1" w:sz="4" w:space="0"/>
              <w:bottom w:val="single" w:color="4472C4" w:themeColor="accent1" w:sz="4" w:space="0"/>
              <w:right w:val="nil"/>
              <w:insideH w:val="single" w:sz="4" w:space="0"/>
              <w:insideV w:val="nil"/>
            </w:tcBorders>
            <w:shd w:val="clear" w:color="auto" w:fill="4472C4" w:themeFill="accent1"/>
          </w:tcPr>
          <w:p w14:paraId="2E56D809">
            <w:pPr>
              <w:pStyle w:val="68"/>
              <w:spacing w:line="276" w:lineRule="auto"/>
              <w:jc w:val="left"/>
              <w:rPr>
                <w:rFonts w:asciiTheme="majorBidi" w:hAnsiTheme="majorBidi" w:cstheme="majorBidi"/>
                <w:b/>
                <w:bCs/>
                <w:color w:val="auto"/>
                <w:sz w:val="24"/>
                <w:szCs w:val="24"/>
              </w:rPr>
            </w:pPr>
            <w:bookmarkStart w:id="50" w:name="_Toc136959627"/>
            <w:r>
              <w:rPr>
                <w:rStyle w:val="42"/>
                <w:rFonts w:asciiTheme="majorBidi" w:hAnsiTheme="majorBidi"/>
                <w:b/>
                <w:bCs/>
                <w:color w:val="auto"/>
                <w:sz w:val="24"/>
                <w:szCs w:val="24"/>
              </w:rPr>
              <w:t>Level of political commitment of effect government</w:t>
            </w:r>
            <w:bookmarkEnd w:id="50"/>
          </w:p>
        </w:tc>
        <w:tc>
          <w:tcPr>
            <w:tcW w:w="3117" w:type="dxa"/>
            <w:tcBorders>
              <w:top w:val="single" w:color="4472C4" w:themeColor="accent1" w:sz="4" w:space="0"/>
              <w:bottom w:val="single" w:color="4472C4" w:themeColor="accent1" w:sz="4" w:space="0"/>
              <w:right w:val="single" w:color="4472C4" w:themeColor="accent1" w:sz="4" w:space="0"/>
              <w:insideH w:val="single" w:sz="4" w:space="0"/>
              <w:insideV w:val="nil"/>
            </w:tcBorders>
            <w:shd w:val="clear" w:color="auto" w:fill="4472C4" w:themeFill="accent1"/>
          </w:tcPr>
          <w:p w14:paraId="54AAAA22">
            <w:pPr>
              <w:spacing w:line="276" w:lineRule="auto"/>
              <w:ind w:firstLine="0"/>
              <w:jc w:val="left"/>
              <w:rPr>
                <w:rFonts w:asciiTheme="majorBidi" w:hAnsiTheme="majorBidi" w:cstheme="majorBidi"/>
                <w:b/>
                <w:bCs/>
                <w:color w:val="auto"/>
                <w:sz w:val="24"/>
                <w:szCs w:val="24"/>
              </w:rPr>
            </w:pPr>
            <w:r>
              <w:rPr>
                <w:rFonts w:asciiTheme="majorBidi" w:hAnsiTheme="majorBidi" w:cstheme="majorBidi"/>
                <w:b/>
                <w:bCs/>
                <w:color w:val="auto"/>
                <w:sz w:val="24"/>
                <w:szCs w:val="24"/>
              </w:rPr>
              <w:t>Public financial management reform</w:t>
            </w:r>
          </w:p>
        </w:tc>
      </w:tr>
      <w:tr w14:paraId="50DE6804">
        <w:tblPrEx>
          <w:tblBorders>
            <w:top w:val="single" w:color="8EAADB" w:themeColor="accent1" w:themeTint="99" w:sz="4" w:space="0"/>
            <w:left w:val="single" w:color="8EAADB" w:themeColor="accent1" w:themeTint="99" w:sz="4" w:space="0"/>
            <w:bottom w:val="single" w:color="8EAADB" w:themeColor="accent1" w:themeTint="99" w:sz="4" w:space="0"/>
            <w:right w:val="single" w:color="8EAADB" w:themeColor="accent1" w:themeTint="99" w:sz="4" w:space="0"/>
            <w:insideH w:val="single" w:color="8EAADB" w:themeColor="accent1" w:themeTint="99" w:sz="4" w:space="0"/>
            <w:insideV w:val="single" w:color="8EAADB" w:themeColor="accent1" w:themeTint="99" w:sz="4" w:space="0"/>
          </w:tblBorders>
          <w:tblCellMar>
            <w:top w:w="0" w:type="dxa"/>
            <w:left w:w="108" w:type="dxa"/>
            <w:bottom w:w="0" w:type="dxa"/>
            <w:right w:w="108" w:type="dxa"/>
          </w:tblCellMar>
        </w:tblPrEx>
        <w:tc>
          <w:tcPr>
            <w:tcW w:w="3116" w:type="dxa"/>
            <w:shd w:val="clear" w:color="auto" w:fill="D9E2F3" w:themeFill="accent1" w:themeFillTint="33"/>
          </w:tcPr>
          <w:p w14:paraId="6C793147">
            <w:pPr>
              <w:autoSpaceDE w:val="0"/>
              <w:autoSpaceDN w:val="0"/>
              <w:adjustRightInd w:val="0"/>
              <w:spacing w:line="276" w:lineRule="auto"/>
              <w:ind w:left="60" w:right="60"/>
              <w:jc w:val="left"/>
              <w:rPr>
                <w:rFonts w:asciiTheme="majorBidi" w:hAnsiTheme="majorBidi" w:cstheme="majorBidi"/>
                <w:b/>
                <w:bCs/>
                <w:color w:val="000000"/>
                <w:sz w:val="24"/>
                <w:szCs w:val="24"/>
              </w:rPr>
            </w:pPr>
            <w:r>
              <w:rPr>
                <w:rFonts w:asciiTheme="majorBidi" w:hAnsiTheme="majorBidi" w:cstheme="majorBidi"/>
                <w:b/>
                <w:bCs/>
                <w:color w:val="000000"/>
                <w:sz w:val="24"/>
                <w:szCs w:val="24"/>
              </w:rPr>
              <w:t>Sig. (2-tailed)</w:t>
            </w:r>
          </w:p>
        </w:tc>
        <w:tc>
          <w:tcPr>
            <w:tcW w:w="3117" w:type="dxa"/>
            <w:shd w:val="clear" w:color="auto" w:fill="D9E2F3" w:themeFill="accent1" w:themeFillTint="33"/>
          </w:tcPr>
          <w:p w14:paraId="00646084">
            <w:pPr>
              <w:autoSpaceDE w:val="0"/>
              <w:autoSpaceDN w:val="0"/>
              <w:adjustRightInd w:val="0"/>
              <w:spacing w:line="276" w:lineRule="auto"/>
              <w:ind w:left="60" w:right="60"/>
              <w:jc w:val="left"/>
              <w:rPr>
                <w:rFonts w:asciiTheme="majorBidi" w:hAnsiTheme="majorBidi" w:cstheme="majorBidi"/>
                <w:color w:val="000000"/>
                <w:sz w:val="24"/>
                <w:szCs w:val="24"/>
              </w:rPr>
            </w:pPr>
            <w:r>
              <w:rPr>
                <w:rFonts w:asciiTheme="majorBidi" w:hAnsiTheme="majorBidi" w:cstheme="majorBidi"/>
                <w:color w:val="000000"/>
                <w:sz w:val="24"/>
                <w:szCs w:val="24"/>
              </w:rPr>
              <w:t>1</w:t>
            </w:r>
          </w:p>
        </w:tc>
        <w:tc>
          <w:tcPr>
            <w:tcW w:w="3117" w:type="dxa"/>
            <w:shd w:val="clear" w:color="auto" w:fill="D9E2F3" w:themeFill="accent1" w:themeFillTint="33"/>
          </w:tcPr>
          <w:p w14:paraId="25D754D6">
            <w:pPr>
              <w:autoSpaceDE w:val="0"/>
              <w:autoSpaceDN w:val="0"/>
              <w:adjustRightInd w:val="0"/>
              <w:spacing w:line="276" w:lineRule="auto"/>
              <w:ind w:left="60" w:right="60"/>
              <w:jc w:val="left"/>
              <w:rPr>
                <w:rFonts w:asciiTheme="majorBidi" w:hAnsiTheme="majorBidi" w:cstheme="majorBidi"/>
                <w:color w:val="000000"/>
                <w:sz w:val="24"/>
                <w:szCs w:val="24"/>
              </w:rPr>
            </w:pPr>
            <w:r>
              <w:rPr>
                <w:rFonts w:asciiTheme="majorBidi" w:hAnsiTheme="majorBidi" w:cstheme="majorBidi"/>
                <w:color w:val="000000"/>
                <w:sz w:val="24"/>
                <w:szCs w:val="24"/>
              </w:rPr>
              <w:t>.234</w:t>
            </w:r>
          </w:p>
        </w:tc>
      </w:tr>
      <w:tr w14:paraId="35B98902">
        <w:tblPrEx>
          <w:tblBorders>
            <w:top w:val="single" w:color="8EAADB" w:themeColor="accent1" w:themeTint="99" w:sz="4" w:space="0"/>
            <w:left w:val="single" w:color="8EAADB" w:themeColor="accent1" w:themeTint="99" w:sz="4" w:space="0"/>
            <w:bottom w:val="single" w:color="8EAADB" w:themeColor="accent1" w:themeTint="99" w:sz="4" w:space="0"/>
            <w:right w:val="single" w:color="8EAADB" w:themeColor="accent1" w:themeTint="99" w:sz="4" w:space="0"/>
            <w:insideH w:val="single" w:color="8EAADB" w:themeColor="accent1" w:themeTint="99" w:sz="4" w:space="0"/>
            <w:insideV w:val="single" w:color="8EAADB" w:themeColor="accent1" w:themeTint="99" w:sz="4" w:space="0"/>
          </w:tblBorders>
          <w:tblCellMar>
            <w:top w:w="0" w:type="dxa"/>
            <w:left w:w="108" w:type="dxa"/>
            <w:bottom w:w="0" w:type="dxa"/>
            <w:right w:w="108" w:type="dxa"/>
          </w:tblCellMar>
        </w:tblPrEx>
        <w:tc>
          <w:tcPr>
            <w:tcW w:w="3116" w:type="dxa"/>
          </w:tcPr>
          <w:p w14:paraId="7F49343F">
            <w:pPr>
              <w:autoSpaceDE w:val="0"/>
              <w:autoSpaceDN w:val="0"/>
              <w:adjustRightInd w:val="0"/>
              <w:spacing w:line="276" w:lineRule="auto"/>
              <w:ind w:left="60" w:right="60"/>
              <w:jc w:val="left"/>
              <w:rPr>
                <w:rFonts w:asciiTheme="majorBidi" w:hAnsiTheme="majorBidi" w:cstheme="majorBidi"/>
                <w:b/>
                <w:bCs/>
                <w:color w:val="000000"/>
                <w:sz w:val="24"/>
                <w:szCs w:val="24"/>
              </w:rPr>
            </w:pPr>
            <w:r>
              <w:rPr>
                <w:rFonts w:asciiTheme="majorBidi" w:hAnsiTheme="majorBidi" w:cstheme="majorBidi"/>
                <w:b/>
                <w:bCs/>
                <w:color w:val="000000"/>
                <w:sz w:val="24"/>
                <w:szCs w:val="24"/>
              </w:rPr>
              <w:t>N</w:t>
            </w:r>
          </w:p>
        </w:tc>
        <w:tc>
          <w:tcPr>
            <w:tcW w:w="3117" w:type="dxa"/>
          </w:tcPr>
          <w:p w14:paraId="36664A13">
            <w:pPr>
              <w:autoSpaceDE w:val="0"/>
              <w:autoSpaceDN w:val="0"/>
              <w:adjustRightInd w:val="0"/>
              <w:spacing w:line="276" w:lineRule="auto"/>
              <w:jc w:val="left"/>
              <w:rPr>
                <w:rFonts w:asciiTheme="majorBidi" w:hAnsiTheme="majorBidi" w:cstheme="majorBidi"/>
                <w:sz w:val="24"/>
                <w:szCs w:val="24"/>
              </w:rPr>
            </w:pPr>
          </w:p>
        </w:tc>
        <w:tc>
          <w:tcPr>
            <w:tcW w:w="3117" w:type="dxa"/>
          </w:tcPr>
          <w:p w14:paraId="0D34980B">
            <w:pPr>
              <w:autoSpaceDE w:val="0"/>
              <w:autoSpaceDN w:val="0"/>
              <w:adjustRightInd w:val="0"/>
              <w:spacing w:line="276" w:lineRule="auto"/>
              <w:ind w:left="60" w:right="60"/>
              <w:jc w:val="left"/>
              <w:rPr>
                <w:rFonts w:asciiTheme="majorBidi" w:hAnsiTheme="majorBidi" w:cstheme="majorBidi"/>
                <w:color w:val="000000"/>
                <w:sz w:val="24"/>
                <w:szCs w:val="24"/>
              </w:rPr>
            </w:pPr>
            <w:r>
              <w:rPr>
                <w:rFonts w:asciiTheme="majorBidi" w:hAnsiTheme="majorBidi" w:cstheme="majorBidi"/>
                <w:color w:val="000000"/>
                <w:sz w:val="24"/>
                <w:szCs w:val="24"/>
              </w:rPr>
              <w:t>.198</w:t>
            </w:r>
          </w:p>
        </w:tc>
      </w:tr>
      <w:tr w14:paraId="7CFCB0C8">
        <w:tblPrEx>
          <w:tblBorders>
            <w:top w:val="single" w:color="8EAADB" w:themeColor="accent1" w:themeTint="99" w:sz="4" w:space="0"/>
            <w:left w:val="single" w:color="8EAADB" w:themeColor="accent1" w:themeTint="99" w:sz="4" w:space="0"/>
            <w:bottom w:val="single" w:color="8EAADB" w:themeColor="accent1" w:themeTint="99" w:sz="4" w:space="0"/>
            <w:right w:val="single" w:color="8EAADB" w:themeColor="accent1" w:themeTint="99" w:sz="4" w:space="0"/>
            <w:insideH w:val="single" w:color="8EAADB" w:themeColor="accent1" w:themeTint="99" w:sz="4" w:space="0"/>
            <w:insideV w:val="single" w:color="8EAADB" w:themeColor="accent1" w:themeTint="99" w:sz="4" w:space="0"/>
          </w:tblBorders>
          <w:tblCellMar>
            <w:top w:w="0" w:type="dxa"/>
            <w:left w:w="108" w:type="dxa"/>
            <w:bottom w:w="0" w:type="dxa"/>
            <w:right w:w="108" w:type="dxa"/>
          </w:tblCellMar>
        </w:tblPrEx>
        <w:tc>
          <w:tcPr>
            <w:tcW w:w="3116" w:type="dxa"/>
            <w:shd w:val="clear" w:color="auto" w:fill="D9E2F3" w:themeFill="accent1" w:themeFillTint="33"/>
          </w:tcPr>
          <w:p w14:paraId="29C9CF3F">
            <w:pPr>
              <w:autoSpaceDE w:val="0"/>
              <w:autoSpaceDN w:val="0"/>
              <w:adjustRightInd w:val="0"/>
              <w:spacing w:line="276" w:lineRule="auto"/>
              <w:ind w:left="60" w:right="60"/>
              <w:jc w:val="left"/>
              <w:rPr>
                <w:rFonts w:asciiTheme="majorBidi" w:hAnsiTheme="majorBidi" w:cstheme="majorBidi"/>
                <w:b/>
                <w:bCs/>
                <w:color w:val="000000"/>
                <w:sz w:val="24"/>
                <w:szCs w:val="24"/>
              </w:rPr>
            </w:pPr>
            <w:r>
              <w:rPr>
                <w:rFonts w:asciiTheme="majorBidi" w:hAnsiTheme="majorBidi" w:cstheme="majorBidi"/>
                <w:b/>
                <w:bCs/>
                <w:color w:val="000000"/>
                <w:sz w:val="24"/>
                <w:szCs w:val="24"/>
              </w:rPr>
              <w:t>Pearson Correlation</w:t>
            </w:r>
          </w:p>
        </w:tc>
        <w:tc>
          <w:tcPr>
            <w:tcW w:w="3117" w:type="dxa"/>
            <w:shd w:val="clear" w:color="auto" w:fill="D9E2F3" w:themeFill="accent1" w:themeFillTint="33"/>
          </w:tcPr>
          <w:p w14:paraId="3E205C3C">
            <w:pPr>
              <w:autoSpaceDE w:val="0"/>
              <w:autoSpaceDN w:val="0"/>
              <w:adjustRightInd w:val="0"/>
              <w:spacing w:line="276" w:lineRule="auto"/>
              <w:ind w:left="60" w:right="60"/>
              <w:jc w:val="left"/>
              <w:rPr>
                <w:rFonts w:asciiTheme="majorBidi" w:hAnsiTheme="majorBidi" w:cstheme="majorBidi"/>
                <w:color w:val="000000"/>
                <w:sz w:val="24"/>
                <w:szCs w:val="24"/>
              </w:rPr>
            </w:pPr>
            <w:r>
              <w:rPr>
                <w:rFonts w:asciiTheme="majorBidi" w:hAnsiTheme="majorBidi" w:cstheme="majorBidi"/>
                <w:color w:val="000000"/>
                <w:sz w:val="24"/>
                <w:szCs w:val="24"/>
              </w:rPr>
              <w:t>35</w:t>
            </w:r>
          </w:p>
        </w:tc>
        <w:tc>
          <w:tcPr>
            <w:tcW w:w="3117" w:type="dxa"/>
            <w:shd w:val="clear" w:color="auto" w:fill="D9E2F3" w:themeFill="accent1" w:themeFillTint="33"/>
          </w:tcPr>
          <w:p w14:paraId="7A7F340C">
            <w:pPr>
              <w:autoSpaceDE w:val="0"/>
              <w:autoSpaceDN w:val="0"/>
              <w:adjustRightInd w:val="0"/>
              <w:spacing w:line="276" w:lineRule="auto"/>
              <w:ind w:left="60" w:right="60"/>
              <w:jc w:val="left"/>
              <w:rPr>
                <w:rFonts w:asciiTheme="majorBidi" w:hAnsiTheme="majorBidi" w:cstheme="majorBidi"/>
                <w:color w:val="000000"/>
                <w:sz w:val="24"/>
                <w:szCs w:val="24"/>
              </w:rPr>
            </w:pPr>
            <w:r>
              <w:rPr>
                <w:rFonts w:asciiTheme="majorBidi" w:hAnsiTheme="majorBidi" w:cstheme="majorBidi"/>
                <w:color w:val="000000"/>
                <w:sz w:val="24"/>
                <w:szCs w:val="24"/>
              </w:rPr>
              <w:t>32</w:t>
            </w:r>
          </w:p>
        </w:tc>
      </w:tr>
      <w:tr w14:paraId="386BF4AA">
        <w:tblPrEx>
          <w:tblBorders>
            <w:top w:val="single" w:color="8EAADB" w:themeColor="accent1" w:themeTint="99" w:sz="4" w:space="0"/>
            <w:left w:val="single" w:color="8EAADB" w:themeColor="accent1" w:themeTint="99" w:sz="4" w:space="0"/>
            <w:bottom w:val="single" w:color="8EAADB" w:themeColor="accent1" w:themeTint="99" w:sz="4" w:space="0"/>
            <w:right w:val="single" w:color="8EAADB" w:themeColor="accent1" w:themeTint="99" w:sz="4" w:space="0"/>
            <w:insideH w:val="single" w:color="8EAADB" w:themeColor="accent1" w:themeTint="99" w:sz="4" w:space="0"/>
            <w:insideV w:val="single" w:color="8EAADB" w:themeColor="accent1" w:themeTint="99" w:sz="4" w:space="0"/>
          </w:tblBorders>
          <w:tblCellMar>
            <w:top w:w="0" w:type="dxa"/>
            <w:left w:w="108" w:type="dxa"/>
            <w:bottom w:w="0" w:type="dxa"/>
            <w:right w:w="108" w:type="dxa"/>
          </w:tblCellMar>
        </w:tblPrEx>
        <w:tc>
          <w:tcPr>
            <w:tcW w:w="3116" w:type="dxa"/>
          </w:tcPr>
          <w:p w14:paraId="0516F5C0">
            <w:pPr>
              <w:autoSpaceDE w:val="0"/>
              <w:autoSpaceDN w:val="0"/>
              <w:adjustRightInd w:val="0"/>
              <w:spacing w:line="276" w:lineRule="auto"/>
              <w:ind w:left="60" w:right="60"/>
              <w:jc w:val="left"/>
              <w:rPr>
                <w:rFonts w:asciiTheme="majorBidi" w:hAnsiTheme="majorBidi" w:cstheme="majorBidi"/>
                <w:b/>
                <w:bCs/>
                <w:color w:val="000000"/>
                <w:sz w:val="24"/>
                <w:szCs w:val="24"/>
              </w:rPr>
            </w:pPr>
            <w:r>
              <w:rPr>
                <w:rFonts w:asciiTheme="majorBidi" w:hAnsiTheme="majorBidi" w:cstheme="majorBidi"/>
                <w:b/>
                <w:bCs/>
                <w:color w:val="000000"/>
                <w:sz w:val="24"/>
                <w:szCs w:val="24"/>
              </w:rPr>
              <w:t>Sig. (2-tailed)</w:t>
            </w:r>
          </w:p>
        </w:tc>
        <w:tc>
          <w:tcPr>
            <w:tcW w:w="3117" w:type="dxa"/>
          </w:tcPr>
          <w:p w14:paraId="5CDE7B6C">
            <w:pPr>
              <w:autoSpaceDE w:val="0"/>
              <w:autoSpaceDN w:val="0"/>
              <w:adjustRightInd w:val="0"/>
              <w:spacing w:line="276" w:lineRule="auto"/>
              <w:ind w:left="60" w:right="60"/>
              <w:jc w:val="left"/>
              <w:rPr>
                <w:rFonts w:asciiTheme="majorBidi" w:hAnsiTheme="majorBidi" w:cstheme="majorBidi"/>
                <w:color w:val="000000"/>
                <w:sz w:val="24"/>
                <w:szCs w:val="24"/>
              </w:rPr>
            </w:pPr>
            <w:r>
              <w:rPr>
                <w:rFonts w:asciiTheme="majorBidi" w:hAnsiTheme="majorBidi" w:cstheme="majorBidi"/>
                <w:color w:val="000000"/>
                <w:sz w:val="24"/>
                <w:szCs w:val="24"/>
              </w:rPr>
              <w:t>.234</w:t>
            </w:r>
          </w:p>
        </w:tc>
        <w:tc>
          <w:tcPr>
            <w:tcW w:w="3117" w:type="dxa"/>
          </w:tcPr>
          <w:p w14:paraId="5E31D2AC">
            <w:pPr>
              <w:autoSpaceDE w:val="0"/>
              <w:autoSpaceDN w:val="0"/>
              <w:adjustRightInd w:val="0"/>
              <w:spacing w:line="276" w:lineRule="auto"/>
              <w:ind w:left="60" w:right="60"/>
              <w:jc w:val="left"/>
              <w:rPr>
                <w:rFonts w:asciiTheme="majorBidi" w:hAnsiTheme="majorBidi" w:cstheme="majorBidi"/>
                <w:color w:val="000000"/>
                <w:sz w:val="24"/>
                <w:szCs w:val="24"/>
              </w:rPr>
            </w:pPr>
            <w:r>
              <w:rPr>
                <w:rFonts w:asciiTheme="majorBidi" w:hAnsiTheme="majorBidi" w:cstheme="majorBidi"/>
                <w:color w:val="000000"/>
                <w:sz w:val="24"/>
                <w:szCs w:val="24"/>
              </w:rPr>
              <w:t>1</w:t>
            </w:r>
          </w:p>
        </w:tc>
      </w:tr>
      <w:tr w14:paraId="6A4A1A61">
        <w:tblPrEx>
          <w:tblBorders>
            <w:top w:val="single" w:color="8EAADB" w:themeColor="accent1" w:themeTint="99" w:sz="4" w:space="0"/>
            <w:left w:val="single" w:color="8EAADB" w:themeColor="accent1" w:themeTint="99" w:sz="4" w:space="0"/>
            <w:bottom w:val="single" w:color="8EAADB" w:themeColor="accent1" w:themeTint="99" w:sz="4" w:space="0"/>
            <w:right w:val="single" w:color="8EAADB" w:themeColor="accent1" w:themeTint="99" w:sz="4" w:space="0"/>
            <w:insideH w:val="single" w:color="8EAADB" w:themeColor="accent1" w:themeTint="99" w:sz="4" w:space="0"/>
            <w:insideV w:val="single" w:color="8EAADB" w:themeColor="accent1" w:themeTint="99" w:sz="4" w:space="0"/>
          </w:tblBorders>
          <w:tblCellMar>
            <w:top w:w="0" w:type="dxa"/>
            <w:left w:w="108" w:type="dxa"/>
            <w:bottom w:w="0" w:type="dxa"/>
            <w:right w:w="108" w:type="dxa"/>
          </w:tblCellMar>
        </w:tblPrEx>
        <w:tc>
          <w:tcPr>
            <w:tcW w:w="3116" w:type="dxa"/>
            <w:shd w:val="clear" w:color="auto" w:fill="D9E2F3" w:themeFill="accent1" w:themeFillTint="33"/>
          </w:tcPr>
          <w:p w14:paraId="2095F1FB">
            <w:pPr>
              <w:autoSpaceDE w:val="0"/>
              <w:autoSpaceDN w:val="0"/>
              <w:adjustRightInd w:val="0"/>
              <w:spacing w:line="276" w:lineRule="auto"/>
              <w:ind w:left="60" w:right="60"/>
              <w:jc w:val="left"/>
              <w:rPr>
                <w:rFonts w:asciiTheme="majorBidi" w:hAnsiTheme="majorBidi" w:cstheme="majorBidi"/>
                <w:b/>
                <w:bCs/>
                <w:color w:val="000000"/>
                <w:sz w:val="24"/>
                <w:szCs w:val="24"/>
              </w:rPr>
            </w:pPr>
            <w:r>
              <w:rPr>
                <w:rFonts w:asciiTheme="majorBidi" w:hAnsiTheme="majorBidi" w:cstheme="majorBidi"/>
                <w:b/>
                <w:bCs/>
                <w:color w:val="000000"/>
                <w:sz w:val="24"/>
                <w:szCs w:val="24"/>
              </w:rPr>
              <w:t>N</w:t>
            </w:r>
          </w:p>
        </w:tc>
        <w:tc>
          <w:tcPr>
            <w:tcW w:w="3117" w:type="dxa"/>
            <w:shd w:val="clear" w:color="auto" w:fill="D9E2F3" w:themeFill="accent1" w:themeFillTint="33"/>
          </w:tcPr>
          <w:p w14:paraId="3370E3F4">
            <w:pPr>
              <w:autoSpaceDE w:val="0"/>
              <w:autoSpaceDN w:val="0"/>
              <w:adjustRightInd w:val="0"/>
              <w:spacing w:line="276" w:lineRule="auto"/>
              <w:ind w:left="60" w:right="60"/>
              <w:jc w:val="left"/>
              <w:rPr>
                <w:rFonts w:asciiTheme="majorBidi" w:hAnsiTheme="majorBidi" w:cstheme="majorBidi"/>
                <w:color w:val="000000"/>
                <w:sz w:val="24"/>
                <w:szCs w:val="24"/>
              </w:rPr>
            </w:pPr>
            <w:r>
              <w:rPr>
                <w:rFonts w:asciiTheme="majorBidi" w:hAnsiTheme="majorBidi" w:cstheme="majorBidi"/>
                <w:color w:val="000000"/>
                <w:sz w:val="24"/>
                <w:szCs w:val="24"/>
              </w:rPr>
              <w:t>.198</w:t>
            </w:r>
          </w:p>
        </w:tc>
        <w:tc>
          <w:tcPr>
            <w:tcW w:w="3117" w:type="dxa"/>
            <w:shd w:val="clear" w:color="auto" w:fill="D9E2F3" w:themeFill="accent1" w:themeFillTint="33"/>
          </w:tcPr>
          <w:p w14:paraId="0CE5E335">
            <w:pPr>
              <w:autoSpaceDE w:val="0"/>
              <w:autoSpaceDN w:val="0"/>
              <w:adjustRightInd w:val="0"/>
              <w:spacing w:line="276" w:lineRule="auto"/>
              <w:jc w:val="left"/>
              <w:rPr>
                <w:rFonts w:asciiTheme="majorBidi" w:hAnsiTheme="majorBidi" w:cstheme="majorBidi"/>
                <w:sz w:val="24"/>
                <w:szCs w:val="24"/>
              </w:rPr>
            </w:pPr>
          </w:p>
        </w:tc>
      </w:tr>
      <w:tr w14:paraId="1D8E0ABA">
        <w:tblPrEx>
          <w:tblBorders>
            <w:top w:val="single" w:color="8EAADB" w:themeColor="accent1" w:themeTint="99" w:sz="4" w:space="0"/>
            <w:left w:val="single" w:color="8EAADB" w:themeColor="accent1" w:themeTint="99" w:sz="4" w:space="0"/>
            <w:bottom w:val="single" w:color="8EAADB" w:themeColor="accent1" w:themeTint="99" w:sz="4" w:space="0"/>
            <w:right w:val="single" w:color="8EAADB" w:themeColor="accent1" w:themeTint="99" w:sz="4" w:space="0"/>
            <w:insideH w:val="single" w:color="8EAADB" w:themeColor="accent1" w:themeTint="99" w:sz="4" w:space="0"/>
            <w:insideV w:val="single" w:color="8EAADB" w:themeColor="accent1" w:themeTint="99" w:sz="4" w:space="0"/>
          </w:tblBorders>
          <w:tblCellMar>
            <w:top w:w="0" w:type="dxa"/>
            <w:left w:w="108" w:type="dxa"/>
            <w:bottom w:w="0" w:type="dxa"/>
            <w:right w:w="108" w:type="dxa"/>
          </w:tblCellMar>
        </w:tblPrEx>
        <w:tc>
          <w:tcPr>
            <w:tcW w:w="3116" w:type="dxa"/>
          </w:tcPr>
          <w:p w14:paraId="37E2E8EF">
            <w:pPr>
              <w:autoSpaceDE w:val="0"/>
              <w:autoSpaceDN w:val="0"/>
              <w:adjustRightInd w:val="0"/>
              <w:spacing w:line="276" w:lineRule="auto"/>
              <w:ind w:left="60" w:right="60"/>
              <w:jc w:val="left"/>
              <w:rPr>
                <w:rFonts w:asciiTheme="majorBidi" w:hAnsiTheme="majorBidi" w:cstheme="majorBidi"/>
                <w:b/>
                <w:bCs/>
                <w:color w:val="000000"/>
                <w:sz w:val="24"/>
                <w:szCs w:val="24"/>
              </w:rPr>
            </w:pPr>
          </w:p>
        </w:tc>
        <w:tc>
          <w:tcPr>
            <w:tcW w:w="3117" w:type="dxa"/>
          </w:tcPr>
          <w:p w14:paraId="170EEFAB">
            <w:pPr>
              <w:autoSpaceDE w:val="0"/>
              <w:autoSpaceDN w:val="0"/>
              <w:adjustRightInd w:val="0"/>
              <w:spacing w:line="276" w:lineRule="auto"/>
              <w:ind w:left="60" w:right="60"/>
              <w:jc w:val="left"/>
              <w:rPr>
                <w:rFonts w:asciiTheme="majorBidi" w:hAnsiTheme="majorBidi" w:cstheme="majorBidi"/>
                <w:color w:val="000000"/>
                <w:sz w:val="24"/>
                <w:szCs w:val="24"/>
              </w:rPr>
            </w:pPr>
            <w:r>
              <w:rPr>
                <w:rFonts w:asciiTheme="majorBidi" w:hAnsiTheme="majorBidi" w:cstheme="majorBidi"/>
                <w:color w:val="000000"/>
                <w:sz w:val="24"/>
                <w:szCs w:val="24"/>
              </w:rPr>
              <w:t>92</w:t>
            </w:r>
          </w:p>
        </w:tc>
        <w:tc>
          <w:tcPr>
            <w:tcW w:w="3117" w:type="dxa"/>
          </w:tcPr>
          <w:p w14:paraId="330D3A9B">
            <w:pPr>
              <w:autoSpaceDE w:val="0"/>
              <w:autoSpaceDN w:val="0"/>
              <w:adjustRightInd w:val="0"/>
              <w:spacing w:line="276" w:lineRule="auto"/>
              <w:ind w:left="60" w:right="60"/>
              <w:jc w:val="left"/>
              <w:rPr>
                <w:rFonts w:asciiTheme="majorBidi" w:hAnsiTheme="majorBidi" w:cstheme="majorBidi"/>
                <w:color w:val="000000"/>
                <w:sz w:val="24"/>
                <w:szCs w:val="24"/>
              </w:rPr>
            </w:pPr>
            <w:r>
              <w:rPr>
                <w:rFonts w:asciiTheme="majorBidi" w:hAnsiTheme="majorBidi" w:cstheme="majorBidi"/>
                <w:color w:val="000000"/>
                <w:sz w:val="24"/>
                <w:szCs w:val="24"/>
              </w:rPr>
              <w:t>92</w:t>
            </w:r>
          </w:p>
        </w:tc>
      </w:tr>
    </w:tbl>
    <w:p w14:paraId="08492ABB">
      <w:pPr>
        <w:spacing w:line="276" w:lineRule="auto"/>
        <w:jc w:val="center"/>
        <w:rPr>
          <w:rFonts w:asciiTheme="majorBidi" w:hAnsiTheme="majorBidi" w:cstheme="majorBidi"/>
        </w:rPr>
      </w:pPr>
      <w:r>
        <w:rPr>
          <w:rFonts w:asciiTheme="majorBidi" w:hAnsiTheme="majorBidi" w:cstheme="majorBidi"/>
          <w:b/>
          <w:bCs/>
          <w:i/>
          <w:iCs/>
          <w:color w:val="000000"/>
        </w:rPr>
        <w:t>Source: Own survey 202</w:t>
      </w:r>
      <w:r>
        <w:rPr>
          <w:rFonts w:asciiTheme="majorBidi" w:hAnsiTheme="majorBidi" w:cstheme="majorBidi"/>
          <w:b/>
          <w:bCs/>
          <w:i/>
          <w:iCs/>
          <w:color w:val="000000"/>
          <w:lang w:val="en-US"/>
        </w:rPr>
        <w:t>3</w:t>
      </w:r>
      <w:r>
        <w:rPr>
          <w:rFonts w:asciiTheme="majorBidi" w:hAnsiTheme="majorBidi" w:cstheme="majorBidi"/>
          <w:b/>
          <w:bCs/>
          <w:i/>
          <w:iCs/>
          <w:color w:val="000000"/>
        </w:rPr>
        <w:t>(SPSS).</w:t>
      </w:r>
    </w:p>
    <w:p w14:paraId="79F90034">
      <w:pPr>
        <w:spacing w:line="276" w:lineRule="auto"/>
        <w:rPr>
          <w:rFonts w:asciiTheme="majorBidi" w:hAnsiTheme="majorBidi" w:cstheme="majorBidi"/>
        </w:rPr>
      </w:pPr>
      <w:r>
        <w:rPr>
          <w:rFonts w:asciiTheme="majorBidi" w:hAnsiTheme="majorBidi" w:cstheme="majorBidi"/>
        </w:rPr>
        <w:t>The findings of person’s correlation coefficient for level of Level of political commitment of  effect government and Public financial management reform in Puntland, Somalia were r = 0.234 which is weak positive moderate relation correlation meaning that when level of Level of political commitment of  effect governments increases, level Public financial management reform also increases at middle rate . The value of significance is 0.0198 which is less than a = 0.05 level of significance.</w:t>
      </w:r>
    </w:p>
    <w:p w14:paraId="6089B48A">
      <w:pPr>
        <w:spacing w:line="276" w:lineRule="auto"/>
        <w:rPr>
          <w:rFonts w:asciiTheme="majorBidi" w:hAnsiTheme="majorBidi" w:cstheme="majorBidi"/>
        </w:rPr>
      </w:pPr>
      <w:r>
        <w:rPr>
          <w:rFonts w:asciiTheme="majorBidi" w:hAnsiTheme="majorBidi" w:cstheme="majorBidi"/>
        </w:rPr>
        <w:t>This result supports the theory According to Kunene (2008), Finsh &amp; Fafinski (2007), and Botha (2009), legal skills include the capacity to deal with company forms, contractual laws, corporate ethics, trademarks, logos, design, and getting licenses. A successful entrepreneur requires all of these abilities, yet a lack of one or more of them might result in failure</w:t>
      </w:r>
    </w:p>
    <w:p w14:paraId="1DDFF078">
      <w:pPr>
        <w:spacing w:line="276" w:lineRule="auto"/>
        <w:rPr>
          <w:rFonts w:asciiTheme="majorBidi" w:hAnsiTheme="majorBidi" w:cstheme="majorBidi"/>
          <w:lang w:val="en-US"/>
        </w:rPr>
      </w:pPr>
      <w:r>
        <w:rPr>
          <w:rFonts w:asciiTheme="majorBidi" w:hAnsiTheme="majorBidi" w:cstheme="majorBidi"/>
        </w:rPr>
        <w:t>This results shows Government policies has negative and positive impact of the financial operations  these positive was be included creation of employment, increase of expenditure reduction of tax on business sector , encouraging local production and discouraging importation of good and service , making subsidies for small scale business . But in negative side policies are included, high tax payment, low expenditure of government In Puntland, taxation is the single largest source of government budgetary resources. Between 1998 up to 2010, tax revenue constituted80.4% of total government revenue (including grants)</w:t>
      </w:r>
    </w:p>
    <w:p w14:paraId="3318F95F">
      <w:pPr>
        <w:pStyle w:val="4"/>
        <w:spacing w:line="276" w:lineRule="auto"/>
        <w:ind w:firstLine="0"/>
        <w:rPr>
          <w:rFonts w:asciiTheme="majorBidi" w:hAnsiTheme="majorBidi"/>
          <w:sz w:val="24"/>
          <w:szCs w:val="24"/>
        </w:rPr>
      </w:pPr>
      <w:bookmarkStart w:id="51" w:name="_Toc136959628"/>
      <w:r>
        <w:rPr>
          <w:rFonts w:asciiTheme="majorBidi" w:hAnsiTheme="majorBidi"/>
          <w:sz w:val="24"/>
          <w:szCs w:val="24"/>
        </w:rPr>
        <w:t>Correlation between level of Technical capacity of effects of financial management reforms system and financial operations</w:t>
      </w:r>
      <w:bookmarkEnd w:id="51"/>
      <w:r>
        <w:rPr>
          <w:rFonts w:asciiTheme="majorBidi" w:hAnsiTheme="majorBidi"/>
          <w:sz w:val="24"/>
          <w:szCs w:val="24"/>
        </w:rPr>
        <w:t xml:space="preserve"> </w:t>
      </w:r>
    </w:p>
    <w:tbl>
      <w:tblPr>
        <w:tblStyle w:val="94"/>
        <w:tblW w:w="0" w:type="auto"/>
        <w:tblInd w:w="0" w:type="dxa"/>
        <w:tblBorders>
          <w:top w:val="single" w:color="F4B083" w:themeColor="accent2" w:themeTint="99" w:sz="4" w:space="0"/>
          <w:left w:val="single" w:color="F4B083" w:themeColor="accent2" w:themeTint="99" w:sz="4" w:space="0"/>
          <w:bottom w:val="single" w:color="F4B083" w:themeColor="accent2" w:themeTint="99" w:sz="4" w:space="0"/>
          <w:right w:val="single" w:color="F4B083" w:themeColor="accent2" w:themeTint="99" w:sz="4" w:space="0"/>
          <w:insideH w:val="single" w:color="F4B083" w:themeColor="accent2" w:themeTint="99" w:sz="4" w:space="0"/>
          <w:insideV w:val="single" w:color="F4B083" w:themeColor="accent2" w:themeTint="99" w:sz="4" w:space="0"/>
        </w:tblBorders>
        <w:tblLayout w:type="autofit"/>
        <w:tblCellMar>
          <w:top w:w="0" w:type="dxa"/>
          <w:left w:w="108" w:type="dxa"/>
          <w:bottom w:w="0" w:type="dxa"/>
          <w:right w:w="108" w:type="dxa"/>
        </w:tblCellMar>
      </w:tblPr>
      <w:tblGrid>
        <w:gridCol w:w="3082"/>
        <w:gridCol w:w="3074"/>
        <w:gridCol w:w="3086"/>
      </w:tblGrid>
      <w:tr w14:paraId="0B29F4EA">
        <w:tblPrEx>
          <w:tblBorders>
            <w:top w:val="single" w:color="F4B083" w:themeColor="accent2" w:themeTint="99" w:sz="4" w:space="0"/>
            <w:left w:val="single" w:color="F4B083" w:themeColor="accent2" w:themeTint="99" w:sz="4" w:space="0"/>
            <w:bottom w:val="single" w:color="F4B083" w:themeColor="accent2" w:themeTint="99" w:sz="4" w:space="0"/>
            <w:right w:val="single" w:color="F4B083" w:themeColor="accent2" w:themeTint="99" w:sz="4" w:space="0"/>
            <w:insideH w:val="single" w:color="F4B083" w:themeColor="accent2" w:themeTint="99" w:sz="4" w:space="0"/>
            <w:insideV w:val="single" w:color="F4B083" w:themeColor="accent2" w:themeTint="99" w:sz="4" w:space="0"/>
          </w:tblBorders>
          <w:tblCellMar>
            <w:top w:w="0" w:type="dxa"/>
            <w:left w:w="108" w:type="dxa"/>
            <w:bottom w:w="0" w:type="dxa"/>
            <w:right w:w="108" w:type="dxa"/>
          </w:tblCellMar>
        </w:tblPrEx>
        <w:tc>
          <w:tcPr>
            <w:tcW w:w="3116" w:type="dxa"/>
            <w:tcBorders>
              <w:bottom w:val="single" w:color="F4B083" w:themeColor="accent2" w:themeTint="99" w:sz="12" w:space="0"/>
              <w:insideH w:val="single" w:sz="12" w:space="0"/>
            </w:tcBorders>
          </w:tcPr>
          <w:p w14:paraId="602379D1">
            <w:pPr>
              <w:autoSpaceDE w:val="0"/>
              <w:autoSpaceDN w:val="0"/>
              <w:adjustRightInd w:val="0"/>
              <w:spacing w:line="276" w:lineRule="auto"/>
              <w:ind w:left="60" w:right="60" w:firstLine="0"/>
              <w:jc w:val="left"/>
              <w:rPr>
                <w:rFonts w:asciiTheme="majorBidi" w:hAnsiTheme="majorBidi" w:cstheme="majorBidi"/>
                <w:b/>
                <w:bCs/>
                <w:color w:val="auto"/>
                <w:sz w:val="24"/>
                <w:szCs w:val="24"/>
              </w:rPr>
            </w:pPr>
            <w:r>
              <w:rPr>
                <w:rFonts w:asciiTheme="majorBidi" w:hAnsiTheme="majorBidi" w:cstheme="majorBidi"/>
                <w:b/>
                <w:bCs/>
                <w:color w:val="auto"/>
                <w:sz w:val="24"/>
                <w:szCs w:val="24"/>
              </w:rPr>
              <w:t>Pearson Correlation</w:t>
            </w:r>
          </w:p>
        </w:tc>
        <w:tc>
          <w:tcPr>
            <w:tcW w:w="3117" w:type="dxa"/>
            <w:tcBorders>
              <w:bottom w:val="single" w:color="F4B083" w:themeColor="accent2" w:themeTint="99" w:sz="12" w:space="0"/>
              <w:insideH w:val="single" w:sz="12" w:space="0"/>
            </w:tcBorders>
          </w:tcPr>
          <w:p w14:paraId="4C052BA1">
            <w:pPr>
              <w:pStyle w:val="68"/>
              <w:spacing w:line="276" w:lineRule="auto"/>
              <w:jc w:val="left"/>
              <w:rPr>
                <w:rFonts w:asciiTheme="majorBidi" w:hAnsiTheme="majorBidi" w:cstheme="majorBidi"/>
                <w:b/>
                <w:bCs/>
                <w:color w:val="auto"/>
                <w:sz w:val="24"/>
                <w:szCs w:val="24"/>
              </w:rPr>
            </w:pPr>
            <w:r>
              <w:rPr>
                <w:rFonts w:asciiTheme="majorBidi" w:hAnsiTheme="majorBidi" w:cstheme="majorBidi"/>
                <w:b/>
                <w:bCs/>
                <w:color w:val="auto"/>
                <w:sz w:val="24"/>
                <w:szCs w:val="24"/>
              </w:rPr>
              <w:t>level of technical capacity of effects of financial management reforms system</w:t>
            </w:r>
          </w:p>
        </w:tc>
        <w:tc>
          <w:tcPr>
            <w:tcW w:w="3117" w:type="dxa"/>
            <w:tcBorders>
              <w:bottom w:val="single" w:color="F4B083" w:themeColor="accent2" w:themeTint="99" w:sz="12" w:space="0"/>
              <w:insideH w:val="single" w:sz="12" w:space="0"/>
            </w:tcBorders>
          </w:tcPr>
          <w:p w14:paraId="7D679E1F">
            <w:pPr>
              <w:autoSpaceDE w:val="0"/>
              <w:autoSpaceDN w:val="0"/>
              <w:adjustRightInd w:val="0"/>
              <w:spacing w:line="276" w:lineRule="auto"/>
              <w:ind w:left="60" w:right="60"/>
              <w:jc w:val="left"/>
              <w:rPr>
                <w:rFonts w:asciiTheme="majorBidi" w:hAnsiTheme="majorBidi" w:cstheme="majorBidi"/>
                <w:b/>
                <w:bCs/>
                <w:color w:val="auto"/>
                <w:sz w:val="24"/>
                <w:szCs w:val="24"/>
              </w:rPr>
            </w:pPr>
            <w:r>
              <w:rPr>
                <w:rFonts w:asciiTheme="majorBidi" w:hAnsiTheme="majorBidi" w:cstheme="majorBidi"/>
                <w:b/>
                <w:bCs/>
                <w:color w:val="auto"/>
                <w:sz w:val="24"/>
                <w:szCs w:val="24"/>
              </w:rPr>
              <w:t>financial operations</w:t>
            </w:r>
          </w:p>
        </w:tc>
      </w:tr>
      <w:tr w14:paraId="361FF230">
        <w:tblPrEx>
          <w:tblBorders>
            <w:top w:val="single" w:color="F4B083" w:themeColor="accent2" w:themeTint="99" w:sz="4" w:space="0"/>
            <w:left w:val="single" w:color="F4B083" w:themeColor="accent2" w:themeTint="99" w:sz="4" w:space="0"/>
            <w:bottom w:val="single" w:color="F4B083" w:themeColor="accent2" w:themeTint="99" w:sz="4" w:space="0"/>
            <w:right w:val="single" w:color="F4B083" w:themeColor="accent2" w:themeTint="99" w:sz="4" w:space="0"/>
            <w:insideH w:val="single" w:color="F4B083" w:themeColor="accent2" w:themeTint="99" w:sz="4" w:space="0"/>
            <w:insideV w:val="single" w:color="F4B083" w:themeColor="accent2" w:themeTint="99" w:sz="4" w:space="0"/>
          </w:tblBorders>
          <w:tblCellMar>
            <w:top w:w="0" w:type="dxa"/>
            <w:left w:w="108" w:type="dxa"/>
            <w:bottom w:w="0" w:type="dxa"/>
            <w:right w:w="108" w:type="dxa"/>
          </w:tblCellMar>
        </w:tblPrEx>
        <w:tc>
          <w:tcPr>
            <w:tcW w:w="3116" w:type="dxa"/>
            <w:shd w:val="clear" w:color="auto" w:fill="FBE4D5" w:themeFill="accent2" w:themeFillTint="33"/>
          </w:tcPr>
          <w:p w14:paraId="63A56CFA">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Sig. (2-tailed)</w:t>
            </w:r>
          </w:p>
        </w:tc>
        <w:tc>
          <w:tcPr>
            <w:tcW w:w="3117" w:type="dxa"/>
            <w:shd w:val="clear" w:color="auto" w:fill="FBE4D5" w:themeFill="accent2" w:themeFillTint="33"/>
          </w:tcPr>
          <w:p w14:paraId="5C52A6F5">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w:t>
            </w:r>
          </w:p>
        </w:tc>
        <w:tc>
          <w:tcPr>
            <w:tcW w:w="3117" w:type="dxa"/>
            <w:shd w:val="clear" w:color="auto" w:fill="FBE4D5" w:themeFill="accent2" w:themeFillTint="33"/>
          </w:tcPr>
          <w:p w14:paraId="69DBF3AC">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.392</w:t>
            </w:r>
            <w:r>
              <w:rPr>
                <w:rFonts w:asciiTheme="majorBidi" w:hAnsiTheme="majorBidi" w:cstheme="majorBidi"/>
                <w:color w:val="000000"/>
                <w:sz w:val="24"/>
                <w:szCs w:val="24"/>
                <w:vertAlign w:val="superscript"/>
              </w:rPr>
              <w:t>*</w:t>
            </w:r>
          </w:p>
        </w:tc>
      </w:tr>
      <w:tr w14:paraId="436CA1F8">
        <w:tblPrEx>
          <w:tblBorders>
            <w:top w:val="single" w:color="F4B083" w:themeColor="accent2" w:themeTint="99" w:sz="4" w:space="0"/>
            <w:left w:val="single" w:color="F4B083" w:themeColor="accent2" w:themeTint="99" w:sz="4" w:space="0"/>
            <w:bottom w:val="single" w:color="F4B083" w:themeColor="accent2" w:themeTint="99" w:sz="4" w:space="0"/>
            <w:right w:val="single" w:color="F4B083" w:themeColor="accent2" w:themeTint="99" w:sz="4" w:space="0"/>
            <w:insideH w:val="single" w:color="F4B083" w:themeColor="accent2" w:themeTint="99" w:sz="4" w:space="0"/>
            <w:insideV w:val="single" w:color="F4B083" w:themeColor="accent2" w:themeTint="99" w:sz="4" w:space="0"/>
          </w:tblBorders>
          <w:tblCellMar>
            <w:top w:w="0" w:type="dxa"/>
            <w:left w:w="108" w:type="dxa"/>
            <w:bottom w:w="0" w:type="dxa"/>
            <w:right w:w="108" w:type="dxa"/>
          </w:tblCellMar>
        </w:tblPrEx>
        <w:tc>
          <w:tcPr>
            <w:tcW w:w="3116" w:type="dxa"/>
          </w:tcPr>
          <w:p w14:paraId="029AFA13">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N</w:t>
            </w:r>
          </w:p>
        </w:tc>
        <w:tc>
          <w:tcPr>
            <w:tcW w:w="3117" w:type="dxa"/>
          </w:tcPr>
          <w:p w14:paraId="0E786E31">
            <w:pPr>
              <w:autoSpaceDE w:val="0"/>
              <w:autoSpaceDN w:val="0"/>
              <w:adjustRightInd w:val="0"/>
              <w:spacing w:line="276" w:lineRule="auto"/>
              <w:rPr>
                <w:rFonts w:asciiTheme="majorBidi" w:hAnsiTheme="majorBidi" w:cstheme="majorBidi"/>
                <w:color w:val="C55A11" w:themeColor="accent2" w:themeShade="BF"/>
                <w:sz w:val="24"/>
                <w:szCs w:val="24"/>
              </w:rPr>
            </w:pPr>
          </w:p>
        </w:tc>
        <w:tc>
          <w:tcPr>
            <w:tcW w:w="3117" w:type="dxa"/>
          </w:tcPr>
          <w:p w14:paraId="3D2805A0">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.026</w:t>
            </w:r>
          </w:p>
        </w:tc>
      </w:tr>
      <w:tr w14:paraId="1BA4B698">
        <w:tblPrEx>
          <w:tblBorders>
            <w:top w:val="single" w:color="F4B083" w:themeColor="accent2" w:themeTint="99" w:sz="4" w:space="0"/>
            <w:left w:val="single" w:color="F4B083" w:themeColor="accent2" w:themeTint="99" w:sz="4" w:space="0"/>
            <w:bottom w:val="single" w:color="F4B083" w:themeColor="accent2" w:themeTint="99" w:sz="4" w:space="0"/>
            <w:right w:val="single" w:color="F4B083" w:themeColor="accent2" w:themeTint="99" w:sz="4" w:space="0"/>
            <w:insideH w:val="single" w:color="F4B083" w:themeColor="accent2" w:themeTint="99" w:sz="4" w:space="0"/>
            <w:insideV w:val="single" w:color="F4B083" w:themeColor="accent2" w:themeTint="99" w:sz="4" w:space="0"/>
          </w:tblBorders>
          <w:tblCellMar>
            <w:top w:w="0" w:type="dxa"/>
            <w:left w:w="108" w:type="dxa"/>
            <w:bottom w:w="0" w:type="dxa"/>
            <w:right w:w="108" w:type="dxa"/>
          </w:tblCellMar>
        </w:tblPrEx>
        <w:tc>
          <w:tcPr>
            <w:tcW w:w="3116" w:type="dxa"/>
            <w:shd w:val="clear" w:color="auto" w:fill="FBE4D5" w:themeFill="accent2" w:themeFillTint="33"/>
          </w:tcPr>
          <w:p w14:paraId="398E6E93">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Pearson Correlation</w:t>
            </w:r>
          </w:p>
        </w:tc>
        <w:tc>
          <w:tcPr>
            <w:tcW w:w="3117" w:type="dxa"/>
            <w:shd w:val="clear" w:color="auto" w:fill="FBE4D5" w:themeFill="accent2" w:themeFillTint="33"/>
          </w:tcPr>
          <w:p w14:paraId="2834E22F">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35</w:t>
            </w:r>
          </w:p>
        </w:tc>
        <w:tc>
          <w:tcPr>
            <w:tcW w:w="3117" w:type="dxa"/>
            <w:shd w:val="clear" w:color="auto" w:fill="FBE4D5" w:themeFill="accent2" w:themeFillTint="33"/>
          </w:tcPr>
          <w:p w14:paraId="0FD5E451">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32</w:t>
            </w:r>
          </w:p>
        </w:tc>
      </w:tr>
      <w:tr w14:paraId="74EA03D9">
        <w:tblPrEx>
          <w:tblBorders>
            <w:top w:val="single" w:color="F4B083" w:themeColor="accent2" w:themeTint="99" w:sz="4" w:space="0"/>
            <w:left w:val="single" w:color="F4B083" w:themeColor="accent2" w:themeTint="99" w:sz="4" w:space="0"/>
            <w:bottom w:val="single" w:color="F4B083" w:themeColor="accent2" w:themeTint="99" w:sz="4" w:space="0"/>
            <w:right w:val="single" w:color="F4B083" w:themeColor="accent2" w:themeTint="99" w:sz="4" w:space="0"/>
            <w:insideH w:val="single" w:color="F4B083" w:themeColor="accent2" w:themeTint="99" w:sz="4" w:space="0"/>
            <w:insideV w:val="single" w:color="F4B083" w:themeColor="accent2" w:themeTint="99" w:sz="4" w:space="0"/>
          </w:tblBorders>
          <w:tblCellMar>
            <w:top w:w="0" w:type="dxa"/>
            <w:left w:w="108" w:type="dxa"/>
            <w:bottom w:w="0" w:type="dxa"/>
            <w:right w:w="108" w:type="dxa"/>
          </w:tblCellMar>
        </w:tblPrEx>
        <w:tc>
          <w:tcPr>
            <w:tcW w:w="3116" w:type="dxa"/>
          </w:tcPr>
          <w:p w14:paraId="18FD9D6B">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Sig. (2-tailed)</w:t>
            </w:r>
          </w:p>
        </w:tc>
        <w:tc>
          <w:tcPr>
            <w:tcW w:w="3117" w:type="dxa"/>
          </w:tcPr>
          <w:p w14:paraId="548CCE30">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.392</w:t>
            </w:r>
            <w:r>
              <w:rPr>
                <w:rFonts w:asciiTheme="majorBidi" w:hAnsiTheme="majorBidi" w:cstheme="majorBidi"/>
                <w:color w:val="000000"/>
                <w:sz w:val="24"/>
                <w:szCs w:val="24"/>
                <w:vertAlign w:val="superscript"/>
              </w:rPr>
              <w:t>*</w:t>
            </w:r>
          </w:p>
        </w:tc>
        <w:tc>
          <w:tcPr>
            <w:tcW w:w="3117" w:type="dxa"/>
          </w:tcPr>
          <w:p w14:paraId="38CEE9BF">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w:t>
            </w:r>
          </w:p>
        </w:tc>
      </w:tr>
      <w:tr w14:paraId="594503F1">
        <w:tblPrEx>
          <w:tblBorders>
            <w:top w:val="single" w:color="F4B083" w:themeColor="accent2" w:themeTint="99" w:sz="4" w:space="0"/>
            <w:left w:val="single" w:color="F4B083" w:themeColor="accent2" w:themeTint="99" w:sz="4" w:space="0"/>
            <w:bottom w:val="single" w:color="F4B083" w:themeColor="accent2" w:themeTint="99" w:sz="4" w:space="0"/>
            <w:right w:val="single" w:color="F4B083" w:themeColor="accent2" w:themeTint="99" w:sz="4" w:space="0"/>
            <w:insideH w:val="single" w:color="F4B083" w:themeColor="accent2" w:themeTint="99" w:sz="4" w:space="0"/>
            <w:insideV w:val="single" w:color="F4B083" w:themeColor="accent2" w:themeTint="99" w:sz="4" w:space="0"/>
          </w:tblBorders>
          <w:tblCellMar>
            <w:top w:w="0" w:type="dxa"/>
            <w:left w:w="108" w:type="dxa"/>
            <w:bottom w:w="0" w:type="dxa"/>
            <w:right w:w="108" w:type="dxa"/>
          </w:tblCellMar>
        </w:tblPrEx>
        <w:tc>
          <w:tcPr>
            <w:tcW w:w="3116" w:type="dxa"/>
            <w:shd w:val="clear" w:color="auto" w:fill="FBE4D5" w:themeFill="accent2" w:themeFillTint="33"/>
          </w:tcPr>
          <w:p w14:paraId="50A29644">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N</w:t>
            </w:r>
          </w:p>
        </w:tc>
        <w:tc>
          <w:tcPr>
            <w:tcW w:w="3117" w:type="dxa"/>
            <w:shd w:val="clear" w:color="auto" w:fill="FBE4D5" w:themeFill="accent2" w:themeFillTint="33"/>
          </w:tcPr>
          <w:p w14:paraId="086B810E">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.026</w:t>
            </w:r>
          </w:p>
        </w:tc>
        <w:tc>
          <w:tcPr>
            <w:tcW w:w="3117" w:type="dxa"/>
            <w:shd w:val="clear" w:color="auto" w:fill="FBE4D5" w:themeFill="accent2" w:themeFillTint="33"/>
          </w:tcPr>
          <w:p w14:paraId="1F429B1A">
            <w:pPr>
              <w:autoSpaceDE w:val="0"/>
              <w:autoSpaceDN w:val="0"/>
              <w:adjustRightInd w:val="0"/>
              <w:spacing w:line="276" w:lineRule="auto"/>
              <w:rPr>
                <w:rFonts w:asciiTheme="majorBidi" w:hAnsiTheme="majorBidi" w:cstheme="majorBidi"/>
                <w:color w:val="C55A11" w:themeColor="accent2" w:themeShade="BF"/>
                <w:sz w:val="24"/>
                <w:szCs w:val="24"/>
              </w:rPr>
            </w:pPr>
          </w:p>
        </w:tc>
      </w:tr>
      <w:tr w14:paraId="7D603E5F">
        <w:tblPrEx>
          <w:tblBorders>
            <w:top w:val="single" w:color="F4B083" w:themeColor="accent2" w:themeTint="99" w:sz="4" w:space="0"/>
            <w:left w:val="single" w:color="F4B083" w:themeColor="accent2" w:themeTint="99" w:sz="4" w:space="0"/>
            <w:bottom w:val="single" w:color="F4B083" w:themeColor="accent2" w:themeTint="99" w:sz="4" w:space="0"/>
            <w:right w:val="single" w:color="F4B083" w:themeColor="accent2" w:themeTint="99" w:sz="4" w:space="0"/>
            <w:insideH w:val="single" w:color="F4B083" w:themeColor="accent2" w:themeTint="99" w:sz="4" w:space="0"/>
            <w:insideV w:val="single" w:color="F4B083" w:themeColor="accent2" w:themeTint="99" w:sz="4" w:space="0"/>
          </w:tblBorders>
          <w:tblCellMar>
            <w:top w:w="0" w:type="dxa"/>
            <w:left w:w="108" w:type="dxa"/>
            <w:bottom w:w="0" w:type="dxa"/>
            <w:right w:w="108" w:type="dxa"/>
          </w:tblCellMar>
        </w:tblPrEx>
        <w:tc>
          <w:tcPr>
            <w:tcW w:w="3116" w:type="dxa"/>
          </w:tcPr>
          <w:p w14:paraId="47B52A0A">
            <w:pPr>
              <w:autoSpaceDE w:val="0"/>
              <w:autoSpaceDN w:val="0"/>
              <w:adjustRightInd w:val="0"/>
              <w:spacing w:line="276" w:lineRule="auto"/>
              <w:ind w:left="60" w:right="60"/>
              <w:rPr>
                <w:rFonts w:asciiTheme="majorBidi" w:hAnsiTheme="majorBidi" w:cstheme="majorBidi"/>
                <w:b/>
                <w:bCs/>
                <w:color w:val="000000"/>
                <w:sz w:val="24"/>
                <w:szCs w:val="24"/>
              </w:rPr>
            </w:pPr>
          </w:p>
        </w:tc>
        <w:tc>
          <w:tcPr>
            <w:tcW w:w="3117" w:type="dxa"/>
          </w:tcPr>
          <w:p w14:paraId="0C1A9448">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91</w:t>
            </w:r>
          </w:p>
        </w:tc>
        <w:tc>
          <w:tcPr>
            <w:tcW w:w="3117" w:type="dxa"/>
          </w:tcPr>
          <w:p w14:paraId="72B74F0B">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92</w:t>
            </w:r>
          </w:p>
        </w:tc>
      </w:tr>
    </w:tbl>
    <w:p w14:paraId="3DED0801">
      <w:pPr>
        <w:spacing w:line="276" w:lineRule="auto"/>
        <w:jc w:val="center"/>
        <w:rPr>
          <w:rFonts w:asciiTheme="majorBidi" w:hAnsiTheme="majorBidi" w:cstheme="majorBidi"/>
        </w:rPr>
      </w:pPr>
      <w:r>
        <w:rPr>
          <w:rFonts w:asciiTheme="majorBidi" w:hAnsiTheme="majorBidi" w:cstheme="majorBidi"/>
          <w:b/>
          <w:bCs/>
          <w:i/>
          <w:iCs/>
          <w:color w:val="000000"/>
        </w:rPr>
        <w:t>Source: Own survey 202</w:t>
      </w:r>
      <w:r>
        <w:rPr>
          <w:rFonts w:asciiTheme="majorBidi" w:hAnsiTheme="majorBidi" w:cstheme="majorBidi"/>
          <w:b/>
          <w:bCs/>
          <w:i/>
          <w:iCs/>
          <w:color w:val="000000"/>
          <w:lang w:val="en-US"/>
        </w:rPr>
        <w:t>3</w:t>
      </w:r>
      <w:r>
        <w:rPr>
          <w:rFonts w:asciiTheme="majorBidi" w:hAnsiTheme="majorBidi" w:cstheme="majorBidi"/>
          <w:b/>
          <w:bCs/>
          <w:i/>
          <w:iCs/>
          <w:color w:val="000000"/>
        </w:rPr>
        <w:t>(SPSS).</w:t>
      </w:r>
    </w:p>
    <w:p w14:paraId="4958F2D8">
      <w:pPr>
        <w:spacing w:line="276" w:lineRule="auto"/>
        <w:rPr>
          <w:rFonts w:asciiTheme="majorBidi" w:hAnsiTheme="majorBidi" w:cstheme="majorBidi"/>
        </w:rPr>
      </w:pPr>
      <w:r>
        <w:rPr>
          <w:rFonts w:asciiTheme="majorBidi" w:hAnsiTheme="majorBidi" w:cstheme="majorBidi"/>
        </w:rPr>
        <w:t>The findings of person’s correlation coefficient for  level of Technical capacity of effects of financial management reforms system and ,</w:t>
      </w:r>
      <w:r>
        <w:rPr>
          <w:rFonts w:asciiTheme="majorBidi" w:hAnsiTheme="majorBidi" w:cstheme="majorBidi"/>
          <w:color w:val="000000"/>
        </w:rPr>
        <w:t xml:space="preserve"> financial operations in Puntland</w:t>
      </w:r>
      <w:r>
        <w:rPr>
          <w:rFonts w:asciiTheme="majorBidi" w:hAnsiTheme="majorBidi" w:cstheme="majorBidi"/>
        </w:rPr>
        <w:t xml:space="preserve"> Somalia were r = 0.392 which is weak positive moderate relation correlation meaning that when level of Technical</w:t>
      </w:r>
      <w:r>
        <w:rPr>
          <w:rFonts w:asciiTheme="majorBidi" w:hAnsiTheme="majorBidi" w:cstheme="majorBidi"/>
          <w:b/>
          <w:bCs/>
        </w:rPr>
        <w:t xml:space="preserve"> </w:t>
      </w:r>
      <w:r>
        <w:rPr>
          <w:rFonts w:asciiTheme="majorBidi" w:hAnsiTheme="majorBidi" w:cstheme="majorBidi"/>
        </w:rPr>
        <w:t xml:space="preserve">capacity of effects of financial management reforms system increases, the level </w:t>
      </w:r>
      <w:r>
        <w:rPr>
          <w:rFonts w:asciiTheme="majorBidi" w:hAnsiTheme="majorBidi" w:cstheme="majorBidi"/>
          <w:color w:val="000000"/>
        </w:rPr>
        <w:t xml:space="preserve">financial operations </w:t>
      </w:r>
      <w:r>
        <w:rPr>
          <w:rFonts w:asciiTheme="majorBidi" w:hAnsiTheme="majorBidi" w:cstheme="majorBidi"/>
        </w:rPr>
        <w:t>also increases at middle rate . The value of significance is 0.026 which is less than a = 0.05 level of significance.</w:t>
      </w:r>
    </w:p>
    <w:p w14:paraId="74691232">
      <w:pPr>
        <w:spacing w:line="276" w:lineRule="auto"/>
        <w:rPr>
          <w:rFonts w:asciiTheme="majorBidi" w:hAnsiTheme="majorBidi" w:cstheme="majorBidi"/>
        </w:rPr>
      </w:pPr>
      <w:r>
        <w:rPr>
          <w:rFonts w:asciiTheme="majorBidi" w:hAnsiTheme="majorBidi" w:cstheme="majorBidi"/>
        </w:rPr>
        <w:t>This results supports the theory of (Cray, 1999). That explains “is a tax on taxable business income or net profit generated by entrepreneurial activity. The profit and loss account or income statement, which must be created in accordance with generally accepted accounting standards, would be used to determine taxable business income for each tax period. Corporate enterprises must pay a flat rate of 30 percent in business income tax. The business income tax for unincorporated or individual enterprises ranges from 10% to 20%”</w:t>
      </w:r>
    </w:p>
    <w:p w14:paraId="7DEBFE2C">
      <w:pPr>
        <w:pStyle w:val="4"/>
        <w:spacing w:line="276" w:lineRule="auto"/>
        <w:rPr>
          <w:rFonts w:asciiTheme="majorBidi" w:hAnsiTheme="majorBidi"/>
          <w:sz w:val="24"/>
          <w:szCs w:val="24"/>
        </w:rPr>
      </w:pPr>
      <w:bookmarkStart w:id="52" w:name="_Toc136959629"/>
      <w:r>
        <w:rPr>
          <w:rFonts w:asciiTheme="majorBidi" w:hAnsiTheme="majorBidi"/>
          <w:sz w:val="24"/>
          <w:szCs w:val="24"/>
        </w:rPr>
        <w:t>Correlation between role of donors support in financial management reforms and financial operations</w:t>
      </w:r>
      <w:bookmarkEnd w:id="52"/>
      <w:r>
        <w:rPr>
          <w:rFonts w:asciiTheme="majorBidi" w:hAnsiTheme="majorBidi"/>
          <w:sz w:val="24"/>
          <w:szCs w:val="24"/>
        </w:rPr>
        <w:t xml:space="preserve"> </w:t>
      </w:r>
    </w:p>
    <w:tbl>
      <w:tblPr>
        <w:tblStyle w:val="109"/>
        <w:tblW w:w="0" w:type="auto"/>
        <w:tblInd w:w="0" w:type="dxa"/>
        <w:tblBorders>
          <w:top w:val="single" w:color="FFE599" w:themeColor="accent4" w:themeTint="66" w:sz="4" w:space="0"/>
          <w:left w:val="single" w:color="FFE599" w:themeColor="accent4" w:themeTint="66" w:sz="4" w:space="0"/>
          <w:bottom w:val="single" w:color="FFE599" w:themeColor="accent4" w:themeTint="66" w:sz="4" w:space="0"/>
          <w:right w:val="single" w:color="FFE599" w:themeColor="accent4" w:themeTint="66" w:sz="4" w:space="0"/>
          <w:insideH w:val="single" w:color="FFE599" w:themeColor="accent4" w:themeTint="66" w:sz="4" w:space="0"/>
          <w:insideV w:val="single" w:color="FFE599" w:themeColor="accent4" w:themeTint="66" w:sz="4" w:space="0"/>
        </w:tblBorders>
        <w:tblLayout w:type="autofit"/>
        <w:tblCellMar>
          <w:top w:w="0" w:type="dxa"/>
          <w:left w:w="108" w:type="dxa"/>
          <w:bottom w:w="0" w:type="dxa"/>
          <w:right w:w="108" w:type="dxa"/>
        </w:tblCellMar>
      </w:tblPr>
      <w:tblGrid>
        <w:gridCol w:w="3082"/>
        <w:gridCol w:w="3074"/>
        <w:gridCol w:w="3086"/>
      </w:tblGrid>
      <w:tr w14:paraId="5C454580">
        <w:tblPrEx>
          <w:tblBorders>
            <w:top w:val="single" w:color="FFE599" w:themeColor="accent4" w:themeTint="66" w:sz="4" w:space="0"/>
            <w:left w:val="single" w:color="FFE599" w:themeColor="accent4" w:themeTint="66" w:sz="4" w:space="0"/>
            <w:bottom w:val="single" w:color="FFE599" w:themeColor="accent4" w:themeTint="66" w:sz="4" w:space="0"/>
            <w:right w:val="single" w:color="FFE599" w:themeColor="accent4" w:themeTint="66" w:sz="4" w:space="0"/>
            <w:insideH w:val="single" w:color="FFE599" w:themeColor="accent4" w:themeTint="66" w:sz="4" w:space="0"/>
            <w:insideV w:val="single" w:color="FFE599" w:themeColor="accent4" w:themeTint="66" w:sz="4" w:space="0"/>
          </w:tblBorders>
          <w:tblCellMar>
            <w:top w:w="0" w:type="dxa"/>
            <w:left w:w="108" w:type="dxa"/>
            <w:bottom w:w="0" w:type="dxa"/>
            <w:right w:w="108" w:type="dxa"/>
          </w:tblCellMar>
        </w:tblPrEx>
        <w:tc>
          <w:tcPr>
            <w:tcW w:w="3116" w:type="dxa"/>
            <w:tcBorders>
              <w:bottom w:val="single" w:color="FFD965" w:themeColor="accent4" w:themeTint="99" w:sz="12" w:space="0"/>
              <w:insideH w:val="single" w:sz="12" w:space="0"/>
            </w:tcBorders>
          </w:tcPr>
          <w:p w14:paraId="6182E17B">
            <w:pPr>
              <w:autoSpaceDE w:val="0"/>
              <w:autoSpaceDN w:val="0"/>
              <w:adjustRightInd w:val="0"/>
              <w:spacing w:line="276" w:lineRule="auto"/>
              <w:ind w:left="60" w:right="60" w:firstLine="0"/>
              <w:jc w:val="left"/>
              <w:rPr>
                <w:rFonts w:asciiTheme="majorBidi" w:hAnsiTheme="majorBidi" w:cstheme="majorBidi"/>
                <w:b/>
                <w:bCs/>
                <w:color w:val="000000"/>
                <w:sz w:val="24"/>
                <w:szCs w:val="24"/>
              </w:rPr>
            </w:pPr>
            <w:r>
              <w:rPr>
                <w:rFonts w:asciiTheme="majorBidi" w:hAnsiTheme="majorBidi" w:cstheme="majorBidi"/>
                <w:b/>
                <w:bCs/>
                <w:color w:val="000000"/>
                <w:sz w:val="24"/>
                <w:szCs w:val="24"/>
              </w:rPr>
              <w:t>Pearson Correlation</w:t>
            </w:r>
          </w:p>
        </w:tc>
        <w:tc>
          <w:tcPr>
            <w:tcW w:w="3117" w:type="dxa"/>
            <w:tcBorders>
              <w:bottom w:val="single" w:color="FFD965" w:themeColor="accent4" w:themeTint="99" w:sz="12" w:space="0"/>
              <w:insideH w:val="single" w:sz="12" w:space="0"/>
            </w:tcBorders>
          </w:tcPr>
          <w:p w14:paraId="7511237E">
            <w:pPr>
              <w:pStyle w:val="68"/>
              <w:spacing w:line="276" w:lineRule="auto"/>
              <w:jc w:val="left"/>
              <w:rPr>
                <w:rFonts w:asciiTheme="majorBidi" w:hAnsiTheme="majorBidi" w:cstheme="majorBidi"/>
                <w:b/>
                <w:bCs/>
                <w:color w:val="000000"/>
                <w:sz w:val="24"/>
                <w:szCs w:val="24"/>
              </w:rPr>
            </w:pPr>
            <w:r>
              <w:rPr>
                <w:rFonts w:asciiTheme="majorBidi" w:hAnsiTheme="majorBidi" w:cstheme="majorBidi"/>
                <w:b/>
                <w:bCs/>
                <w:color w:val="000000"/>
                <w:sz w:val="24"/>
                <w:szCs w:val="24"/>
              </w:rPr>
              <w:t xml:space="preserve"> </w:t>
            </w:r>
            <w:r>
              <w:rPr>
                <w:rFonts w:asciiTheme="majorBidi" w:hAnsiTheme="majorBidi" w:cstheme="majorBidi"/>
                <w:b/>
                <w:bCs/>
                <w:sz w:val="24"/>
                <w:szCs w:val="24"/>
              </w:rPr>
              <w:t>Role of donor’s support in financial management r forms</w:t>
            </w:r>
          </w:p>
        </w:tc>
        <w:tc>
          <w:tcPr>
            <w:tcW w:w="3117" w:type="dxa"/>
            <w:tcBorders>
              <w:bottom w:val="single" w:color="FFD965" w:themeColor="accent4" w:themeTint="99" w:sz="12" w:space="0"/>
              <w:insideH w:val="single" w:sz="12" w:space="0"/>
            </w:tcBorders>
          </w:tcPr>
          <w:p w14:paraId="2D8B839F">
            <w:pPr>
              <w:autoSpaceDE w:val="0"/>
              <w:autoSpaceDN w:val="0"/>
              <w:adjustRightInd w:val="0"/>
              <w:spacing w:line="276" w:lineRule="auto"/>
              <w:ind w:left="60" w:right="60"/>
              <w:jc w:val="left"/>
              <w:rPr>
                <w:rFonts w:asciiTheme="majorBidi" w:hAnsiTheme="majorBidi" w:cstheme="majorBidi"/>
                <w:b/>
                <w:bCs/>
                <w:color w:val="000000"/>
                <w:sz w:val="24"/>
                <w:szCs w:val="24"/>
              </w:rPr>
            </w:pPr>
            <w:r>
              <w:rPr>
                <w:rFonts w:asciiTheme="majorBidi" w:hAnsiTheme="majorBidi" w:cstheme="majorBidi"/>
                <w:b/>
                <w:bCs/>
                <w:color w:val="000000"/>
                <w:sz w:val="24"/>
                <w:szCs w:val="24"/>
              </w:rPr>
              <w:t>financial operations</w:t>
            </w:r>
          </w:p>
        </w:tc>
      </w:tr>
      <w:tr w14:paraId="73455ED9">
        <w:tblPrEx>
          <w:tblBorders>
            <w:top w:val="single" w:color="FFE599" w:themeColor="accent4" w:themeTint="66" w:sz="4" w:space="0"/>
            <w:left w:val="single" w:color="FFE599" w:themeColor="accent4" w:themeTint="66" w:sz="4" w:space="0"/>
            <w:bottom w:val="single" w:color="FFE599" w:themeColor="accent4" w:themeTint="66" w:sz="4" w:space="0"/>
            <w:right w:val="single" w:color="FFE599" w:themeColor="accent4" w:themeTint="66" w:sz="4" w:space="0"/>
            <w:insideH w:val="single" w:color="FFE599" w:themeColor="accent4" w:themeTint="66" w:sz="4" w:space="0"/>
            <w:insideV w:val="single" w:color="FFE599" w:themeColor="accent4" w:themeTint="66" w:sz="4" w:space="0"/>
          </w:tblBorders>
          <w:tblCellMar>
            <w:top w:w="0" w:type="dxa"/>
            <w:left w:w="108" w:type="dxa"/>
            <w:bottom w:w="0" w:type="dxa"/>
            <w:right w:w="108" w:type="dxa"/>
          </w:tblCellMar>
        </w:tblPrEx>
        <w:tc>
          <w:tcPr>
            <w:tcW w:w="3116" w:type="dxa"/>
          </w:tcPr>
          <w:p w14:paraId="68881810">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Sig. (2-tailed)</w:t>
            </w:r>
          </w:p>
        </w:tc>
        <w:tc>
          <w:tcPr>
            <w:tcW w:w="3117" w:type="dxa"/>
          </w:tcPr>
          <w:p w14:paraId="4810127A">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w:t>
            </w:r>
          </w:p>
        </w:tc>
        <w:tc>
          <w:tcPr>
            <w:tcW w:w="3117" w:type="dxa"/>
          </w:tcPr>
          <w:p w14:paraId="2BA1A50B">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.426</w:t>
            </w:r>
            <w:r>
              <w:rPr>
                <w:rFonts w:asciiTheme="majorBidi" w:hAnsiTheme="majorBidi" w:cstheme="majorBidi"/>
                <w:color w:val="000000"/>
                <w:sz w:val="24"/>
                <w:szCs w:val="24"/>
                <w:vertAlign w:val="superscript"/>
              </w:rPr>
              <w:t>*</w:t>
            </w:r>
          </w:p>
        </w:tc>
      </w:tr>
      <w:tr w14:paraId="67EE72A1">
        <w:tblPrEx>
          <w:tblBorders>
            <w:top w:val="single" w:color="FFE599" w:themeColor="accent4" w:themeTint="66" w:sz="4" w:space="0"/>
            <w:left w:val="single" w:color="FFE599" w:themeColor="accent4" w:themeTint="66" w:sz="4" w:space="0"/>
            <w:bottom w:val="single" w:color="FFE599" w:themeColor="accent4" w:themeTint="66" w:sz="4" w:space="0"/>
            <w:right w:val="single" w:color="FFE599" w:themeColor="accent4" w:themeTint="66" w:sz="4" w:space="0"/>
            <w:insideH w:val="single" w:color="FFE599" w:themeColor="accent4" w:themeTint="66" w:sz="4" w:space="0"/>
            <w:insideV w:val="single" w:color="FFE599" w:themeColor="accent4" w:themeTint="66" w:sz="4" w:space="0"/>
          </w:tblBorders>
          <w:tblCellMar>
            <w:top w:w="0" w:type="dxa"/>
            <w:left w:w="108" w:type="dxa"/>
            <w:bottom w:w="0" w:type="dxa"/>
            <w:right w:w="108" w:type="dxa"/>
          </w:tblCellMar>
        </w:tblPrEx>
        <w:tc>
          <w:tcPr>
            <w:tcW w:w="3116" w:type="dxa"/>
          </w:tcPr>
          <w:p w14:paraId="4754B274">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N</w:t>
            </w:r>
          </w:p>
        </w:tc>
        <w:tc>
          <w:tcPr>
            <w:tcW w:w="3117" w:type="dxa"/>
          </w:tcPr>
          <w:p w14:paraId="174EDD4A">
            <w:pPr>
              <w:autoSpaceDE w:val="0"/>
              <w:autoSpaceDN w:val="0"/>
              <w:adjustRightInd w:val="0"/>
              <w:spacing w:line="276" w:lineRule="auto"/>
              <w:rPr>
                <w:rFonts w:asciiTheme="majorBidi" w:hAnsiTheme="majorBidi" w:cstheme="majorBidi"/>
                <w:sz w:val="24"/>
                <w:szCs w:val="24"/>
              </w:rPr>
            </w:pPr>
          </w:p>
        </w:tc>
        <w:tc>
          <w:tcPr>
            <w:tcW w:w="3117" w:type="dxa"/>
          </w:tcPr>
          <w:p w14:paraId="478C2EDB">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.013</w:t>
            </w:r>
          </w:p>
        </w:tc>
      </w:tr>
      <w:tr w14:paraId="47635BD7">
        <w:tblPrEx>
          <w:tblBorders>
            <w:top w:val="single" w:color="FFE599" w:themeColor="accent4" w:themeTint="66" w:sz="4" w:space="0"/>
            <w:left w:val="single" w:color="FFE599" w:themeColor="accent4" w:themeTint="66" w:sz="4" w:space="0"/>
            <w:bottom w:val="single" w:color="FFE599" w:themeColor="accent4" w:themeTint="66" w:sz="4" w:space="0"/>
            <w:right w:val="single" w:color="FFE599" w:themeColor="accent4" w:themeTint="66" w:sz="4" w:space="0"/>
            <w:insideH w:val="single" w:color="FFE599" w:themeColor="accent4" w:themeTint="66" w:sz="4" w:space="0"/>
            <w:insideV w:val="single" w:color="FFE599" w:themeColor="accent4" w:themeTint="66" w:sz="4" w:space="0"/>
          </w:tblBorders>
          <w:tblCellMar>
            <w:top w:w="0" w:type="dxa"/>
            <w:left w:w="108" w:type="dxa"/>
            <w:bottom w:w="0" w:type="dxa"/>
            <w:right w:w="108" w:type="dxa"/>
          </w:tblCellMar>
        </w:tblPrEx>
        <w:tc>
          <w:tcPr>
            <w:tcW w:w="3116" w:type="dxa"/>
          </w:tcPr>
          <w:p w14:paraId="41B079FB">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Pearson Correlation</w:t>
            </w:r>
          </w:p>
        </w:tc>
        <w:tc>
          <w:tcPr>
            <w:tcW w:w="3117" w:type="dxa"/>
          </w:tcPr>
          <w:p w14:paraId="2A4476D0">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36</w:t>
            </w:r>
          </w:p>
        </w:tc>
        <w:tc>
          <w:tcPr>
            <w:tcW w:w="3117" w:type="dxa"/>
          </w:tcPr>
          <w:p w14:paraId="1F8EE13B">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33</w:t>
            </w:r>
          </w:p>
        </w:tc>
      </w:tr>
      <w:tr w14:paraId="07108B3A">
        <w:tblPrEx>
          <w:tblBorders>
            <w:top w:val="single" w:color="FFE599" w:themeColor="accent4" w:themeTint="66" w:sz="4" w:space="0"/>
            <w:left w:val="single" w:color="FFE599" w:themeColor="accent4" w:themeTint="66" w:sz="4" w:space="0"/>
            <w:bottom w:val="single" w:color="FFE599" w:themeColor="accent4" w:themeTint="66" w:sz="4" w:space="0"/>
            <w:right w:val="single" w:color="FFE599" w:themeColor="accent4" w:themeTint="66" w:sz="4" w:space="0"/>
            <w:insideH w:val="single" w:color="FFE599" w:themeColor="accent4" w:themeTint="66" w:sz="4" w:space="0"/>
            <w:insideV w:val="single" w:color="FFE599" w:themeColor="accent4" w:themeTint="66" w:sz="4" w:space="0"/>
          </w:tblBorders>
          <w:tblCellMar>
            <w:top w:w="0" w:type="dxa"/>
            <w:left w:w="108" w:type="dxa"/>
            <w:bottom w:w="0" w:type="dxa"/>
            <w:right w:w="108" w:type="dxa"/>
          </w:tblCellMar>
        </w:tblPrEx>
        <w:tc>
          <w:tcPr>
            <w:tcW w:w="3116" w:type="dxa"/>
          </w:tcPr>
          <w:p w14:paraId="49C724EA">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Sig. (2-tailed)</w:t>
            </w:r>
          </w:p>
        </w:tc>
        <w:tc>
          <w:tcPr>
            <w:tcW w:w="3117" w:type="dxa"/>
          </w:tcPr>
          <w:p w14:paraId="77E00EBB">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.426</w:t>
            </w:r>
            <w:r>
              <w:rPr>
                <w:rFonts w:asciiTheme="majorBidi" w:hAnsiTheme="majorBidi" w:cstheme="majorBidi"/>
                <w:color w:val="000000"/>
                <w:sz w:val="24"/>
                <w:szCs w:val="24"/>
                <w:vertAlign w:val="superscript"/>
              </w:rPr>
              <w:t>*</w:t>
            </w:r>
          </w:p>
        </w:tc>
        <w:tc>
          <w:tcPr>
            <w:tcW w:w="3117" w:type="dxa"/>
          </w:tcPr>
          <w:p w14:paraId="69A20116">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1</w:t>
            </w:r>
          </w:p>
        </w:tc>
      </w:tr>
      <w:tr w14:paraId="2CF10AEC">
        <w:tblPrEx>
          <w:tblBorders>
            <w:top w:val="single" w:color="FFE599" w:themeColor="accent4" w:themeTint="66" w:sz="4" w:space="0"/>
            <w:left w:val="single" w:color="FFE599" w:themeColor="accent4" w:themeTint="66" w:sz="4" w:space="0"/>
            <w:bottom w:val="single" w:color="FFE599" w:themeColor="accent4" w:themeTint="66" w:sz="4" w:space="0"/>
            <w:right w:val="single" w:color="FFE599" w:themeColor="accent4" w:themeTint="66" w:sz="4" w:space="0"/>
            <w:insideH w:val="single" w:color="FFE599" w:themeColor="accent4" w:themeTint="66" w:sz="4" w:space="0"/>
            <w:insideV w:val="single" w:color="FFE599" w:themeColor="accent4" w:themeTint="66" w:sz="4" w:space="0"/>
          </w:tblBorders>
          <w:tblCellMar>
            <w:top w:w="0" w:type="dxa"/>
            <w:left w:w="108" w:type="dxa"/>
            <w:bottom w:w="0" w:type="dxa"/>
            <w:right w:w="108" w:type="dxa"/>
          </w:tblCellMar>
        </w:tblPrEx>
        <w:tc>
          <w:tcPr>
            <w:tcW w:w="3116" w:type="dxa"/>
          </w:tcPr>
          <w:p w14:paraId="20B9E892">
            <w:pPr>
              <w:autoSpaceDE w:val="0"/>
              <w:autoSpaceDN w:val="0"/>
              <w:adjustRightInd w:val="0"/>
              <w:spacing w:line="276" w:lineRule="auto"/>
              <w:ind w:left="60" w:right="60"/>
              <w:rPr>
                <w:rFonts w:asciiTheme="majorBidi" w:hAnsiTheme="majorBidi" w:cstheme="majorBidi"/>
                <w:b/>
                <w:bCs/>
                <w:color w:val="000000"/>
                <w:sz w:val="24"/>
                <w:szCs w:val="24"/>
              </w:rPr>
            </w:pPr>
            <w:r>
              <w:rPr>
                <w:rFonts w:asciiTheme="majorBidi" w:hAnsiTheme="majorBidi" w:cstheme="majorBidi"/>
                <w:b/>
                <w:bCs/>
                <w:color w:val="000000"/>
                <w:sz w:val="24"/>
                <w:szCs w:val="24"/>
              </w:rPr>
              <w:t>N</w:t>
            </w:r>
          </w:p>
        </w:tc>
        <w:tc>
          <w:tcPr>
            <w:tcW w:w="3117" w:type="dxa"/>
          </w:tcPr>
          <w:p w14:paraId="171BDADF">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.013</w:t>
            </w:r>
          </w:p>
        </w:tc>
        <w:tc>
          <w:tcPr>
            <w:tcW w:w="3117" w:type="dxa"/>
          </w:tcPr>
          <w:p w14:paraId="22A84879">
            <w:pPr>
              <w:autoSpaceDE w:val="0"/>
              <w:autoSpaceDN w:val="0"/>
              <w:adjustRightInd w:val="0"/>
              <w:spacing w:line="276" w:lineRule="auto"/>
              <w:rPr>
                <w:rFonts w:asciiTheme="majorBidi" w:hAnsiTheme="majorBidi" w:cstheme="majorBidi"/>
                <w:sz w:val="24"/>
                <w:szCs w:val="24"/>
              </w:rPr>
            </w:pPr>
          </w:p>
        </w:tc>
      </w:tr>
      <w:tr w14:paraId="3D824DBD">
        <w:tblPrEx>
          <w:tblBorders>
            <w:top w:val="single" w:color="FFE599" w:themeColor="accent4" w:themeTint="66" w:sz="4" w:space="0"/>
            <w:left w:val="single" w:color="FFE599" w:themeColor="accent4" w:themeTint="66" w:sz="4" w:space="0"/>
            <w:bottom w:val="single" w:color="FFE599" w:themeColor="accent4" w:themeTint="66" w:sz="4" w:space="0"/>
            <w:right w:val="single" w:color="FFE599" w:themeColor="accent4" w:themeTint="66" w:sz="4" w:space="0"/>
            <w:insideH w:val="single" w:color="FFE599" w:themeColor="accent4" w:themeTint="66" w:sz="4" w:space="0"/>
            <w:insideV w:val="single" w:color="FFE599" w:themeColor="accent4" w:themeTint="66" w:sz="4" w:space="0"/>
          </w:tblBorders>
          <w:tblCellMar>
            <w:top w:w="0" w:type="dxa"/>
            <w:left w:w="108" w:type="dxa"/>
            <w:bottom w:w="0" w:type="dxa"/>
            <w:right w:w="108" w:type="dxa"/>
          </w:tblCellMar>
        </w:tblPrEx>
        <w:tc>
          <w:tcPr>
            <w:tcW w:w="3116" w:type="dxa"/>
          </w:tcPr>
          <w:p w14:paraId="363CC5B8">
            <w:pPr>
              <w:autoSpaceDE w:val="0"/>
              <w:autoSpaceDN w:val="0"/>
              <w:adjustRightInd w:val="0"/>
              <w:spacing w:line="276" w:lineRule="auto"/>
              <w:ind w:left="60" w:right="60"/>
              <w:rPr>
                <w:rFonts w:asciiTheme="majorBidi" w:hAnsiTheme="majorBidi" w:cstheme="majorBidi"/>
                <w:b/>
                <w:bCs/>
                <w:color w:val="000000"/>
                <w:sz w:val="24"/>
                <w:szCs w:val="24"/>
              </w:rPr>
            </w:pPr>
          </w:p>
        </w:tc>
        <w:tc>
          <w:tcPr>
            <w:tcW w:w="3117" w:type="dxa"/>
          </w:tcPr>
          <w:p w14:paraId="5479F058">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92</w:t>
            </w:r>
          </w:p>
        </w:tc>
        <w:tc>
          <w:tcPr>
            <w:tcW w:w="3117" w:type="dxa"/>
          </w:tcPr>
          <w:p w14:paraId="65064B44">
            <w:pPr>
              <w:autoSpaceDE w:val="0"/>
              <w:autoSpaceDN w:val="0"/>
              <w:adjustRightInd w:val="0"/>
              <w:spacing w:line="276" w:lineRule="auto"/>
              <w:ind w:left="60" w:right="60"/>
              <w:rPr>
                <w:rFonts w:asciiTheme="majorBidi" w:hAnsiTheme="majorBidi" w:cstheme="majorBidi"/>
                <w:color w:val="000000"/>
                <w:sz w:val="24"/>
                <w:szCs w:val="24"/>
              </w:rPr>
            </w:pPr>
            <w:r>
              <w:rPr>
                <w:rFonts w:asciiTheme="majorBidi" w:hAnsiTheme="majorBidi" w:cstheme="majorBidi"/>
                <w:color w:val="000000"/>
                <w:sz w:val="24"/>
                <w:szCs w:val="24"/>
              </w:rPr>
              <w:t>92</w:t>
            </w:r>
          </w:p>
        </w:tc>
      </w:tr>
    </w:tbl>
    <w:p w14:paraId="068813E4">
      <w:pPr>
        <w:spacing w:line="276" w:lineRule="auto"/>
        <w:jc w:val="center"/>
        <w:rPr>
          <w:rFonts w:asciiTheme="majorBidi" w:hAnsiTheme="majorBidi" w:cstheme="majorBidi"/>
        </w:rPr>
      </w:pPr>
      <w:r>
        <w:rPr>
          <w:rFonts w:asciiTheme="majorBidi" w:hAnsiTheme="majorBidi" w:cstheme="majorBidi"/>
          <w:b/>
          <w:bCs/>
          <w:i/>
          <w:iCs/>
          <w:color w:val="000000"/>
        </w:rPr>
        <w:t>Source: Own survey 202</w:t>
      </w:r>
      <w:r>
        <w:rPr>
          <w:rFonts w:asciiTheme="majorBidi" w:hAnsiTheme="majorBidi" w:cstheme="majorBidi"/>
          <w:b/>
          <w:bCs/>
          <w:i/>
          <w:iCs/>
          <w:color w:val="000000"/>
          <w:lang w:val="en-US"/>
        </w:rPr>
        <w:t>3</w:t>
      </w:r>
      <w:r>
        <w:rPr>
          <w:rFonts w:asciiTheme="majorBidi" w:hAnsiTheme="majorBidi" w:cstheme="majorBidi"/>
          <w:b/>
          <w:bCs/>
          <w:i/>
          <w:iCs/>
          <w:color w:val="000000"/>
        </w:rPr>
        <w:t>(SPSS).</w:t>
      </w:r>
    </w:p>
    <w:p w14:paraId="2D6FCEAC">
      <w:pPr>
        <w:spacing w:line="276" w:lineRule="auto"/>
        <w:rPr>
          <w:rFonts w:asciiTheme="majorBidi" w:hAnsiTheme="majorBidi" w:cstheme="majorBidi"/>
          <w:color w:val="000000"/>
        </w:rPr>
      </w:pPr>
      <w:r>
        <w:rPr>
          <w:rFonts w:asciiTheme="majorBidi" w:hAnsiTheme="majorBidi" w:cstheme="majorBidi"/>
        </w:rPr>
        <w:t xml:space="preserve">The findings of person’s correlation coefficient for </w:t>
      </w:r>
      <w:r>
        <w:rPr>
          <w:rFonts w:asciiTheme="majorBidi" w:hAnsiTheme="majorBidi" w:cstheme="majorBidi"/>
          <w:color w:val="000000"/>
        </w:rPr>
        <w:t>role</w:t>
      </w:r>
      <w:r>
        <w:rPr>
          <w:rFonts w:asciiTheme="majorBidi" w:hAnsiTheme="majorBidi" w:cstheme="majorBidi"/>
        </w:rPr>
        <w:t xml:space="preserve"> of donors support in financial management reforms and financial operations in Puntland Somalia were r = 0.426 which is weak positive moderate relation correlation meaning that when level of Role of donors support in financial management reforms increases, Level </w:t>
      </w:r>
      <w:r>
        <w:rPr>
          <w:rFonts w:asciiTheme="majorBidi" w:hAnsiTheme="majorBidi" w:cstheme="majorBidi"/>
          <w:color w:val="000000"/>
        </w:rPr>
        <w:t xml:space="preserve">financial operations </w:t>
      </w:r>
      <w:r>
        <w:rPr>
          <w:rFonts w:asciiTheme="majorBidi" w:hAnsiTheme="majorBidi" w:cstheme="majorBidi"/>
        </w:rPr>
        <w:t>also increases at middle rate . The value of significance is 0.013 which is less than a = 0.05 level of significance.</w:t>
      </w:r>
    </w:p>
    <w:p w14:paraId="355862D8">
      <w:pPr>
        <w:spacing w:line="276" w:lineRule="auto"/>
        <w:rPr>
          <w:rFonts w:asciiTheme="majorBidi" w:hAnsiTheme="majorBidi" w:cstheme="majorBidi"/>
        </w:rPr>
      </w:pPr>
      <w:r>
        <w:rPr>
          <w:rFonts w:asciiTheme="majorBidi" w:hAnsiTheme="majorBidi" w:cstheme="majorBidi"/>
        </w:rPr>
        <w:t xml:space="preserve">This results show she study of (Saxenian, 2001) Government and donors support has also become important to support the creation and maintenance of institutions and other supplier support instruments such as subsidies to establish supplier firms. However, given the potential for government failure, firms have also often resorted to systemic relationships that require business coordination of government support. </w:t>
      </w:r>
    </w:p>
    <w:p w14:paraId="02ABC8DC">
      <w:pPr>
        <w:pStyle w:val="3"/>
        <w:spacing w:line="276" w:lineRule="auto"/>
        <w:ind w:firstLine="0"/>
        <w:jc w:val="center"/>
        <w:rPr>
          <w:rFonts w:asciiTheme="majorBidi" w:hAnsiTheme="majorBidi"/>
          <w:sz w:val="24"/>
          <w:szCs w:val="24"/>
          <w:shd w:val="clear" w:color="auto" w:fill="FFFFFF"/>
        </w:rPr>
      </w:pPr>
      <w:bookmarkStart w:id="53" w:name="_Toc533896645"/>
      <w:bookmarkStart w:id="54" w:name="_Toc76811239"/>
      <w:bookmarkStart w:id="55" w:name="_Toc532184141"/>
      <w:bookmarkStart w:id="56" w:name="_Toc39237605"/>
      <w:bookmarkStart w:id="57" w:name="_Toc76279103"/>
      <w:bookmarkStart w:id="58" w:name="_Toc89334046"/>
      <w:bookmarkStart w:id="59" w:name="_Toc533902233"/>
      <w:bookmarkStart w:id="60" w:name="_Toc533904522"/>
      <w:bookmarkStart w:id="61" w:name="_Toc47840856"/>
      <w:bookmarkStart w:id="62" w:name="_Toc73700852"/>
      <w:bookmarkStart w:id="63" w:name="_Toc101961945"/>
      <w:bookmarkStart w:id="64" w:name="_Toc86746357"/>
      <w:bookmarkStart w:id="65" w:name="_Toc136959631"/>
      <w:bookmarkStart w:id="66" w:name="_Toc135839545"/>
      <w:r>
        <w:rPr>
          <w:rFonts w:asciiTheme="majorBidi" w:hAnsiTheme="majorBidi"/>
          <w:sz w:val="24"/>
          <w:szCs w:val="24"/>
          <w:shd w:val="clear" w:color="auto" w:fill="FFFFFF"/>
        </w:rPr>
        <w:t>Findings, Conclusions and Recommendations</w:t>
      </w:r>
      <w:bookmarkEnd w:id="53"/>
      <w:bookmarkEnd w:id="54"/>
      <w:bookmarkEnd w:id="55"/>
      <w:bookmarkEnd w:id="56"/>
      <w:bookmarkEnd w:id="57"/>
      <w:bookmarkEnd w:id="58"/>
      <w:bookmarkEnd w:id="59"/>
      <w:bookmarkEnd w:id="60"/>
      <w:bookmarkEnd w:id="61"/>
      <w:bookmarkEnd w:id="62"/>
      <w:bookmarkEnd w:id="63"/>
      <w:bookmarkEnd w:id="64"/>
      <w:bookmarkEnd w:id="65"/>
      <w:bookmarkEnd w:id="66"/>
    </w:p>
    <w:p w14:paraId="13454278">
      <w:pPr>
        <w:spacing w:line="276" w:lineRule="auto"/>
        <w:rPr>
          <w:rFonts w:asciiTheme="majorBidi" w:hAnsiTheme="majorBidi" w:cstheme="majorBidi"/>
        </w:rPr>
      </w:pPr>
      <w:bookmarkStart w:id="67" w:name="_Toc101961948"/>
      <w:bookmarkStart w:id="68" w:name="_Toc135838852"/>
      <w:bookmarkStart w:id="69" w:name="_Toc135839548"/>
      <w:r>
        <w:rPr>
          <w:rFonts w:asciiTheme="majorBidi" w:hAnsiTheme="majorBidi" w:cstheme="majorBidi"/>
        </w:rPr>
        <w:t>From the study findings, in terms of demographic characteristics, the study findings revealed that most of the employees in the ministry of finance in Puntland Somalia are male (</w:t>
      </w:r>
      <w:r>
        <w:rPr>
          <w:rFonts w:asciiTheme="majorBidi" w:hAnsiTheme="majorBidi" w:cstheme="majorBidi"/>
          <w:lang w:val="en-US"/>
        </w:rPr>
        <w:t>54.3</w:t>
      </w:r>
      <w:r>
        <w:rPr>
          <w:rFonts w:asciiTheme="majorBidi" w:hAnsiTheme="majorBidi" w:cstheme="majorBidi"/>
        </w:rPr>
        <w:t>%) and also most respondents are found in productive age group (25-3</w:t>
      </w:r>
      <w:r>
        <w:rPr>
          <w:rFonts w:asciiTheme="majorBidi" w:hAnsiTheme="majorBidi" w:cstheme="majorBidi"/>
          <w:lang w:val="en-US"/>
        </w:rPr>
        <w:t>0</w:t>
      </w:r>
      <w:r>
        <w:rPr>
          <w:rFonts w:asciiTheme="majorBidi" w:hAnsiTheme="majorBidi" w:cstheme="majorBidi"/>
        </w:rPr>
        <w:t>). The most of employees of the ministry had a bachelor's degree rate at (4</w:t>
      </w:r>
      <w:r>
        <w:rPr>
          <w:rFonts w:asciiTheme="majorBidi" w:hAnsiTheme="majorBidi" w:cstheme="majorBidi"/>
          <w:lang w:val="en-US"/>
        </w:rPr>
        <w:t>5</w:t>
      </w:r>
      <w:r>
        <w:rPr>
          <w:rFonts w:asciiTheme="majorBidi" w:hAnsiTheme="majorBidi" w:cstheme="majorBidi"/>
        </w:rPr>
        <w:t>.</w:t>
      </w:r>
      <w:r>
        <w:rPr>
          <w:rFonts w:asciiTheme="majorBidi" w:hAnsiTheme="majorBidi" w:cstheme="majorBidi"/>
          <w:lang w:val="en-US"/>
        </w:rPr>
        <w:t>7</w:t>
      </w:r>
      <w:r>
        <w:rPr>
          <w:rFonts w:asciiTheme="majorBidi" w:hAnsiTheme="majorBidi" w:cstheme="majorBidi"/>
        </w:rPr>
        <w:t>%) whereas (</w:t>
      </w:r>
      <w:r>
        <w:rPr>
          <w:rFonts w:asciiTheme="majorBidi" w:hAnsiTheme="majorBidi" w:cstheme="majorBidi"/>
          <w:lang w:val="en-US"/>
        </w:rPr>
        <w:t>30.4</w:t>
      </w:r>
      <w:r>
        <w:rPr>
          <w:rFonts w:asciiTheme="majorBidi" w:hAnsiTheme="majorBidi" w:cstheme="majorBidi"/>
        </w:rPr>
        <w:t>%) had a master and this enables the researcher to conclude that most respondents commonly understand the questionnaire properly, regarding work experience and profession of the respondents had been highly experienced. Therefore, their responses to each question are reliable and consistent.</w:t>
      </w:r>
    </w:p>
    <w:p w14:paraId="63139EF4">
      <w:pPr>
        <w:spacing w:line="276" w:lineRule="auto"/>
        <w:rPr>
          <w:rFonts w:asciiTheme="majorBidi" w:hAnsiTheme="majorBidi" w:cstheme="majorBidi"/>
        </w:rPr>
      </w:pPr>
    </w:p>
    <w:p w14:paraId="7ED53710">
      <w:pPr>
        <w:spacing w:line="276" w:lineRule="auto"/>
        <w:ind w:firstLine="0"/>
        <w:rPr>
          <w:rFonts w:asciiTheme="majorBidi" w:hAnsiTheme="majorBidi" w:cstheme="majorBidi"/>
          <w:b/>
          <w:bCs/>
          <w:lang w:val="en-GB" w:eastAsia="en-GB"/>
        </w:rPr>
      </w:pPr>
      <w:r>
        <w:rPr>
          <w:rFonts w:asciiTheme="majorBidi" w:hAnsiTheme="majorBidi" w:cstheme="majorBidi"/>
          <w:b/>
          <w:bCs/>
          <w:lang w:val="en-GB" w:eastAsia="en-GB"/>
        </w:rPr>
        <w:t xml:space="preserve">The major findings of this study </w:t>
      </w:r>
      <w:bookmarkEnd w:id="67"/>
      <w:bookmarkEnd w:id="68"/>
      <w:bookmarkEnd w:id="69"/>
      <w:r>
        <w:rPr>
          <w:rFonts w:asciiTheme="majorBidi" w:hAnsiTheme="majorBidi" w:cstheme="majorBidi"/>
          <w:b/>
          <w:bCs/>
          <w:lang w:val="en-GB" w:eastAsia="en-GB"/>
        </w:rPr>
        <w:t xml:space="preserve">include </w:t>
      </w:r>
      <w:r>
        <w:rPr>
          <w:rFonts w:asciiTheme="majorBidi" w:hAnsiTheme="majorBidi" w:cstheme="majorBidi"/>
          <w:b/>
          <w:lang w:val="en-GB" w:eastAsia="en-GB"/>
        </w:rPr>
        <w:t>Research Question One</w:t>
      </w:r>
      <w:r>
        <w:rPr>
          <w:rFonts w:asciiTheme="majorBidi" w:hAnsiTheme="majorBidi" w:cstheme="majorBidi"/>
          <w:lang w:val="en-GB" w:eastAsia="en-GB"/>
        </w:rPr>
        <w:t xml:space="preserve">: </w:t>
      </w:r>
      <w:r>
        <w:rPr>
          <w:rFonts w:asciiTheme="majorBidi" w:hAnsiTheme="majorBidi" w:cstheme="majorBidi"/>
        </w:rPr>
        <w:t xml:space="preserve">How </w:t>
      </w:r>
      <w:r>
        <w:rPr>
          <w:rFonts w:asciiTheme="majorBidi" w:hAnsiTheme="majorBidi" w:cstheme="majorBidi"/>
          <w:lang w:val="en-US"/>
        </w:rPr>
        <w:t xml:space="preserve">is </w:t>
      </w:r>
      <w:r>
        <w:rPr>
          <w:rFonts w:asciiTheme="majorBidi" w:hAnsiTheme="majorBidi" w:cstheme="majorBidi"/>
        </w:rPr>
        <w:t xml:space="preserve">Political Commitment </w:t>
      </w:r>
      <w:r>
        <w:rPr>
          <w:rFonts w:asciiTheme="majorBidi" w:hAnsiTheme="majorBidi" w:cstheme="majorBidi"/>
          <w:lang w:val="en-US"/>
        </w:rPr>
        <w:t>effect</w:t>
      </w:r>
      <w:r>
        <w:rPr>
          <w:rFonts w:asciiTheme="majorBidi" w:hAnsiTheme="majorBidi" w:cstheme="majorBidi"/>
        </w:rPr>
        <w:t xml:space="preserve"> Public Financial Management Reform in Puntland </w:t>
      </w:r>
      <w:r>
        <w:rPr>
          <w:rFonts w:asciiTheme="majorBidi" w:hAnsiTheme="majorBidi" w:cstheme="majorBidi"/>
          <w:lang w:val="en-US"/>
        </w:rPr>
        <w:t>State</w:t>
      </w:r>
      <w:r>
        <w:rPr>
          <w:rFonts w:asciiTheme="majorBidi" w:hAnsiTheme="majorBidi" w:cstheme="majorBidi"/>
        </w:rPr>
        <w:t>?</w:t>
      </w:r>
      <w:r>
        <w:rPr>
          <w:rFonts w:asciiTheme="majorBidi" w:hAnsiTheme="majorBidi" w:cstheme="majorBidi"/>
          <w:lang w:val="en-US"/>
        </w:rPr>
        <w:t xml:space="preserve"> </w:t>
      </w:r>
      <w:r>
        <w:rPr>
          <w:rFonts w:eastAsia="Calibri" w:asciiTheme="majorBidi" w:hAnsiTheme="majorBidi" w:cstheme="majorBidi"/>
        </w:rPr>
        <w:t>the findings of the study</w:t>
      </w:r>
      <w:r>
        <w:rPr>
          <w:rFonts w:eastAsia="Calibri" w:asciiTheme="majorBidi" w:hAnsiTheme="majorBidi" w:cstheme="majorBidi"/>
          <w:lang w:val="en-US"/>
        </w:rPr>
        <w:t xml:space="preserve">; </w:t>
      </w:r>
      <w:r>
        <w:rPr>
          <w:rFonts w:asciiTheme="majorBidi" w:hAnsiTheme="majorBidi" w:cstheme="majorBidi"/>
        </w:rPr>
        <w:t>different</w:t>
      </w:r>
      <w:r>
        <w:rPr>
          <w:rFonts w:asciiTheme="majorBidi" w:hAnsiTheme="majorBidi" w:cstheme="majorBidi"/>
          <w:spacing w:val="69"/>
        </w:rPr>
        <w:t xml:space="preserve"> </w:t>
      </w:r>
      <w:r>
        <w:rPr>
          <w:rFonts w:asciiTheme="majorBidi" w:hAnsiTheme="majorBidi" w:cstheme="majorBidi"/>
        </w:rPr>
        <w:t>factors</w:t>
      </w:r>
      <w:r>
        <w:rPr>
          <w:rFonts w:asciiTheme="majorBidi" w:hAnsiTheme="majorBidi" w:cstheme="majorBidi"/>
          <w:spacing w:val="62"/>
        </w:rPr>
        <w:t xml:space="preserve"> </w:t>
      </w:r>
      <w:r>
        <w:rPr>
          <w:rFonts w:asciiTheme="majorBidi" w:hAnsiTheme="majorBidi" w:cstheme="majorBidi"/>
        </w:rPr>
        <w:t>were</w:t>
      </w:r>
      <w:r>
        <w:rPr>
          <w:rFonts w:asciiTheme="majorBidi" w:hAnsiTheme="majorBidi" w:cstheme="majorBidi"/>
          <w:spacing w:val="40"/>
        </w:rPr>
        <w:t xml:space="preserve"> </w:t>
      </w:r>
      <w:r>
        <w:rPr>
          <w:rFonts w:asciiTheme="majorBidi" w:hAnsiTheme="majorBidi" w:cstheme="majorBidi"/>
        </w:rPr>
        <w:t>established</w:t>
      </w:r>
      <w:r>
        <w:rPr>
          <w:rFonts w:asciiTheme="majorBidi" w:hAnsiTheme="majorBidi" w:cstheme="majorBidi"/>
          <w:spacing w:val="64"/>
        </w:rPr>
        <w:t xml:space="preserve"> </w:t>
      </w:r>
      <w:r>
        <w:rPr>
          <w:rFonts w:asciiTheme="majorBidi" w:hAnsiTheme="majorBidi" w:cstheme="majorBidi"/>
        </w:rPr>
        <w:t>to</w:t>
      </w:r>
      <w:r>
        <w:rPr>
          <w:rFonts w:asciiTheme="majorBidi" w:hAnsiTheme="majorBidi" w:cstheme="majorBidi"/>
          <w:spacing w:val="64"/>
          <w:lang w:val="en-US"/>
        </w:rPr>
        <w:t xml:space="preserve"> </w:t>
      </w:r>
      <w:r>
        <w:rPr>
          <w:rFonts w:asciiTheme="majorBidi" w:hAnsiTheme="majorBidi" w:cstheme="majorBidi"/>
        </w:rPr>
        <w:t>the</w:t>
      </w:r>
      <w:r>
        <w:rPr>
          <w:rFonts w:asciiTheme="majorBidi" w:hAnsiTheme="majorBidi" w:cstheme="majorBidi"/>
          <w:lang w:val="en-US"/>
        </w:rPr>
        <w:t xml:space="preserve"> effect</w:t>
      </w:r>
      <w:r>
        <w:rPr>
          <w:rFonts w:asciiTheme="majorBidi" w:hAnsiTheme="majorBidi" w:cstheme="majorBidi"/>
        </w:rPr>
        <w:t xml:space="preserve"> of PFM Reform in terms of political commitment such as institutional policy</w:t>
      </w:r>
      <w:r>
        <w:rPr>
          <w:rFonts w:asciiTheme="majorBidi" w:hAnsiTheme="majorBidi" w:cstheme="majorBidi"/>
          <w:spacing w:val="-6"/>
        </w:rPr>
        <w:t xml:space="preserve"> </w:t>
      </w:r>
      <w:r>
        <w:rPr>
          <w:rFonts w:asciiTheme="majorBidi" w:hAnsiTheme="majorBidi" w:cstheme="majorBidi"/>
        </w:rPr>
        <w:t>setting, policy</w:t>
      </w:r>
      <w:r>
        <w:rPr>
          <w:rFonts w:asciiTheme="majorBidi" w:hAnsiTheme="majorBidi" w:cstheme="majorBidi"/>
          <w:spacing w:val="-6"/>
        </w:rPr>
        <w:t xml:space="preserve"> </w:t>
      </w:r>
      <w:r>
        <w:rPr>
          <w:rFonts w:asciiTheme="majorBidi" w:hAnsiTheme="majorBidi" w:cstheme="majorBidi"/>
        </w:rPr>
        <w:t>enforcement, funds</w:t>
      </w:r>
      <w:r>
        <w:rPr>
          <w:rFonts w:asciiTheme="majorBidi" w:hAnsiTheme="majorBidi" w:cstheme="majorBidi"/>
          <w:spacing w:val="-4"/>
        </w:rPr>
        <w:t xml:space="preserve"> </w:t>
      </w:r>
      <w:r>
        <w:rPr>
          <w:rFonts w:asciiTheme="majorBidi" w:hAnsiTheme="majorBidi" w:cstheme="majorBidi"/>
        </w:rPr>
        <w:t>allocated</w:t>
      </w:r>
      <w:r>
        <w:rPr>
          <w:rFonts w:asciiTheme="majorBidi" w:hAnsiTheme="majorBidi" w:cstheme="majorBidi"/>
          <w:spacing w:val="-2"/>
        </w:rPr>
        <w:t xml:space="preserve"> </w:t>
      </w:r>
      <w:r>
        <w:rPr>
          <w:rFonts w:asciiTheme="majorBidi" w:hAnsiTheme="majorBidi" w:cstheme="majorBidi"/>
        </w:rPr>
        <w:t>for</w:t>
      </w:r>
      <w:r>
        <w:rPr>
          <w:rFonts w:asciiTheme="majorBidi" w:hAnsiTheme="majorBidi" w:cstheme="majorBidi"/>
          <w:spacing w:val="-1"/>
        </w:rPr>
        <w:t xml:space="preserve"> </w:t>
      </w:r>
      <w:r>
        <w:rPr>
          <w:rFonts w:asciiTheme="majorBidi" w:hAnsiTheme="majorBidi" w:cstheme="majorBidi"/>
        </w:rPr>
        <w:t>the</w:t>
      </w:r>
      <w:r>
        <w:rPr>
          <w:rFonts w:asciiTheme="majorBidi" w:hAnsiTheme="majorBidi" w:cstheme="majorBidi"/>
          <w:spacing w:val="-3"/>
        </w:rPr>
        <w:t xml:space="preserve"> </w:t>
      </w:r>
      <w:r>
        <w:rPr>
          <w:rFonts w:asciiTheme="majorBidi" w:hAnsiTheme="majorBidi" w:cstheme="majorBidi"/>
        </w:rPr>
        <w:t>implementation</w:t>
      </w:r>
      <w:r>
        <w:rPr>
          <w:rFonts w:asciiTheme="majorBidi" w:hAnsiTheme="majorBidi" w:cstheme="majorBidi"/>
          <w:spacing w:val="-6"/>
        </w:rPr>
        <w:t xml:space="preserve"> </w:t>
      </w:r>
      <w:r>
        <w:rPr>
          <w:rFonts w:asciiTheme="majorBidi" w:hAnsiTheme="majorBidi" w:cstheme="majorBidi"/>
        </w:rPr>
        <w:t>of</w:t>
      </w:r>
      <w:r>
        <w:rPr>
          <w:rFonts w:asciiTheme="majorBidi" w:hAnsiTheme="majorBidi" w:cstheme="majorBidi"/>
          <w:spacing w:val="-9"/>
        </w:rPr>
        <w:t xml:space="preserve"> </w:t>
      </w:r>
      <w:r>
        <w:rPr>
          <w:rFonts w:asciiTheme="majorBidi" w:hAnsiTheme="majorBidi" w:cstheme="majorBidi"/>
        </w:rPr>
        <w:t>the</w:t>
      </w:r>
      <w:r>
        <w:rPr>
          <w:rFonts w:asciiTheme="majorBidi" w:hAnsiTheme="majorBidi" w:cstheme="majorBidi"/>
          <w:spacing w:val="-3"/>
        </w:rPr>
        <w:t xml:space="preserve"> </w:t>
      </w:r>
      <w:r>
        <w:rPr>
          <w:rFonts w:asciiTheme="majorBidi" w:hAnsiTheme="majorBidi" w:cstheme="majorBidi"/>
        </w:rPr>
        <w:t>PFM reform, the management skills and establishing a specialized department for the project implemented within the institution. The findings of person’s correlation coefficient for level of Level of political commitment of  effect government and Public financial management reform in Puntland, Somalia were r = 0.234 which is weak positive moderate relation correlation meaning that when level of Level of political commitment of  effect governments increases, level Public financial management reform also increases at middle rate . The value of significance is 0.0198 which is less than a = 0.05 level of significance.</w:t>
      </w:r>
    </w:p>
    <w:p w14:paraId="54AE4A03">
      <w:pPr>
        <w:spacing w:line="276" w:lineRule="auto"/>
        <w:ind w:firstLine="0"/>
        <w:rPr>
          <w:rFonts w:asciiTheme="majorBidi" w:hAnsiTheme="majorBidi" w:cstheme="majorBidi"/>
        </w:rPr>
      </w:pPr>
      <w:r>
        <w:rPr>
          <w:rFonts w:asciiTheme="majorBidi" w:hAnsiTheme="majorBidi" w:cstheme="majorBidi"/>
          <w:b/>
          <w:lang w:val="en-GB" w:eastAsia="en-GB"/>
        </w:rPr>
        <w:t>Research Question T</w:t>
      </w:r>
      <w:r>
        <w:rPr>
          <w:rFonts w:asciiTheme="majorBidi" w:hAnsiTheme="majorBidi" w:cstheme="majorBidi"/>
          <w:lang w:val="en-GB" w:eastAsia="en-GB"/>
        </w:rPr>
        <w:t>w</w:t>
      </w:r>
      <w:r>
        <w:rPr>
          <w:rFonts w:asciiTheme="majorBidi" w:hAnsiTheme="majorBidi" w:cstheme="majorBidi"/>
          <w:b/>
          <w:lang w:val="en-GB" w:eastAsia="en-GB"/>
        </w:rPr>
        <w:t>o</w:t>
      </w:r>
      <w:r>
        <w:rPr>
          <w:rFonts w:asciiTheme="majorBidi" w:hAnsiTheme="majorBidi" w:cstheme="majorBidi"/>
        </w:rPr>
        <w:t>:  How Technical Capacity does affect the implementation of PFM reforms in the ministry of finance in Puntland state? Various factors were established to measure the influence of technical capacity on the implementation of the PFM reform such as qualification of the staff, training of the staff, skills and availability of adequate information technology infrastructure</w:t>
      </w:r>
      <w:r>
        <w:rPr>
          <w:rFonts w:asciiTheme="majorBidi" w:hAnsiTheme="majorBidi" w:cstheme="majorBidi"/>
          <w:lang w:val="en-US"/>
        </w:rPr>
        <w:t xml:space="preserve">. </w:t>
      </w:r>
      <w:r>
        <w:rPr>
          <w:rFonts w:asciiTheme="majorBidi" w:hAnsiTheme="majorBidi" w:cstheme="majorBidi"/>
        </w:rPr>
        <w:t>The findings of person’s correlation coefficient for  level of Technical capacity of effects of financial management reforms system and ,</w:t>
      </w:r>
      <w:r>
        <w:rPr>
          <w:rFonts w:asciiTheme="majorBidi" w:hAnsiTheme="majorBidi" w:cstheme="majorBidi"/>
          <w:color w:val="000000"/>
        </w:rPr>
        <w:t xml:space="preserve"> financial operations in Puntland</w:t>
      </w:r>
      <w:r>
        <w:rPr>
          <w:rFonts w:asciiTheme="majorBidi" w:hAnsiTheme="majorBidi" w:cstheme="majorBidi"/>
        </w:rPr>
        <w:t xml:space="preserve"> Somalia were r = 0.392 which is weak positive moderate relation correlation meaning that when level of Technical</w:t>
      </w:r>
      <w:r>
        <w:rPr>
          <w:rFonts w:asciiTheme="majorBidi" w:hAnsiTheme="majorBidi" w:cstheme="majorBidi"/>
          <w:b/>
          <w:bCs/>
        </w:rPr>
        <w:t xml:space="preserve"> </w:t>
      </w:r>
      <w:r>
        <w:rPr>
          <w:rFonts w:asciiTheme="majorBidi" w:hAnsiTheme="majorBidi" w:cstheme="majorBidi"/>
        </w:rPr>
        <w:t xml:space="preserve">capacity of effects of financial management reforms system increases, the level </w:t>
      </w:r>
      <w:r>
        <w:rPr>
          <w:rFonts w:asciiTheme="majorBidi" w:hAnsiTheme="majorBidi" w:cstheme="majorBidi"/>
          <w:color w:val="000000"/>
        </w:rPr>
        <w:t xml:space="preserve">financial operations </w:t>
      </w:r>
      <w:r>
        <w:rPr>
          <w:rFonts w:asciiTheme="majorBidi" w:hAnsiTheme="majorBidi" w:cstheme="majorBidi"/>
        </w:rPr>
        <w:t>also increases at middle rate . The value of significance is 0.026 which is less than a = 0.05 level of significance.</w:t>
      </w:r>
    </w:p>
    <w:p w14:paraId="3D5A46E8">
      <w:pPr>
        <w:spacing w:line="276" w:lineRule="auto"/>
        <w:rPr>
          <w:rFonts w:asciiTheme="majorBidi" w:hAnsiTheme="majorBidi" w:cstheme="majorBidi"/>
          <w:color w:val="000000"/>
        </w:rPr>
      </w:pPr>
      <w:bookmarkStart w:id="70" w:name="_Toc135838853"/>
      <w:bookmarkStart w:id="71" w:name="_Toc135839330"/>
      <w:bookmarkStart w:id="72" w:name="_Toc135839549"/>
      <w:r>
        <w:rPr>
          <w:rFonts w:asciiTheme="majorBidi" w:hAnsiTheme="majorBidi" w:cstheme="majorBidi"/>
          <w:b/>
          <w:lang w:val="en-GB" w:eastAsia="en-GB"/>
        </w:rPr>
        <w:t xml:space="preserve">Research Question Three: </w:t>
      </w:r>
      <w:r>
        <w:rPr>
          <w:rFonts w:asciiTheme="majorBidi" w:hAnsiTheme="majorBidi" w:cstheme="majorBidi"/>
          <w:lang w:val="en-GB" w:eastAsia="en-GB"/>
        </w:rPr>
        <w:t xml:space="preserve"> </w:t>
      </w:r>
      <w:r>
        <w:rPr>
          <w:rFonts w:asciiTheme="majorBidi" w:hAnsiTheme="majorBidi" w:cstheme="majorBidi"/>
        </w:rPr>
        <w:t xml:space="preserve">What is the </w:t>
      </w:r>
      <w:r>
        <w:rPr>
          <w:rFonts w:asciiTheme="majorBidi" w:hAnsiTheme="majorBidi" w:cstheme="majorBidi"/>
          <w:lang w:val="en-US"/>
        </w:rPr>
        <w:t>effect</w:t>
      </w:r>
      <w:r>
        <w:rPr>
          <w:rFonts w:asciiTheme="majorBidi" w:hAnsiTheme="majorBidi" w:cstheme="majorBidi"/>
        </w:rPr>
        <w:t xml:space="preserve"> of the Donors </w:t>
      </w:r>
      <w:r>
        <w:rPr>
          <w:rFonts w:asciiTheme="majorBidi" w:hAnsiTheme="majorBidi" w:cstheme="majorBidi"/>
          <w:lang w:val="en-US"/>
        </w:rPr>
        <w:t>on financial operations in the Public</w:t>
      </w:r>
      <w:r>
        <w:rPr>
          <w:rFonts w:asciiTheme="majorBidi" w:hAnsiTheme="majorBidi" w:cstheme="majorBidi"/>
        </w:rPr>
        <w:t xml:space="preserve"> Financial Management Reform in Puntland state?</w:t>
      </w:r>
      <w:r>
        <w:rPr>
          <w:rFonts w:asciiTheme="majorBidi" w:hAnsiTheme="majorBidi" w:cstheme="majorBidi"/>
          <w:lang w:val="en-US"/>
        </w:rPr>
        <w:t xml:space="preserve"> </w:t>
      </w:r>
      <w:bookmarkEnd w:id="70"/>
      <w:bookmarkEnd w:id="71"/>
      <w:bookmarkEnd w:id="72"/>
      <w:r>
        <w:rPr>
          <w:rFonts w:asciiTheme="majorBidi" w:hAnsiTheme="majorBidi" w:cstheme="majorBidi"/>
        </w:rPr>
        <w:t xml:space="preserve">The findings of person’s correlation coefficient for </w:t>
      </w:r>
      <w:r>
        <w:rPr>
          <w:rFonts w:asciiTheme="majorBidi" w:hAnsiTheme="majorBidi" w:cstheme="majorBidi"/>
          <w:color w:val="000000"/>
        </w:rPr>
        <w:t>role</w:t>
      </w:r>
      <w:r>
        <w:rPr>
          <w:rFonts w:asciiTheme="majorBidi" w:hAnsiTheme="majorBidi" w:cstheme="majorBidi"/>
        </w:rPr>
        <w:t xml:space="preserve"> of donors support in financial management reforms and financial operations in Puntland Somalia were r = 0.426 which is weak positive moderate relation correlation meaning that when level of Role of donors support in financial management reforms increases, Level </w:t>
      </w:r>
      <w:r>
        <w:rPr>
          <w:rFonts w:asciiTheme="majorBidi" w:hAnsiTheme="majorBidi" w:cstheme="majorBidi"/>
          <w:color w:val="000000"/>
        </w:rPr>
        <w:t xml:space="preserve">financial operations </w:t>
      </w:r>
      <w:r>
        <w:rPr>
          <w:rFonts w:asciiTheme="majorBidi" w:hAnsiTheme="majorBidi" w:cstheme="majorBidi"/>
        </w:rPr>
        <w:t>also increases at middle rate . The value of significance is 0.013 which is less than a = 0.05 level of significance.</w:t>
      </w:r>
    </w:p>
    <w:p w14:paraId="4B5F08C0">
      <w:pPr>
        <w:pStyle w:val="3"/>
        <w:spacing w:line="276" w:lineRule="auto"/>
        <w:jc w:val="center"/>
        <w:rPr>
          <w:rFonts w:asciiTheme="majorBidi" w:hAnsiTheme="majorBidi"/>
          <w:sz w:val="24"/>
          <w:szCs w:val="24"/>
        </w:rPr>
      </w:pPr>
      <w:bookmarkStart w:id="73" w:name="_Toc101961959"/>
      <w:bookmarkStart w:id="74" w:name="_Toc136959634"/>
      <w:bookmarkStart w:id="75" w:name="_Toc135839550"/>
      <w:r>
        <w:rPr>
          <w:rFonts w:asciiTheme="majorBidi" w:hAnsiTheme="majorBidi"/>
          <w:sz w:val="24"/>
          <w:szCs w:val="24"/>
        </w:rPr>
        <w:t>Conclusions</w:t>
      </w:r>
      <w:bookmarkEnd w:id="73"/>
      <w:bookmarkEnd w:id="74"/>
      <w:bookmarkEnd w:id="75"/>
    </w:p>
    <w:p w14:paraId="73285722">
      <w:pPr>
        <w:spacing w:line="276" w:lineRule="auto"/>
        <w:ind w:firstLine="0"/>
        <w:rPr>
          <w:rFonts w:asciiTheme="majorBidi" w:hAnsiTheme="majorBidi" w:cstheme="majorBidi"/>
        </w:rPr>
      </w:pPr>
      <w:r>
        <w:rPr>
          <w:rFonts w:asciiTheme="majorBidi" w:hAnsiTheme="majorBidi" w:cstheme="majorBidi"/>
        </w:rPr>
        <w:t xml:space="preserve">The study concluded that that </w:t>
      </w:r>
      <w:r>
        <w:rPr>
          <w:rFonts w:asciiTheme="majorBidi" w:hAnsiTheme="majorBidi" w:cstheme="majorBidi"/>
          <w:lang w:val="en-US"/>
        </w:rPr>
        <w:t xml:space="preserve">political commitment, technical capacity and donor’s support </w:t>
      </w:r>
      <w:r>
        <w:rPr>
          <w:rFonts w:asciiTheme="majorBidi" w:hAnsiTheme="majorBidi" w:cstheme="majorBidi"/>
        </w:rPr>
        <w:t xml:space="preserve">effect on </w:t>
      </w:r>
      <w:r>
        <w:rPr>
          <w:rFonts w:asciiTheme="majorBidi" w:hAnsiTheme="majorBidi" w:cstheme="majorBidi"/>
          <w:lang w:val="en-US"/>
        </w:rPr>
        <w:t>financial operations</w:t>
      </w:r>
      <w:r>
        <w:rPr>
          <w:rFonts w:asciiTheme="majorBidi" w:hAnsiTheme="majorBidi" w:cstheme="majorBidi"/>
        </w:rPr>
        <w:t xml:space="preserve">. On the other hand, indicated that </w:t>
      </w:r>
      <w:r>
        <w:rPr>
          <w:rFonts w:asciiTheme="majorBidi" w:hAnsiTheme="majorBidi" w:cstheme="majorBidi"/>
          <w:color w:val="000000"/>
          <w:lang w:val="en-US"/>
        </w:rPr>
        <w:t xml:space="preserve">political commitment and technical capacity </w:t>
      </w:r>
      <w:r>
        <w:rPr>
          <w:rFonts w:asciiTheme="majorBidi" w:hAnsiTheme="majorBidi" w:cstheme="majorBidi"/>
        </w:rPr>
        <w:t xml:space="preserve">are significant predictors of </w:t>
      </w:r>
      <w:r>
        <w:rPr>
          <w:rFonts w:asciiTheme="majorBidi" w:hAnsiTheme="majorBidi" w:cstheme="majorBidi"/>
          <w:lang w:val="en-US"/>
        </w:rPr>
        <w:t>financial operations</w:t>
      </w:r>
      <w:r>
        <w:rPr>
          <w:rFonts w:asciiTheme="majorBidi" w:hAnsiTheme="majorBidi" w:cstheme="majorBidi"/>
        </w:rPr>
        <w:t>.</w:t>
      </w:r>
      <w:r>
        <w:rPr>
          <w:rFonts w:asciiTheme="majorBidi" w:hAnsiTheme="majorBidi" w:cstheme="majorBidi"/>
          <w:lang w:val="en-US"/>
        </w:rPr>
        <w:t xml:space="preserve"> </w:t>
      </w:r>
      <w:r>
        <w:rPr>
          <w:rFonts w:asciiTheme="majorBidi" w:hAnsiTheme="majorBidi" w:cstheme="majorBidi"/>
        </w:rPr>
        <w:t>First,</w:t>
      </w:r>
      <w:r>
        <w:rPr>
          <w:rFonts w:asciiTheme="majorBidi" w:hAnsiTheme="majorBidi" w:cstheme="majorBidi"/>
          <w:spacing w:val="-3"/>
        </w:rPr>
        <w:t xml:space="preserve"> </w:t>
      </w:r>
      <w:r>
        <w:rPr>
          <w:rFonts w:asciiTheme="majorBidi" w:hAnsiTheme="majorBidi" w:cstheme="majorBidi"/>
        </w:rPr>
        <w:t>the level</w:t>
      </w:r>
      <w:r>
        <w:rPr>
          <w:rFonts w:asciiTheme="majorBidi" w:hAnsiTheme="majorBidi" w:cstheme="majorBidi"/>
          <w:spacing w:val="-5"/>
        </w:rPr>
        <w:t xml:space="preserve"> </w:t>
      </w:r>
      <w:r>
        <w:rPr>
          <w:rFonts w:asciiTheme="majorBidi" w:hAnsiTheme="majorBidi" w:cstheme="majorBidi"/>
        </w:rPr>
        <w:t xml:space="preserve">of </w:t>
      </w:r>
      <w:r>
        <w:rPr>
          <w:rFonts w:asciiTheme="majorBidi" w:hAnsiTheme="majorBidi" w:cstheme="majorBidi"/>
          <w:lang w:val="en-US"/>
        </w:rPr>
        <w:t>effect</w:t>
      </w:r>
      <w:r>
        <w:rPr>
          <w:rFonts w:asciiTheme="majorBidi" w:hAnsiTheme="majorBidi" w:cstheme="majorBidi"/>
        </w:rPr>
        <w:t xml:space="preserve"> of Political commitment on the implementation of PFM reform has a poor</w:t>
      </w:r>
      <w:r>
        <w:rPr>
          <w:rFonts w:asciiTheme="majorBidi" w:hAnsiTheme="majorBidi" w:cstheme="majorBidi"/>
          <w:spacing w:val="40"/>
        </w:rPr>
        <w:t xml:space="preserve"> </w:t>
      </w:r>
      <w:r>
        <w:rPr>
          <w:rFonts w:asciiTheme="majorBidi" w:hAnsiTheme="majorBidi" w:cstheme="majorBidi"/>
        </w:rPr>
        <w:t xml:space="preserve">effect on the reform. Political commitment in terms of policy frame, enforcing implementation, setting up funds and establishment of departments for the program implementation were found to </w:t>
      </w:r>
      <w:r>
        <w:rPr>
          <w:rFonts w:asciiTheme="majorBidi" w:hAnsiTheme="majorBidi" w:cstheme="majorBidi"/>
          <w:lang w:val="en-US"/>
        </w:rPr>
        <w:t>effect</w:t>
      </w:r>
      <w:r>
        <w:rPr>
          <w:rFonts w:asciiTheme="majorBidi" w:hAnsiTheme="majorBidi" w:cstheme="majorBidi"/>
        </w:rPr>
        <w:t xml:space="preserve"> on the implementation of the PFM reform in Puntland</w:t>
      </w:r>
      <w:r>
        <w:rPr>
          <w:rFonts w:asciiTheme="majorBidi" w:hAnsiTheme="majorBidi" w:cstheme="majorBidi"/>
          <w:spacing w:val="61"/>
        </w:rPr>
        <w:t xml:space="preserve"> </w:t>
      </w:r>
      <w:r>
        <w:rPr>
          <w:rFonts w:asciiTheme="majorBidi" w:hAnsiTheme="majorBidi" w:cstheme="majorBidi"/>
        </w:rPr>
        <w:t>state.</w:t>
      </w:r>
      <w:r>
        <w:rPr>
          <w:rFonts w:asciiTheme="majorBidi" w:hAnsiTheme="majorBidi" w:cstheme="majorBidi"/>
          <w:spacing w:val="63"/>
        </w:rPr>
        <w:t xml:space="preserve"> </w:t>
      </w:r>
      <w:r>
        <w:rPr>
          <w:rFonts w:asciiTheme="majorBidi" w:hAnsiTheme="majorBidi" w:cstheme="majorBidi"/>
        </w:rPr>
        <w:t>Poor</w:t>
      </w:r>
      <w:r>
        <w:rPr>
          <w:rFonts w:asciiTheme="majorBidi" w:hAnsiTheme="majorBidi" w:cstheme="majorBidi"/>
          <w:spacing w:val="61"/>
        </w:rPr>
        <w:t xml:space="preserve"> </w:t>
      </w:r>
      <w:r>
        <w:rPr>
          <w:rFonts w:asciiTheme="majorBidi" w:hAnsiTheme="majorBidi" w:cstheme="majorBidi"/>
        </w:rPr>
        <w:t>political</w:t>
      </w:r>
      <w:r>
        <w:rPr>
          <w:rFonts w:asciiTheme="majorBidi" w:hAnsiTheme="majorBidi" w:cstheme="majorBidi"/>
          <w:spacing w:val="40"/>
        </w:rPr>
        <w:t xml:space="preserve"> </w:t>
      </w:r>
      <w:r>
        <w:rPr>
          <w:rFonts w:asciiTheme="majorBidi" w:hAnsiTheme="majorBidi" w:cstheme="majorBidi"/>
        </w:rPr>
        <w:t>commitment</w:t>
      </w:r>
      <w:r>
        <w:rPr>
          <w:rFonts w:asciiTheme="majorBidi" w:hAnsiTheme="majorBidi" w:cstheme="majorBidi"/>
          <w:spacing w:val="64"/>
        </w:rPr>
        <w:t xml:space="preserve"> </w:t>
      </w:r>
      <w:r>
        <w:rPr>
          <w:rFonts w:asciiTheme="majorBidi" w:hAnsiTheme="majorBidi" w:cstheme="majorBidi"/>
        </w:rPr>
        <w:t>are</w:t>
      </w:r>
      <w:r>
        <w:rPr>
          <w:rFonts w:asciiTheme="majorBidi" w:hAnsiTheme="majorBidi" w:cstheme="majorBidi"/>
          <w:spacing w:val="40"/>
        </w:rPr>
        <w:t xml:space="preserve"> </w:t>
      </w:r>
      <w:r>
        <w:rPr>
          <w:rFonts w:asciiTheme="majorBidi" w:hAnsiTheme="majorBidi" w:cstheme="majorBidi"/>
        </w:rPr>
        <w:t>the</w:t>
      </w:r>
      <w:r>
        <w:rPr>
          <w:rFonts w:asciiTheme="majorBidi" w:hAnsiTheme="majorBidi" w:cstheme="majorBidi"/>
          <w:spacing w:val="63"/>
        </w:rPr>
        <w:t xml:space="preserve"> </w:t>
      </w:r>
      <w:r>
        <w:rPr>
          <w:rFonts w:asciiTheme="majorBidi" w:hAnsiTheme="majorBidi" w:cstheme="majorBidi"/>
        </w:rPr>
        <w:t>most</w:t>
      </w:r>
      <w:r>
        <w:rPr>
          <w:rFonts w:asciiTheme="majorBidi" w:hAnsiTheme="majorBidi" w:cstheme="majorBidi"/>
          <w:spacing w:val="66"/>
        </w:rPr>
        <w:t xml:space="preserve"> </w:t>
      </w:r>
      <w:r>
        <w:rPr>
          <w:rFonts w:asciiTheme="majorBidi" w:hAnsiTheme="majorBidi" w:cstheme="majorBidi"/>
        </w:rPr>
        <w:t>prevalent</w:t>
      </w:r>
      <w:r>
        <w:rPr>
          <w:rFonts w:asciiTheme="majorBidi" w:hAnsiTheme="majorBidi" w:cstheme="majorBidi"/>
          <w:spacing w:val="66"/>
        </w:rPr>
        <w:t xml:space="preserve"> </w:t>
      </w:r>
      <w:r>
        <w:rPr>
          <w:rFonts w:asciiTheme="majorBidi" w:hAnsiTheme="majorBidi" w:cstheme="majorBidi"/>
        </w:rPr>
        <w:t>hindrances</w:t>
      </w:r>
      <w:r>
        <w:rPr>
          <w:rFonts w:asciiTheme="majorBidi" w:hAnsiTheme="majorBidi" w:cstheme="majorBidi"/>
          <w:spacing w:val="64"/>
        </w:rPr>
        <w:t xml:space="preserve"> </w:t>
      </w:r>
      <w:r>
        <w:rPr>
          <w:rFonts w:asciiTheme="majorBidi" w:hAnsiTheme="majorBidi" w:cstheme="majorBidi"/>
        </w:rPr>
        <w:t>in</w:t>
      </w:r>
      <w:r>
        <w:rPr>
          <w:rFonts w:asciiTheme="majorBidi" w:hAnsiTheme="majorBidi" w:cstheme="majorBidi"/>
          <w:spacing w:val="40"/>
        </w:rPr>
        <w:t xml:space="preserve"> </w:t>
      </w:r>
      <w:r>
        <w:rPr>
          <w:rFonts w:asciiTheme="majorBidi" w:hAnsiTheme="majorBidi" w:cstheme="majorBidi"/>
        </w:rPr>
        <w:t>the</w:t>
      </w:r>
      <w:r>
        <w:rPr>
          <w:rFonts w:asciiTheme="majorBidi" w:hAnsiTheme="majorBidi" w:cstheme="majorBidi"/>
          <w:lang w:val="en-US"/>
        </w:rPr>
        <w:t xml:space="preserve"> </w:t>
      </w:r>
      <w:r>
        <w:rPr>
          <w:rFonts w:asciiTheme="majorBidi" w:hAnsiTheme="majorBidi" w:cstheme="majorBidi"/>
        </w:rPr>
        <w:t>implementation</w:t>
      </w:r>
      <w:r>
        <w:rPr>
          <w:rFonts w:asciiTheme="majorBidi" w:hAnsiTheme="majorBidi" w:cstheme="majorBidi"/>
          <w:spacing w:val="-4"/>
        </w:rPr>
        <w:t xml:space="preserve"> </w:t>
      </w:r>
      <w:r>
        <w:rPr>
          <w:rFonts w:asciiTheme="majorBidi" w:hAnsiTheme="majorBidi" w:cstheme="majorBidi"/>
        </w:rPr>
        <w:t>of</w:t>
      </w:r>
      <w:r>
        <w:rPr>
          <w:rFonts w:asciiTheme="majorBidi" w:hAnsiTheme="majorBidi" w:cstheme="majorBidi"/>
          <w:spacing w:val="-7"/>
        </w:rPr>
        <w:t xml:space="preserve"> </w:t>
      </w:r>
      <w:r>
        <w:rPr>
          <w:rFonts w:asciiTheme="majorBidi" w:hAnsiTheme="majorBidi" w:cstheme="majorBidi"/>
        </w:rPr>
        <w:t>public financial management reforms. This means</w:t>
      </w:r>
      <w:r>
        <w:rPr>
          <w:rFonts w:asciiTheme="majorBidi" w:hAnsiTheme="majorBidi" w:cstheme="majorBidi"/>
          <w:spacing w:val="-2"/>
        </w:rPr>
        <w:t xml:space="preserve"> </w:t>
      </w:r>
      <w:r>
        <w:rPr>
          <w:rFonts w:asciiTheme="majorBidi" w:hAnsiTheme="majorBidi" w:cstheme="majorBidi"/>
        </w:rPr>
        <w:t>that they</w:t>
      </w:r>
      <w:r>
        <w:rPr>
          <w:rFonts w:asciiTheme="majorBidi" w:hAnsiTheme="majorBidi" w:cstheme="majorBidi"/>
          <w:spacing w:val="-9"/>
        </w:rPr>
        <w:t xml:space="preserve"> </w:t>
      </w:r>
      <w:r>
        <w:rPr>
          <w:rFonts w:asciiTheme="majorBidi" w:hAnsiTheme="majorBidi" w:cstheme="majorBidi"/>
        </w:rPr>
        <w:t>all need</w:t>
      </w:r>
      <w:r>
        <w:rPr>
          <w:rFonts w:asciiTheme="majorBidi" w:hAnsiTheme="majorBidi" w:cstheme="majorBidi"/>
          <w:spacing w:val="-1"/>
        </w:rPr>
        <w:t xml:space="preserve"> </w:t>
      </w:r>
      <w:r>
        <w:rPr>
          <w:rFonts w:asciiTheme="majorBidi" w:hAnsiTheme="majorBidi" w:cstheme="majorBidi"/>
        </w:rPr>
        <w:t>to be developed.</w:t>
      </w:r>
    </w:p>
    <w:p w14:paraId="6DA39714">
      <w:pPr>
        <w:spacing w:line="276" w:lineRule="auto"/>
        <w:rPr>
          <w:rFonts w:asciiTheme="majorBidi" w:hAnsiTheme="majorBidi" w:cstheme="majorBidi"/>
        </w:rPr>
      </w:pPr>
      <w:r>
        <w:rPr>
          <w:rFonts w:asciiTheme="majorBidi" w:hAnsiTheme="majorBidi" w:cstheme="majorBidi"/>
        </w:rPr>
        <w:t xml:space="preserve">Secondly, the study concludes that technical capacity had a weak effect on the PFM reform implementation. This indicates that there were some weaknesses that prevented PFM reform for playing its rightful role in ensuring PFM reform implementation prudent use of public resources to enhance service delivery. finally, the study concludes that the role of donors’ support had significant effect on PFM reform. Despite the fact donors were not fully funded, project financing or funding </w:t>
      </w:r>
      <w:r>
        <w:rPr>
          <w:rFonts w:asciiTheme="majorBidi" w:hAnsiTheme="majorBidi" w:cstheme="majorBidi"/>
          <w:lang w:val="en-US"/>
        </w:rPr>
        <w:t>effect</w:t>
      </w:r>
      <w:r>
        <w:rPr>
          <w:rFonts w:asciiTheme="majorBidi" w:hAnsiTheme="majorBidi" w:cstheme="majorBidi"/>
        </w:rPr>
        <w:t xml:space="preserve"> the successful implementation. However, this means that there is capacity building and training which enhance proficiency of the PFM reform.</w:t>
      </w:r>
    </w:p>
    <w:p w14:paraId="37E7D17A">
      <w:pPr>
        <w:pStyle w:val="3"/>
        <w:spacing w:line="276" w:lineRule="auto"/>
        <w:jc w:val="center"/>
        <w:rPr>
          <w:rFonts w:asciiTheme="majorBidi" w:hAnsiTheme="majorBidi"/>
          <w:sz w:val="24"/>
          <w:szCs w:val="24"/>
        </w:rPr>
      </w:pPr>
      <w:bookmarkStart w:id="76" w:name="_Toc135839553"/>
      <w:bookmarkStart w:id="77" w:name="_Toc135839334"/>
      <w:bookmarkStart w:id="78" w:name="_Toc101961960"/>
      <w:bookmarkStart w:id="79" w:name="_Toc136959635"/>
      <w:r>
        <w:rPr>
          <w:rFonts w:asciiTheme="majorBidi" w:hAnsiTheme="majorBidi"/>
          <w:sz w:val="24"/>
          <w:szCs w:val="24"/>
        </w:rPr>
        <w:t>Recommendations</w:t>
      </w:r>
      <w:bookmarkEnd w:id="76"/>
      <w:bookmarkEnd w:id="77"/>
      <w:bookmarkEnd w:id="78"/>
      <w:bookmarkEnd w:id="79"/>
    </w:p>
    <w:p w14:paraId="535C0EDC">
      <w:pPr>
        <w:adjustRightInd w:val="0"/>
        <w:spacing w:line="276" w:lineRule="auto"/>
        <w:ind w:firstLine="0"/>
        <w:rPr>
          <w:rFonts w:eastAsia="Calibri" w:asciiTheme="majorBidi" w:hAnsiTheme="majorBidi" w:cstheme="majorBidi"/>
          <w:color w:val="000000"/>
        </w:rPr>
      </w:pPr>
      <w:r>
        <w:rPr>
          <w:rFonts w:eastAsia="Calibri" w:asciiTheme="majorBidi" w:hAnsiTheme="majorBidi" w:cstheme="majorBidi"/>
          <w:color w:val="000000"/>
        </w:rPr>
        <w:t>Based on the findings of the study the researcher forwarded the following recommendations.</w:t>
      </w:r>
    </w:p>
    <w:p w14:paraId="0DB2EA16">
      <w:pPr>
        <w:spacing w:line="276" w:lineRule="auto"/>
        <w:rPr>
          <w:rFonts w:asciiTheme="majorBidi" w:hAnsiTheme="majorBidi" w:cstheme="majorBidi"/>
        </w:rPr>
      </w:pPr>
      <w:r>
        <w:rPr>
          <w:rFonts w:asciiTheme="majorBidi" w:hAnsiTheme="majorBidi" w:cstheme="majorBidi"/>
        </w:rPr>
        <w:t>First, it is recommended that the Puntland government have to create strong political commitment to achieve the implementation of PFM reform because successful reform almost always entails the redistribution of power and influence unless there is sufficient political</w:t>
      </w:r>
      <w:r>
        <w:rPr>
          <w:rFonts w:asciiTheme="majorBidi" w:hAnsiTheme="majorBidi" w:cstheme="majorBidi"/>
          <w:spacing w:val="-5"/>
        </w:rPr>
        <w:t xml:space="preserve"> </w:t>
      </w:r>
      <w:r>
        <w:rPr>
          <w:rFonts w:asciiTheme="majorBidi" w:hAnsiTheme="majorBidi" w:cstheme="majorBidi"/>
        </w:rPr>
        <w:t>will, reform</w:t>
      </w:r>
      <w:r>
        <w:rPr>
          <w:rFonts w:asciiTheme="majorBidi" w:hAnsiTheme="majorBidi" w:cstheme="majorBidi"/>
          <w:spacing w:val="-1"/>
        </w:rPr>
        <w:t xml:space="preserve"> </w:t>
      </w:r>
      <w:r>
        <w:rPr>
          <w:rFonts w:asciiTheme="majorBidi" w:hAnsiTheme="majorBidi" w:cstheme="majorBidi"/>
        </w:rPr>
        <w:t>initiatives may</w:t>
      </w:r>
      <w:r>
        <w:rPr>
          <w:rFonts w:asciiTheme="majorBidi" w:hAnsiTheme="majorBidi" w:cstheme="majorBidi"/>
          <w:spacing w:val="-1"/>
        </w:rPr>
        <w:t xml:space="preserve"> </w:t>
      </w:r>
      <w:r>
        <w:rPr>
          <w:rFonts w:asciiTheme="majorBidi" w:hAnsiTheme="majorBidi" w:cstheme="majorBidi"/>
        </w:rPr>
        <w:t>falter. A</w:t>
      </w:r>
      <w:r>
        <w:rPr>
          <w:rFonts w:asciiTheme="majorBidi" w:hAnsiTheme="majorBidi" w:cstheme="majorBidi"/>
          <w:spacing w:val="-2"/>
        </w:rPr>
        <w:t xml:space="preserve"> </w:t>
      </w:r>
      <w:r>
        <w:rPr>
          <w:rFonts w:asciiTheme="majorBidi" w:hAnsiTheme="majorBidi" w:cstheme="majorBidi"/>
        </w:rPr>
        <w:t>key</w:t>
      </w:r>
      <w:r>
        <w:rPr>
          <w:rFonts w:asciiTheme="majorBidi" w:hAnsiTheme="majorBidi" w:cstheme="majorBidi"/>
          <w:spacing w:val="-5"/>
        </w:rPr>
        <w:t xml:space="preserve"> </w:t>
      </w:r>
      <w:r>
        <w:rPr>
          <w:rFonts w:asciiTheme="majorBidi" w:hAnsiTheme="majorBidi" w:cstheme="majorBidi"/>
        </w:rPr>
        <w:t>success factor</w:t>
      </w:r>
      <w:r>
        <w:rPr>
          <w:rFonts w:asciiTheme="majorBidi" w:hAnsiTheme="majorBidi" w:cstheme="majorBidi"/>
          <w:spacing w:val="-4"/>
        </w:rPr>
        <w:t xml:space="preserve"> </w:t>
      </w:r>
      <w:r>
        <w:rPr>
          <w:rFonts w:asciiTheme="majorBidi" w:hAnsiTheme="majorBidi" w:cstheme="majorBidi"/>
        </w:rPr>
        <w:t>of</w:t>
      </w:r>
      <w:r>
        <w:rPr>
          <w:rFonts w:asciiTheme="majorBidi" w:hAnsiTheme="majorBidi" w:cstheme="majorBidi"/>
          <w:spacing w:val="-4"/>
        </w:rPr>
        <w:t xml:space="preserve"> </w:t>
      </w:r>
      <w:r>
        <w:rPr>
          <w:rFonts w:asciiTheme="majorBidi" w:hAnsiTheme="majorBidi" w:cstheme="majorBidi"/>
        </w:rPr>
        <w:t>the</w:t>
      </w:r>
      <w:r>
        <w:rPr>
          <w:rFonts w:asciiTheme="majorBidi" w:hAnsiTheme="majorBidi" w:cstheme="majorBidi"/>
          <w:spacing w:val="-2"/>
        </w:rPr>
        <w:t xml:space="preserve"> </w:t>
      </w:r>
      <w:r>
        <w:rPr>
          <w:rFonts w:asciiTheme="majorBidi" w:hAnsiTheme="majorBidi" w:cstheme="majorBidi"/>
        </w:rPr>
        <w:t>reform</w:t>
      </w:r>
      <w:r>
        <w:rPr>
          <w:rFonts w:asciiTheme="majorBidi" w:hAnsiTheme="majorBidi" w:cstheme="majorBidi"/>
          <w:spacing w:val="-5"/>
        </w:rPr>
        <w:t xml:space="preserve"> </w:t>
      </w:r>
      <w:r>
        <w:rPr>
          <w:rFonts w:asciiTheme="majorBidi" w:hAnsiTheme="majorBidi" w:cstheme="majorBidi"/>
        </w:rPr>
        <w:t>the level</w:t>
      </w:r>
      <w:r>
        <w:rPr>
          <w:rFonts w:asciiTheme="majorBidi" w:hAnsiTheme="majorBidi" w:cstheme="majorBidi"/>
          <w:spacing w:val="-5"/>
        </w:rPr>
        <w:t xml:space="preserve"> </w:t>
      </w:r>
      <w:r>
        <w:rPr>
          <w:rFonts w:asciiTheme="majorBidi" w:hAnsiTheme="majorBidi" w:cstheme="majorBidi"/>
        </w:rPr>
        <w:t xml:space="preserve">of political and bureaucratic support for the reform, under the leadership of the president, minister of finance, and central agencies. </w:t>
      </w:r>
    </w:p>
    <w:p w14:paraId="23CB1181">
      <w:pPr>
        <w:spacing w:line="276" w:lineRule="auto"/>
        <w:rPr>
          <w:rFonts w:asciiTheme="majorBidi" w:hAnsiTheme="majorBidi" w:cstheme="majorBidi"/>
        </w:rPr>
      </w:pPr>
      <w:r>
        <w:rPr>
          <w:rFonts w:asciiTheme="majorBidi" w:hAnsiTheme="majorBidi" w:cstheme="majorBidi"/>
        </w:rPr>
        <w:t>Secondly, Puntland State of Somalia should improve and adopt appropriate technical capacity enhancement to ensure the quality, reliability, and sustainability</w:t>
      </w:r>
      <w:r>
        <w:rPr>
          <w:rFonts w:asciiTheme="majorBidi" w:hAnsiTheme="majorBidi" w:cstheme="majorBidi"/>
          <w:spacing w:val="-1"/>
        </w:rPr>
        <w:t xml:space="preserve"> </w:t>
      </w:r>
      <w:r>
        <w:rPr>
          <w:rFonts w:asciiTheme="majorBidi" w:hAnsiTheme="majorBidi" w:cstheme="majorBidi"/>
        </w:rPr>
        <w:t>of the PFM reform. also, PFM reforms ability</w:t>
      </w:r>
      <w:r>
        <w:rPr>
          <w:rFonts w:asciiTheme="majorBidi" w:hAnsiTheme="majorBidi" w:cstheme="majorBidi"/>
          <w:spacing w:val="-1"/>
        </w:rPr>
        <w:t xml:space="preserve"> </w:t>
      </w:r>
      <w:r>
        <w:rPr>
          <w:rFonts w:asciiTheme="majorBidi" w:hAnsiTheme="majorBidi" w:cstheme="majorBidi"/>
        </w:rPr>
        <w:t xml:space="preserve">to change the behaviors of public sector organizations and individual public servants, leading to improve PFM capability and capacity may operate at a systemic level ( for example, a conductive legislative environment), at the level of the public sector organization ( a compatible organizational design, monitoring, and evaluation systems, individual performance management systems, change management capability and a dedicated implementation team), and at the level of individual public servants and teams. </w:t>
      </w:r>
    </w:p>
    <w:p w14:paraId="6F1C7AB9">
      <w:pPr>
        <w:spacing w:line="276" w:lineRule="auto"/>
        <w:ind w:firstLine="0"/>
        <w:rPr>
          <w:rFonts w:asciiTheme="majorBidi" w:hAnsiTheme="majorBidi" w:cstheme="majorBidi"/>
          <w:spacing w:val="-2"/>
          <w:lang w:val="en-US"/>
        </w:rPr>
      </w:pPr>
      <w:r>
        <w:rPr>
          <w:rFonts w:asciiTheme="majorBidi" w:hAnsiTheme="majorBidi" w:cstheme="majorBidi"/>
        </w:rPr>
        <w:t>Finally, Puntland</w:t>
      </w:r>
      <w:r>
        <w:rPr>
          <w:rFonts w:asciiTheme="majorBidi" w:hAnsiTheme="majorBidi" w:cstheme="majorBidi"/>
          <w:spacing w:val="11"/>
        </w:rPr>
        <w:t xml:space="preserve"> </w:t>
      </w:r>
      <w:r>
        <w:rPr>
          <w:rFonts w:asciiTheme="majorBidi" w:hAnsiTheme="majorBidi" w:cstheme="majorBidi"/>
        </w:rPr>
        <w:t>State</w:t>
      </w:r>
      <w:r>
        <w:rPr>
          <w:rFonts w:asciiTheme="majorBidi" w:hAnsiTheme="majorBidi" w:cstheme="majorBidi"/>
          <w:spacing w:val="5"/>
        </w:rPr>
        <w:t xml:space="preserve"> </w:t>
      </w:r>
      <w:r>
        <w:rPr>
          <w:rFonts w:asciiTheme="majorBidi" w:hAnsiTheme="majorBidi" w:cstheme="majorBidi"/>
        </w:rPr>
        <w:t>should</w:t>
      </w:r>
      <w:r>
        <w:rPr>
          <w:rFonts w:asciiTheme="majorBidi" w:hAnsiTheme="majorBidi" w:cstheme="majorBidi"/>
          <w:spacing w:val="12"/>
        </w:rPr>
        <w:t xml:space="preserve"> </w:t>
      </w:r>
      <w:r>
        <w:rPr>
          <w:rFonts w:asciiTheme="majorBidi" w:hAnsiTheme="majorBidi" w:cstheme="majorBidi"/>
        </w:rPr>
        <w:t>allocate</w:t>
      </w:r>
      <w:r>
        <w:rPr>
          <w:rFonts w:asciiTheme="majorBidi" w:hAnsiTheme="majorBidi" w:cstheme="majorBidi"/>
          <w:spacing w:val="10"/>
        </w:rPr>
        <w:t xml:space="preserve"> </w:t>
      </w:r>
      <w:r>
        <w:rPr>
          <w:rFonts w:asciiTheme="majorBidi" w:hAnsiTheme="majorBidi" w:cstheme="majorBidi"/>
        </w:rPr>
        <w:t>budget</w:t>
      </w:r>
      <w:r>
        <w:rPr>
          <w:rFonts w:asciiTheme="majorBidi" w:hAnsiTheme="majorBidi" w:cstheme="majorBidi"/>
          <w:spacing w:val="12"/>
        </w:rPr>
        <w:t xml:space="preserve"> </w:t>
      </w:r>
      <w:r>
        <w:rPr>
          <w:rFonts w:asciiTheme="majorBidi" w:hAnsiTheme="majorBidi" w:cstheme="majorBidi"/>
        </w:rPr>
        <w:t>and</w:t>
      </w:r>
      <w:r>
        <w:rPr>
          <w:rFonts w:asciiTheme="majorBidi" w:hAnsiTheme="majorBidi" w:cstheme="majorBidi"/>
          <w:spacing w:val="12"/>
        </w:rPr>
        <w:t xml:space="preserve"> </w:t>
      </w:r>
      <w:r>
        <w:rPr>
          <w:rFonts w:asciiTheme="majorBidi" w:hAnsiTheme="majorBidi" w:cstheme="majorBidi"/>
        </w:rPr>
        <w:t>special</w:t>
      </w:r>
      <w:r>
        <w:rPr>
          <w:rFonts w:asciiTheme="majorBidi" w:hAnsiTheme="majorBidi" w:cstheme="majorBidi"/>
          <w:spacing w:val="7"/>
        </w:rPr>
        <w:t xml:space="preserve"> </w:t>
      </w:r>
      <w:r>
        <w:rPr>
          <w:rFonts w:asciiTheme="majorBidi" w:hAnsiTheme="majorBidi" w:cstheme="majorBidi"/>
        </w:rPr>
        <w:t>departments</w:t>
      </w:r>
      <w:r>
        <w:rPr>
          <w:rFonts w:asciiTheme="majorBidi" w:hAnsiTheme="majorBidi" w:cstheme="majorBidi"/>
          <w:spacing w:val="10"/>
        </w:rPr>
        <w:t xml:space="preserve"> </w:t>
      </w:r>
      <w:r>
        <w:rPr>
          <w:rFonts w:asciiTheme="majorBidi" w:hAnsiTheme="majorBidi" w:cstheme="majorBidi"/>
        </w:rPr>
        <w:t>for</w:t>
      </w:r>
      <w:r>
        <w:rPr>
          <w:rFonts w:asciiTheme="majorBidi" w:hAnsiTheme="majorBidi" w:cstheme="majorBidi"/>
          <w:spacing w:val="8"/>
        </w:rPr>
        <w:t xml:space="preserve"> </w:t>
      </w:r>
      <w:r>
        <w:rPr>
          <w:rFonts w:asciiTheme="majorBidi" w:hAnsiTheme="majorBidi" w:cstheme="majorBidi"/>
        </w:rPr>
        <w:t>the</w:t>
      </w:r>
      <w:r>
        <w:rPr>
          <w:rFonts w:asciiTheme="majorBidi" w:hAnsiTheme="majorBidi" w:cstheme="majorBidi"/>
          <w:spacing w:val="10"/>
        </w:rPr>
        <w:t xml:space="preserve"> </w:t>
      </w:r>
      <w:r>
        <w:rPr>
          <w:rFonts w:asciiTheme="majorBidi" w:hAnsiTheme="majorBidi" w:cstheme="majorBidi"/>
        </w:rPr>
        <w:t>implementation</w:t>
      </w:r>
      <w:r>
        <w:rPr>
          <w:rFonts w:asciiTheme="majorBidi" w:hAnsiTheme="majorBidi" w:cstheme="majorBidi"/>
          <w:spacing w:val="7"/>
        </w:rPr>
        <w:t xml:space="preserve"> </w:t>
      </w:r>
      <w:r>
        <w:rPr>
          <w:rFonts w:asciiTheme="majorBidi" w:hAnsiTheme="majorBidi" w:cstheme="majorBidi"/>
          <w:spacing w:val="-5"/>
        </w:rPr>
        <w:t>of</w:t>
      </w:r>
      <w:r>
        <w:rPr>
          <w:rFonts w:asciiTheme="majorBidi" w:hAnsiTheme="majorBidi" w:cstheme="majorBidi"/>
        </w:rPr>
        <w:t xml:space="preserve"> PFM reform to ensure the sustainability of the program. PFM reform requires far- reaching complementary changes, not only the budgeting system but also to related management systems. The bottom</w:t>
      </w:r>
      <w:r>
        <w:rPr>
          <w:rFonts w:asciiTheme="majorBidi" w:hAnsiTheme="majorBidi" w:cstheme="majorBidi"/>
          <w:spacing w:val="-3"/>
        </w:rPr>
        <w:t xml:space="preserve"> </w:t>
      </w:r>
      <w:r>
        <w:rPr>
          <w:rFonts w:asciiTheme="majorBidi" w:hAnsiTheme="majorBidi" w:cstheme="majorBidi"/>
        </w:rPr>
        <w:t>line is</w:t>
      </w:r>
      <w:r>
        <w:rPr>
          <w:rFonts w:asciiTheme="majorBidi" w:hAnsiTheme="majorBidi" w:cstheme="majorBidi"/>
          <w:spacing w:val="-1"/>
        </w:rPr>
        <w:t xml:space="preserve"> </w:t>
      </w:r>
      <w:r>
        <w:rPr>
          <w:rFonts w:asciiTheme="majorBidi" w:hAnsiTheme="majorBidi" w:cstheme="majorBidi"/>
        </w:rPr>
        <w:t>that can</w:t>
      </w:r>
      <w:r>
        <w:rPr>
          <w:rFonts w:asciiTheme="majorBidi" w:hAnsiTheme="majorBidi" w:cstheme="majorBidi"/>
          <w:spacing w:val="-3"/>
        </w:rPr>
        <w:t xml:space="preserve"> </w:t>
      </w:r>
      <w:r>
        <w:rPr>
          <w:rFonts w:asciiTheme="majorBidi" w:hAnsiTheme="majorBidi" w:cstheme="majorBidi"/>
        </w:rPr>
        <w:t>mutually reinforce public sector</w:t>
      </w:r>
      <w:r>
        <w:rPr>
          <w:rFonts w:asciiTheme="majorBidi" w:hAnsiTheme="majorBidi" w:cstheme="majorBidi"/>
          <w:spacing w:val="-2"/>
        </w:rPr>
        <w:t xml:space="preserve"> </w:t>
      </w:r>
      <w:r>
        <w:rPr>
          <w:rFonts w:asciiTheme="majorBidi" w:hAnsiTheme="majorBidi" w:cstheme="majorBidi"/>
        </w:rPr>
        <w:t xml:space="preserve">reform </w:t>
      </w:r>
      <w:r>
        <w:rPr>
          <w:rFonts w:asciiTheme="majorBidi" w:hAnsiTheme="majorBidi" w:cstheme="majorBidi"/>
          <w:spacing w:val="-2"/>
        </w:rPr>
        <w:t>initiatives</w:t>
      </w:r>
      <w:r>
        <w:rPr>
          <w:rFonts w:asciiTheme="majorBidi" w:hAnsiTheme="majorBidi" w:cstheme="majorBidi"/>
          <w:spacing w:val="-2"/>
          <w:lang w:val="en-US"/>
        </w:rPr>
        <w:t>.</w:t>
      </w:r>
    </w:p>
    <w:p w14:paraId="56043D66">
      <w:pPr>
        <w:spacing w:line="276" w:lineRule="auto"/>
        <w:ind w:firstLine="0"/>
        <w:rPr>
          <w:rFonts w:asciiTheme="majorBidi" w:hAnsiTheme="majorBidi" w:cstheme="majorBidi"/>
          <w:spacing w:val="-2"/>
          <w:lang w:val="en-US"/>
        </w:rPr>
      </w:pPr>
    </w:p>
    <w:p w14:paraId="50B90BE1">
      <w:pPr>
        <w:spacing w:line="276" w:lineRule="auto"/>
        <w:ind w:firstLine="0"/>
        <w:rPr>
          <w:rFonts w:asciiTheme="majorBidi" w:hAnsiTheme="majorBidi" w:cstheme="majorBidi"/>
        </w:rPr>
      </w:pPr>
    </w:p>
    <w:p w14:paraId="5D0BBD60">
      <w:pPr>
        <w:spacing w:line="276" w:lineRule="auto"/>
        <w:ind w:firstLine="0"/>
        <w:rPr>
          <w:rFonts w:asciiTheme="majorBidi" w:hAnsiTheme="majorBidi" w:cstheme="majorBidi"/>
        </w:rPr>
      </w:pPr>
    </w:p>
    <w:p w14:paraId="3DE5CA6D">
      <w:pPr>
        <w:spacing w:line="276" w:lineRule="auto"/>
        <w:ind w:firstLine="0"/>
        <w:rPr>
          <w:rFonts w:asciiTheme="majorBidi" w:hAnsiTheme="majorBidi" w:cstheme="majorBidi"/>
        </w:rPr>
      </w:pPr>
    </w:p>
    <w:p w14:paraId="3C42A9C3">
      <w:pPr>
        <w:spacing w:line="276" w:lineRule="auto"/>
        <w:ind w:firstLine="0"/>
        <w:rPr>
          <w:rFonts w:asciiTheme="majorBidi" w:hAnsiTheme="majorBidi" w:cstheme="majorBidi"/>
        </w:rPr>
      </w:pPr>
    </w:p>
    <w:p w14:paraId="2A437BCE">
      <w:pPr>
        <w:spacing w:line="276" w:lineRule="auto"/>
        <w:ind w:firstLine="0"/>
        <w:rPr>
          <w:rFonts w:asciiTheme="majorBidi" w:hAnsiTheme="majorBidi" w:cstheme="majorBidi"/>
        </w:rPr>
      </w:pPr>
    </w:p>
    <w:sdt>
      <w:sdtPr>
        <w:rPr>
          <w:rFonts w:asciiTheme="majorBidi" w:hAnsiTheme="majorBidi" w:eastAsiaTheme="minorHAnsi"/>
          <w:b/>
          <w:bCs/>
          <w:color w:val="auto"/>
          <w:sz w:val="24"/>
          <w:szCs w:val="24"/>
        </w:rPr>
        <w:id w:val="-790817673"/>
        <w:docPartObj>
          <w:docPartGallery w:val="AutoText"/>
        </w:docPartObj>
      </w:sdtPr>
      <w:sdtEndPr>
        <w:rPr>
          <w:rFonts w:asciiTheme="majorBidi" w:hAnsiTheme="majorBidi" w:eastAsiaTheme="minorHAnsi"/>
          <w:b w:val="0"/>
          <w:bCs w:val="0"/>
          <w:color w:val="auto"/>
          <w:sz w:val="24"/>
          <w:szCs w:val="24"/>
        </w:rPr>
      </w:sdtEndPr>
      <w:sdtContent>
        <w:p w14:paraId="09FF6D7D">
          <w:pPr>
            <w:pStyle w:val="2"/>
            <w:spacing w:line="276" w:lineRule="auto"/>
            <w:jc w:val="center"/>
            <w:rPr>
              <w:rFonts w:asciiTheme="majorBidi" w:hAnsiTheme="majorBidi"/>
              <w:sz w:val="24"/>
              <w:szCs w:val="24"/>
            </w:rPr>
          </w:pPr>
          <w:bookmarkStart w:id="80" w:name="_Toc136959636"/>
          <w:r>
            <w:rPr>
              <w:rFonts w:asciiTheme="majorBidi" w:hAnsiTheme="majorBidi"/>
              <w:sz w:val="24"/>
              <w:szCs w:val="24"/>
            </w:rPr>
            <w:t>References</w:t>
          </w:r>
          <w:bookmarkEnd w:id="80"/>
        </w:p>
        <w:sdt>
          <w:sdtPr>
            <w:rPr>
              <w:rFonts w:asciiTheme="majorBidi" w:hAnsiTheme="majorBidi" w:cstheme="majorBidi"/>
            </w:rPr>
            <w:id w:val="-573587230"/>
          </w:sdtPr>
          <w:sdtEndPr>
            <w:rPr>
              <w:rFonts w:asciiTheme="majorBidi" w:hAnsiTheme="majorBidi" w:cstheme="majorBidi"/>
            </w:rPr>
          </w:sdtEndPr>
          <w:sdtContent>
            <w:p w14:paraId="271803C4">
              <w:pPr>
                <w:pStyle w:val="73"/>
                <w:spacing w:line="276" w:lineRule="auto"/>
                <w:ind w:left="720" w:hanging="720"/>
                <w:contextualSpacing/>
                <w:jc w:val="left"/>
                <w:rPr>
                  <w:rFonts w:asciiTheme="majorBidi" w:hAnsiTheme="majorBidi" w:cstheme="majorBidi"/>
                </w:rPr>
              </w:pPr>
              <w:r>
                <w:rPr>
                  <w:rFonts w:asciiTheme="majorBidi" w:hAnsiTheme="majorBidi" w:cstheme="majorBidi"/>
                </w:rPr>
                <w:fldChar w:fldCharType="begin"/>
              </w:r>
              <w:r>
                <w:rPr>
                  <w:rFonts w:asciiTheme="majorBidi" w:hAnsiTheme="majorBidi" w:cstheme="majorBidi"/>
                </w:rPr>
                <w:instrText xml:space="preserve"> BIBLIOGRAPHY </w:instrText>
              </w:r>
              <w:r>
                <w:rPr>
                  <w:rFonts w:asciiTheme="majorBidi" w:hAnsiTheme="majorBidi" w:cstheme="majorBidi"/>
                </w:rPr>
                <w:fldChar w:fldCharType="separate"/>
              </w:r>
            </w:p>
            <w:p w14:paraId="74A518B1">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Hélis, J.-L. M., &amp; Daban, T. (2010). </w:t>
              </w:r>
              <w:r>
                <w:rPr>
                  <w:rFonts w:asciiTheme="majorBidi" w:hAnsiTheme="majorBidi" w:cstheme="majorBidi"/>
                  <w:i/>
                  <w:iCs/>
                </w:rPr>
                <w:t>A Public Financial Management Framework for Resources-Producing Countries.</w:t>
              </w:r>
              <w:r>
                <w:rPr>
                  <w:rFonts w:asciiTheme="majorBidi" w:hAnsiTheme="majorBidi" w:cstheme="majorBidi"/>
                </w:rPr>
                <w:t xml:space="preserve"> washington: International Monetary Fund.</w:t>
              </w:r>
            </w:p>
            <w:p w14:paraId="7CB12F24">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Hendriks, C. J. (2012). Integrated Financial Management Information Systems: Guidelines for effective implementation by the public sector of South Africa. </w:t>
              </w:r>
              <w:r>
                <w:rPr>
                  <w:rFonts w:asciiTheme="majorBidi" w:hAnsiTheme="majorBidi" w:cstheme="majorBidi"/>
                  <w:i/>
                  <w:iCs/>
                </w:rPr>
                <w:t>SA Journal of Information Management</w:t>
              </w:r>
              <w:r>
                <w:rPr>
                  <w:rFonts w:asciiTheme="majorBidi" w:hAnsiTheme="majorBidi" w:cstheme="majorBidi"/>
                </w:rPr>
                <w:t>, 9.</w:t>
              </w:r>
            </w:p>
            <w:p w14:paraId="346A6733">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Hussein Mohamed. (2023, April 6). </w:t>
              </w:r>
              <w:r>
                <w:rPr>
                  <w:rFonts w:asciiTheme="majorBidi" w:hAnsiTheme="majorBidi" w:cstheme="majorBidi"/>
                  <w:i/>
                  <w:iCs/>
                </w:rPr>
                <w:t>https://en.wikipedia.org/wiki/Puntland.</w:t>
              </w:r>
              <w:r>
                <w:rPr>
                  <w:rFonts w:asciiTheme="majorBidi" w:hAnsiTheme="majorBidi" w:cstheme="majorBidi"/>
                </w:rPr>
                <w:t xml:space="preserve"> From https://en.wikipedia.org/wiki/Puntland: https://en.wikipedia.org/wiki/Puntland#:~:text=The%20name%20%22Puntland%22%20is%20derived,that%20it%20was%20situated%20elsewhere.</w:t>
              </w:r>
            </w:p>
            <w:p w14:paraId="7105D163">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J. K. (2008). An assessment of agency theory as a framework for the government–. </w:t>
              </w:r>
              <w:r>
                <w:rPr>
                  <w:rFonts w:asciiTheme="majorBidi" w:hAnsiTheme="majorBidi" w:cstheme="majorBidi"/>
                  <w:i/>
                  <w:iCs/>
                </w:rPr>
                <w:t>Journal of Higher Education Policy and Management</w:t>
              </w:r>
              <w:r>
                <w:rPr>
                  <w:rFonts w:asciiTheme="majorBidi" w:hAnsiTheme="majorBidi" w:cstheme="majorBidi"/>
                </w:rPr>
                <w:t>, 339–350.</w:t>
              </w:r>
            </w:p>
            <w:p w14:paraId="073EB635">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Karingi, S. N. (2005). tax reforms in Kenya. </w:t>
              </w:r>
              <w:r>
                <w:rPr>
                  <w:rFonts w:asciiTheme="majorBidi" w:hAnsiTheme="majorBidi" w:cstheme="majorBidi"/>
                  <w:i/>
                  <w:iCs/>
                </w:rPr>
                <w:t>WIDER Research Paper</w:t>
              </w:r>
              <w:r>
                <w:rPr>
                  <w:rFonts w:asciiTheme="majorBidi" w:hAnsiTheme="majorBidi" w:cstheme="majorBidi"/>
                </w:rPr>
                <w:t>, 67.</w:t>
              </w:r>
            </w:p>
            <w:p w14:paraId="0BE0D0D2">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Katsamunska, P. (2012). Public Management and Administration: An Introduction. In P. Katsamunska, </w:t>
              </w:r>
              <w:r>
                <w:rPr>
                  <w:rFonts w:asciiTheme="majorBidi" w:hAnsiTheme="majorBidi" w:cstheme="majorBidi"/>
                  <w:i/>
                  <w:iCs/>
                </w:rPr>
                <w:t>Classical and Modern Approaches to Public Administration</w:t>
              </w:r>
              <w:r>
                <w:rPr>
                  <w:rFonts w:asciiTheme="majorBidi" w:hAnsiTheme="majorBidi" w:cstheme="majorBidi"/>
                </w:rPr>
                <w:t xml:space="preserve"> (pp. 74-81). Sofia : Economic Alternatives.</w:t>
              </w:r>
            </w:p>
            <w:p w14:paraId="4AB7B94B">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KOTHARI, C. (2004). </w:t>
              </w:r>
              <w:r>
                <w:rPr>
                  <w:rFonts w:asciiTheme="majorBidi" w:hAnsiTheme="majorBidi" w:cstheme="majorBidi"/>
                  <w:i/>
                  <w:iCs/>
                </w:rPr>
                <w:t>Research Methodology:.</w:t>
              </w:r>
              <w:r>
                <w:rPr>
                  <w:rFonts w:asciiTheme="majorBidi" w:hAnsiTheme="majorBidi" w:cstheme="majorBidi"/>
                </w:rPr>
                <w:t xml:space="preserve"> New Dehi: New Age International (P) Ltd.</w:t>
              </w:r>
            </w:p>
            <w:p w14:paraId="054C4426">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KURIA, M. R. (2011). </w:t>
              </w:r>
              <w:r>
                <w:rPr>
                  <w:rFonts w:asciiTheme="majorBidi" w:hAnsiTheme="majorBidi" w:cstheme="majorBidi"/>
                  <w:i/>
                  <w:iCs/>
                </w:rPr>
                <w:t>THE IMPACT OF THE PUBLIC FINANCIAL MANAGEMENT REFORMS ON FINANCIAL OPERATIONS OF THE MINISTRY OFFINANCE.</w:t>
              </w:r>
              <w:r>
                <w:rPr>
                  <w:rFonts w:asciiTheme="majorBidi" w:hAnsiTheme="majorBidi" w:cstheme="majorBidi"/>
                </w:rPr>
                <w:t xml:space="preserve"> Nairobi: UNIVERSITY OF NAIROBI LOWER KABETE LIBRARY.</w:t>
              </w:r>
            </w:p>
            <w:p w14:paraId="59DF075F">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L. R. Jones , &amp; D. K. (2003). ASSESSING PUBLIC MANAGEMENT REFORM IN ANINTERNATIONAL CONTEXT. </w:t>
              </w:r>
              <w:r>
                <w:rPr>
                  <w:rFonts w:asciiTheme="majorBidi" w:hAnsiTheme="majorBidi" w:cstheme="majorBidi"/>
                  <w:i/>
                  <w:iCs/>
                </w:rPr>
                <w:t>International Public Management Networ</w:t>
              </w:r>
              <w:r>
                <w:rPr>
                  <w:rFonts w:asciiTheme="majorBidi" w:hAnsiTheme="majorBidi" w:cstheme="majorBidi"/>
                </w:rPr>
                <w:t>, 19.</w:t>
              </w:r>
            </w:p>
            <w:p w14:paraId="5C2AAFBC">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Lawson Andrew. (2015). Public Financial Management. In L. Andrew, </w:t>
              </w:r>
              <w:r>
                <w:rPr>
                  <w:rFonts w:asciiTheme="majorBidi" w:hAnsiTheme="majorBidi" w:cstheme="majorBidi"/>
                  <w:i/>
                  <w:iCs/>
                </w:rPr>
                <w:t>Public Financial Management</w:t>
              </w:r>
              <w:r>
                <w:rPr>
                  <w:rFonts w:asciiTheme="majorBidi" w:hAnsiTheme="majorBidi" w:cstheme="majorBidi"/>
                </w:rPr>
                <w:t xml:space="preserve"> (p. 6). Birmingham: Governance. Social Development.Huminaterian.Conflict.</w:t>
              </w:r>
            </w:p>
            <w:p w14:paraId="6CA4B289">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Lee, K. (2022, Apr 05). </w:t>
              </w:r>
              <w:r>
                <w:rPr>
                  <w:rFonts w:asciiTheme="majorBidi" w:hAnsiTheme="majorBidi" w:cstheme="majorBidi"/>
                  <w:i/>
                  <w:iCs/>
                </w:rPr>
                <w:t>https://study.com/learn/lesson/political-economy-concept-examples.html#:~:text=The%20political%20economic%20theory%20explores%20the%20relationship%20between%20a%20government,socialism%2C%20communism%2C%20and%20capitalism.</w:t>
              </w:r>
              <w:r>
                <w:rPr>
                  <w:rFonts w:asciiTheme="majorBidi" w:hAnsiTheme="majorBidi" w:cstheme="majorBidi"/>
                </w:rPr>
                <w:t xml:space="preserve"> From https://study.com/learn/lesson/political-economy-concept-examples.html: https://study.com/learn/lesson/political-economy-concept-examples.html#:~:text=The%20political%20economic%20theory%20explores%20the%20relationship%20between%20a%20government,socialism%2C%20communism%2C%20and%20capitalism.</w:t>
              </w:r>
            </w:p>
            <w:p w14:paraId="0562198D">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Leruth , L., &amp; Paul, E. (2007). </w:t>
              </w:r>
              <w:r>
                <w:rPr>
                  <w:rFonts w:asciiTheme="majorBidi" w:hAnsiTheme="majorBidi" w:cstheme="majorBidi"/>
                  <w:i/>
                  <w:iCs/>
                </w:rPr>
                <w:t>A PRINCIPAL-AGENT THEORY APPROACH TO PUBLIC EXPENDITURE MANAGEMENT SYSTEMS in Developing Countries.</w:t>
              </w:r>
              <w:r>
                <w:rPr>
                  <w:rFonts w:asciiTheme="majorBidi" w:hAnsiTheme="majorBidi" w:cstheme="majorBidi"/>
                </w:rPr>
                <w:t xml:space="preserve"> Paris : OECD JOURNAL ON BUDGETING.</w:t>
              </w:r>
            </w:p>
            <w:p w14:paraId="1F7AD95E">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M. A., &amp; J. C. (2003). </w:t>
              </w:r>
              <w:r>
                <w:rPr>
                  <w:rFonts w:asciiTheme="majorBidi" w:hAnsiTheme="majorBidi" w:cstheme="majorBidi"/>
                  <w:i/>
                  <w:iCs/>
                </w:rPr>
                <w:t>THE MANAGEMENT OF PUBLIC EXPENDITURES AND ITS IMPLICATIONS FOR SERVICE DELIVERY.</w:t>
              </w:r>
              <w:r>
                <w:rPr>
                  <w:rFonts w:asciiTheme="majorBidi" w:hAnsiTheme="majorBidi" w:cstheme="majorBidi"/>
                </w:rPr>
                <w:t xml:space="preserve"> Washington, D.C.: Young Professional and Senior Public Sector Management Specialist respectively at the World Bank,.</w:t>
              </w:r>
            </w:p>
            <w:p w14:paraId="46F1A5E4">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M. C., T. C., &amp; M. L. (2013). </w:t>
              </w:r>
              <w:r>
                <w:rPr>
                  <w:rFonts w:asciiTheme="majorBidi" w:hAnsiTheme="majorBidi" w:cstheme="majorBidi"/>
                  <w:i/>
                  <w:iCs/>
                </w:rPr>
                <w:t>Public financial management and its emerging architecture.</w:t>
              </w:r>
              <w:r>
                <w:rPr>
                  <w:rFonts w:asciiTheme="majorBidi" w:hAnsiTheme="majorBidi" w:cstheme="majorBidi"/>
                </w:rPr>
                <w:t xml:space="preserve"> Washington, DC: International Monetary Fund.</w:t>
              </w:r>
            </w:p>
            <w:p w14:paraId="3F760541">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Mitnick, B. M. (2006). Origin of the Theory of Agency. </w:t>
              </w:r>
              <w:r>
                <w:rPr>
                  <w:rFonts w:asciiTheme="majorBidi" w:hAnsiTheme="majorBidi" w:cstheme="majorBidi"/>
                  <w:i/>
                  <w:iCs/>
                </w:rPr>
                <w:t>Pittsburgh, PA 15260</w:t>
              </w:r>
              <w:r>
                <w:rPr>
                  <w:rFonts w:asciiTheme="majorBidi" w:hAnsiTheme="majorBidi" w:cstheme="majorBidi"/>
                </w:rPr>
                <w:t>, 12.</w:t>
              </w:r>
            </w:p>
            <w:p w14:paraId="2DB457E5">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Mohamud, F. H. (2018). Factors Influencing Implementation of Integrated Financial anagement Information System (IFMIS) In Puntland’s Public Institutions. In </w:t>
              </w:r>
              <w:r>
                <w:rPr>
                  <w:rFonts w:asciiTheme="majorBidi" w:hAnsiTheme="majorBidi" w:cstheme="majorBidi"/>
                  <w:i/>
                  <w:iCs/>
                </w:rPr>
                <w:t>Factors Influencing Implementation of Integrated Financial anagement Information System (IFMIS) In Puntland’s Public Institutions</w:t>
              </w:r>
              <w:r>
                <w:rPr>
                  <w:rFonts w:asciiTheme="majorBidi" w:hAnsiTheme="majorBidi" w:cstheme="majorBidi"/>
                </w:rPr>
                <w:t xml:space="preserve"> (pp. 6-24). Nairobi: IOSR Journal of Business and Management (IOSR-JBM).</w:t>
              </w:r>
            </w:p>
            <w:p w14:paraId="7A9CB864">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Morgner, M. ( 2013, May 16 ). </w:t>
              </w:r>
              <w:r>
                <w:rPr>
                  <w:rFonts w:asciiTheme="majorBidi" w:hAnsiTheme="majorBidi" w:cstheme="majorBidi"/>
                  <w:i/>
                  <w:iCs/>
                </w:rPr>
                <w:t>Public financial management reforms in developing and postconflict countries</w:t>
              </w:r>
              <w:r>
                <w:rPr>
                  <w:rFonts w:asciiTheme="majorBidi" w:hAnsiTheme="majorBidi" w:cstheme="majorBidi"/>
                </w:rPr>
                <w:t>. From U4 Experts Answer: https://www.u4.no/publications/public-financial-management-reforms-in-developing-and-post-conflict-countries.pdf</w:t>
              </w:r>
            </w:p>
            <w:p w14:paraId="695ACA1D">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O. A., &amp; K. D. (2002). </w:t>
              </w:r>
              <w:r>
                <w:rPr>
                  <w:rFonts w:asciiTheme="majorBidi" w:hAnsiTheme="majorBidi" w:cstheme="majorBidi"/>
                  <w:i/>
                  <w:iCs/>
                </w:rPr>
                <w:t>Research Methods:.</w:t>
              </w:r>
              <w:r>
                <w:rPr>
                  <w:rFonts w:asciiTheme="majorBidi" w:hAnsiTheme="majorBidi" w:cstheme="majorBidi"/>
                </w:rPr>
                <w:t xml:space="preserve"> Nairobi: KenyattaUniversity Open and E-Learning Module.</w:t>
              </w:r>
            </w:p>
            <w:p w14:paraId="5B08A90E">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Olson, D. E. (2000). Nonprofit and Voluntary Sector Quarterly. In D. E. Olson, </w:t>
              </w:r>
              <w:r>
                <w:rPr>
                  <w:rFonts w:asciiTheme="majorBidi" w:hAnsiTheme="majorBidi" w:cstheme="majorBidi"/>
                  <w:i/>
                  <w:iCs/>
                </w:rPr>
                <w:t>Agency Theory in the Not-for-Profit Sector:</w:t>
              </w:r>
              <w:r>
                <w:rPr>
                  <w:rFonts w:asciiTheme="majorBidi" w:hAnsiTheme="majorBidi" w:cstheme="majorBidi"/>
                </w:rPr>
                <w:t xml:space="preserve"> (pp. 280-296). California: Sage Publications, Inc.</w:t>
              </w:r>
            </w:p>
            <w:p w14:paraId="764A54DA">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R. A., &amp; D. T. (2001). </w:t>
              </w:r>
              <w:r>
                <w:rPr>
                  <w:rFonts w:asciiTheme="majorBidi" w:hAnsiTheme="majorBidi" w:cstheme="majorBidi"/>
                  <w:i/>
                  <w:iCs/>
                </w:rPr>
                <w:t>Managing Public Expenditure A Reference Book for Transition Countries.</w:t>
              </w:r>
              <w:r>
                <w:rPr>
                  <w:rFonts w:asciiTheme="majorBidi" w:hAnsiTheme="majorBidi" w:cstheme="majorBidi"/>
                </w:rPr>
                <w:t xml:space="preserve"> Paris: General of the OECD.</w:t>
              </w:r>
            </w:p>
            <w:p w14:paraId="1CA61613">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R. J., &amp; D. M. (2017). </w:t>
              </w:r>
              <w:r>
                <w:rPr>
                  <w:rFonts w:asciiTheme="majorBidi" w:hAnsiTheme="majorBidi" w:cstheme="majorBidi"/>
                  <w:i/>
                  <w:iCs/>
                </w:rPr>
                <w:t>PUBLIC FINANCIAL MANAGEMENT HANDBOOK.</w:t>
              </w:r>
              <w:r>
                <w:rPr>
                  <w:rFonts w:asciiTheme="majorBidi" w:hAnsiTheme="majorBidi" w:cstheme="majorBidi"/>
                </w:rPr>
                <w:t xml:space="preserve"> Zambia: National Assembly of Zambia.</w:t>
              </w:r>
            </w:p>
            <w:p w14:paraId="2AA99984">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Roland, G. (2002). Journal of Economic Perspectives . In G. Roland, </w:t>
              </w:r>
              <w:r>
                <w:rPr>
                  <w:rFonts w:asciiTheme="majorBidi" w:hAnsiTheme="majorBidi" w:cstheme="majorBidi"/>
                  <w:i/>
                  <w:iCs/>
                </w:rPr>
                <w:t>The Political Economy of Transition</w:t>
              </w:r>
              <w:r>
                <w:rPr>
                  <w:rFonts w:asciiTheme="majorBidi" w:hAnsiTheme="majorBidi" w:cstheme="majorBidi"/>
                </w:rPr>
                <w:t xml:space="preserve"> (pp. 29–50). California: The Political Economy of Economic Reform in the Pacific.</w:t>
              </w:r>
            </w:p>
            <w:p w14:paraId="477322C9">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Thorndike , R., &amp; Hagen, E. (london). Review of Measurement and Evaluation in Psychology and Education. </w:t>
              </w:r>
              <w:r>
                <w:rPr>
                  <w:rFonts w:asciiTheme="majorBidi" w:hAnsiTheme="majorBidi" w:cstheme="majorBidi"/>
                  <w:i/>
                  <w:iCs/>
                </w:rPr>
                <w:t>Journal of Educational Measurement</w:t>
              </w:r>
              <w:r>
                <w:rPr>
                  <w:rFonts w:asciiTheme="majorBidi" w:hAnsiTheme="majorBidi" w:cstheme="majorBidi"/>
                </w:rPr>
                <w:t>, 53–55.</w:t>
              </w:r>
            </w:p>
            <w:p w14:paraId="270A5DF3">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Warsame , M. (2016). Public finance management reforms in Somalia. In M. H. Warsame1, </w:t>
              </w:r>
              <w:r>
                <w:rPr>
                  <w:rFonts w:asciiTheme="majorBidi" w:hAnsiTheme="majorBidi" w:cstheme="majorBidi"/>
                  <w:i/>
                  <w:iCs/>
                </w:rPr>
                <w:t>Public finance management reforms in Somalia</w:t>
              </w:r>
              <w:r>
                <w:rPr>
                  <w:rFonts w:asciiTheme="majorBidi" w:hAnsiTheme="majorBidi" w:cstheme="majorBidi"/>
                </w:rPr>
                <w:t xml:space="preserve"> (p. 9). Sharjah: https://onlinelibrary.wiley.com/doi/10.1002/pa.1621.</w:t>
              </w:r>
            </w:p>
            <w:p w14:paraId="53C30074">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world bank. ( 2007). </w:t>
              </w:r>
              <w:r>
                <w:rPr>
                  <w:rFonts w:asciiTheme="majorBidi" w:hAnsiTheme="majorBidi" w:cstheme="majorBidi"/>
                  <w:i/>
                  <w:iCs/>
                </w:rPr>
                <w:t>SOMALI RECONSTRUCTION AND DEVELOPMENT PROGRAMME.</w:t>
              </w:r>
              <w:r>
                <w:rPr>
                  <w:rFonts w:asciiTheme="majorBidi" w:hAnsiTheme="majorBidi" w:cstheme="majorBidi"/>
                </w:rPr>
                <w:t xml:space="preserve"> Washington: Public Disclosure Authorized.</w:t>
              </w:r>
            </w:p>
            <w:p w14:paraId="7AF53F6C">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World Bank. (2015). </w:t>
              </w:r>
              <w:r>
                <w:rPr>
                  <w:rFonts w:asciiTheme="majorBidi" w:hAnsiTheme="majorBidi" w:cstheme="majorBidi"/>
                  <w:i/>
                  <w:iCs/>
                </w:rPr>
                <w:t>Public Financial Management Capacity Strengthening Project II (P151492).</w:t>
              </w:r>
              <w:r>
                <w:rPr>
                  <w:rFonts w:asciiTheme="majorBidi" w:hAnsiTheme="majorBidi" w:cstheme="majorBidi"/>
                </w:rPr>
                <w:t xml:space="preserve"> Washington: Public Disclosure Authorized.</w:t>
              </w:r>
            </w:p>
            <w:p w14:paraId="2D8F17E8">
              <w:pPr>
                <w:pStyle w:val="73"/>
                <w:spacing w:line="276" w:lineRule="auto"/>
                <w:ind w:left="720" w:hanging="720"/>
                <w:contextualSpacing/>
                <w:jc w:val="left"/>
                <w:rPr>
                  <w:rFonts w:asciiTheme="majorBidi" w:hAnsiTheme="majorBidi" w:cstheme="majorBidi"/>
                </w:rPr>
              </w:pPr>
              <w:r>
                <w:rPr>
                  <w:rFonts w:asciiTheme="majorBidi" w:hAnsiTheme="majorBidi" w:cstheme="majorBidi"/>
                </w:rPr>
                <w:t xml:space="preserve">World Development. (1995). Political Commitment, Institutional Capacity and Tax Policy Reform in Tanzania . </w:t>
              </w:r>
              <w:r>
                <w:rPr>
                  <w:rFonts w:asciiTheme="majorBidi" w:hAnsiTheme="majorBidi" w:cstheme="majorBidi"/>
                  <w:i/>
                  <w:iCs/>
                </w:rPr>
                <w:t xml:space="preserve">Elsevier Science Ltd </w:t>
              </w:r>
              <w:r>
                <w:rPr>
                  <w:rFonts w:asciiTheme="majorBidi" w:hAnsiTheme="majorBidi" w:cstheme="majorBidi"/>
                </w:rPr>
                <w:t>, 637-649.</w:t>
              </w:r>
            </w:p>
            <w:p w14:paraId="6594FAEB">
              <w:pPr>
                <w:spacing w:line="276" w:lineRule="auto"/>
                <w:ind w:hanging="720"/>
                <w:contextualSpacing/>
                <w:jc w:val="left"/>
                <w:rPr>
                  <w:rFonts w:asciiTheme="majorBidi" w:hAnsiTheme="majorBidi" w:cstheme="majorBidi"/>
                </w:rPr>
              </w:pPr>
              <w:r>
                <w:rPr>
                  <w:rFonts w:asciiTheme="majorBidi" w:hAnsiTheme="majorBidi" w:cstheme="majorBidi"/>
                  <w:b/>
                  <w:bCs/>
                </w:rPr>
                <w:fldChar w:fldCharType="end"/>
              </w:r>
            </w:p>
          </w:sdtContent>
        </w:sdt>
      </w:sdtContent>
    </w:sdt>
    <w:p w14:paraId="457A9052">
      <w:pPr>
        <w:spacing w:line="276" w:lineRule="auto"/>
        <w:ind w:firstLine="0"/>
        <w:rPr>
          <w:rFonts w:asciiTheme="majorBidi" w:hAnsiTheme="majorBidi" w:cstheme="majorBidi"/>
        </w:rPr>
      </w:pPr>
    </w:p>
    <w:sectPr>
      <w:pgSz w:w="11906" w:h="16838"/>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等线">
    <w:altName w:val="Microsoft YaHei"/>
    <w:panose1 w:val="00000000000000000000"/>
    <w:charset w:val="86"/>
    <w:family w:val="auto"/>
    <w:pitch w:val="default"/>
    <w:sig w:usb0="00000000" w:usb1="00000000" w:usb2="00000000" w:usb3="00000000" w:csb0="00000000" w:csb1="00000000"/>
  </w:font>
  <w:font w:name="等线">
    <w:altName w:val="Microsoft YaHei"/>
    <w:panose1 w:val="00000000000000000000"/>
    <w:charset w:val="00"/>
    <w:family w:val="auto"/>
    <w:pitch w:val="default"/>
    <w:sig w:usb0="00000000" w:usb1="00000000" w:usb2="00000000" w:usb3="00000000" w:csb0="00000000" w:csb1="00000000"/>
  </w:font>
  <w:font w:name="等线 Light">
    <w:altName w:val="Segoe Print"/>
    <w:panose1 w:val="00000000000000000000"/>
    <w:charset w:val="00"/>
    <w:family w:val="auto"/>
    <w:pitch w:val="default"/>
    <w:sig w:usb0="00000000" w:usb1="00000000" w:usb2="00000000" w:usb3="00000000" w:csb0="00000000" w:csb1="00000000"/>
  </w:font>
  <w:font w:name="AdvTTa9c1b374+20">
    <w:altName w:val="Cambria"/>
    <w:panose1 w:val="00000000000000000000"/>
    <w:charset w:val="00"/>
    <w:family w:val="roman"/>
    <w:pitch w:val="default"/>
    <w:sig w:usb0="00000000" w:usb1="00000000" w:usb2="00000000" w:usb3="00000000" w:csb0="00000000" w:csb1="00000000"/>
  </w:font>
  <w:font w:name="Segoe UI">
    <w:panose1 w:val="020B0502040204020203"/>
    <w:charset w:val="00"/>
    <w:family w:val="swiss"/>
    <w:pitch w:val="default"/>
    <w:sig w:usb0="E4002EFF" w:usb1="C000E47F" w:usb2="00000009" w:usb3="00000000" w:csb0="200001FF" w:csb1="00000000"/>
  </w:font>
  <w:font w:name="Cambria Math">
    <w:panose1 w:val="02040503050406030204"/>
    <w:charset w:val="00"/>
    <w:family w:val="roman"/>
    <w:pitch w:val="default"/>
    <w:sig w:usb0="E00006FF" w:usb1="420024FF" w:usb2="02000000" w:usb3="00000000" w:csb0="2000019F" w:csb1="00000000"/>
  </w:font>
  <w:font w:name="Microsoft YaHei">
    <w:panose1 w:val="020B0503020204020204"/>
    <w:charset w:val="86"/>
    <w:family w:val="auto"/>
    <w:pitch w:val="default"/>
    <w:sig w:usb0="80000287" w:usb1="2ACF3C50" w:usb2="00000016" w:usb3="00000000" w:csb0="0004001F" w:csb1="00000000"/>
  </w:font>
  <w:font w:name="Segoe Print">
    <w:panose1 w:val="02000600000000000000"/>
    <w:charset w:val="00"/>
    <w:family w:val="auto"/>
    <w:pitch w:val="default"/>
    <w:sig w:usb0="0000028F" w:usb1="00000000" w:usb2="00000000" w:usb3="00000000" w:csb0="2000009F" w:csb1="47010000"/>
  </w:font>
  <w:font w:name="Cambria">
    <w:panose1 w:val="02040503050406030204"/>
    <w:charset w:val="00"/>
    <w:family w:val="auto"/>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95B85E">
    <w:pPr>
      <w:pStyle w:val="14"/>
      <w:spacing w:line="14" w:lineRule="auto"/>
      <w:ind w:left="0"/>
      <w:jc w:val="left"/>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360" w:lineRule="auto"/>
      </w:pPr>
      <w:r>
        <w:separator/>
      </w:r>
    </w:p>
  </w:footnote>
  <w:footnote w:type="continuationSeparator" w:id="1">
    <w:p>
      <w:pPr>
        <w:spacing w:before="0" w:after="0"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D32764E"/>
    <w:multiLevelType w:val="multilevel"/>
    <w:tmpl w:val="3D32764E"/>
    <w:lvl w:ilvl="0" w:tentative="0">
      <w:start w:val="1"/>
      <w:numFmt w:val="decimal"/>
      <w:lvlText w:val="%1."/>
      <w:lvlJc w:val="left"/>
      <w:pPr>
        <w:ind w:left="1080" w:hanging="360"/>
      </w:pPr>
      <w:rPr>
        <w:rFonts w:hint="default"/>
      </w:rPr>
    </w:lvl>
    <w:lvl w:ilvl="1" w:tentative="0">
      <w:start w:val="1"/>
      <w:numFmt w:val="decimal"/>
      <w:isLgl/>
      <w:lvlText w:val="%1.%2"/>
      <w:lvlJc w:val="left"/>
      <w:pPr>
        <w:ind w:left="1140" w:hanging="420"/>
      </w:pPr>
      <w:rPr>
        <w:rFonts w:hint="default"/>
      </w:rPr>
    </w:lvl>
    <w:lvl w:ilvl="2" w:tentative="0">
      <w:start w:val="1"/>
      <w:numFmt w:val="decimal"/>
      <w:isLgl/>
      <w:lvlText w:val="%1.%2.%3"/>
      <w:lvlJc w:val="left"/>
      <w:pPr>
        <w:ind w:left="1440" w:hanging="720"/>
      </w:pPr>
      <w:rPr>
        <w:rFonts w:hint="default"/>
      </w:rPr>
    </w:lvl>
    <w:lvl w:ilvl="3" w:tentative="0">
      <w:start w:val="1"/>
      <w:numFmt w:val="decimal"/>
      <w:isLgl/>
      <w:lvlText w:val="%1.%2.%3.%4"/>
      <w:lvlJc w:val="left"/>
      <w:pPr>
        <w:ind w:left="1440" w:hanging="720"/>
      </w:pPr>
      <w:rPr>
        <w:rFonts w:hint="default"/>
      </w:rPr>
    </w:lvl>
    <w:lvl w:ilvl="4" w:tentative="0">
      <w:start w:val="1"/>
      <w:numFmt w:val="decimal"/>
      <w:isLgl/>
      <w:lvlText w:val="%1.%2.%3.%4.%5"/>
      <w:lvlJc w:val="left"/>
      <w:pPr>
        <w:ind w:left="1800" w:hanging="1080"/>
      </w:pPr>
      <w:rPr>
        <w:rFonts w:hint="default"/>
      </w:rPr>
    </w:lvl>
    <w:lvl w:ilvl="5" w:tentative="0">
      <w:start w:val="1"/>
      <w:numFmt w:val="decimal"/>
      <w:isLgl/>
      <w:lvlText w:val="%1.%2.%3.%4.%5.%6"/>
      <w:lvlJc w:val="left"/>
      <w:pPr>
        <w:ind w:left="1800" w:hanging="1080"/>
      </w:pPr>
      <w:rPr>
        <w:rFonts w:hint="default"/>
      </w:rPr>
    </w:lvl>
    <w:lvl w:ilvl="6" w:tentative="0">
      <w:start w:val="1"/>
      <w:numFmt w:val="decimal"/>
      <w:isLgl/>
      <w:lvlText w:val="%1.%2.%3.%4.%5.%6.%7"/>
      <w:lvlJc w:val="left"/>
      <w:pPr>
        <w:ind w:left="2160" w:hanging="1440"/>
      </w:pPr>
      <w:rPr>
        <w:rFonts w:hint="default"/>
      </w:rPr>
    </w:lvl>
    <w:lvl w:ilvl="7" w:tentative="0">
      <w:start w:val="1"/>
      <w:numFmt w:val="decimal"/>
      <w:isLgl/>
      <w:lvlText w:val="%1.%2.%3.%4.%5.%6.%7.%8"/>
      <w:lvlJc w:val="left"/>
      <w:pPr>
        <w:ind w:left="2160" w:hanging="1440"/>
      </w:pPr>
      <w:rPr>
        <w:rFonts w:hint="default"/>
      </w:rPr>
    </w:lvl>
    <w:lvl w:ilvl="8" w:tentative="0">
      <w:start w:val="1"/>
      <w:numFmt w:val="decimal"/>
      <w:isLgl/>
      <w:lvlText w:val="%1.%2.%3.%4.%5.%6.%7.%8.%9"/>
      <w:lvlJc w:val="left"/>
      <w:pPr>
        <w:ind w:left="2520" w:hanging="1800"/>
      </w:pPr>
      <w:rPr>
        <w:rFonts w:hint="default"/>
      </w:rPr>
    </w:lvl>
  </w:abstractNum>
  <w:abstractNum w:abstractNumId="1">
    <w:nsid w:val="7FD262C4"/>
    <w:multiLevelType w:val="multilevel"/>
    <w:tmpl w:val="7FD262C4"/>
    <w:lvl w:ilvl="0" w:tentative="0">
      <w:start w:val="1"/>
      <w:numFmt w:val="decimal"/>
      <w:lvlText w:val="%1."/>
      <w:lvlJc w:val="left"/>
      <w:pPr>
        <w:ind w:left="720" w:hanging="360"/>
      </w:pPr>
      <w:rPr>
        <w:rFonts w:hint="default"/>
      </w:rPr>
    </w:lvl>
    <w:lvl w:ilvl="1" w:tentative="0">
      <w:start w:val="11"/>
      <w:numFmt w:val="decimal"/>
      <w:isLgl/>
      <w:lvlText w:val="%1.%2"/>
      <w:lvlJc w:val="left"/>
      <w:pPr>
        <w:ind w:left="924" w:hanging="564"/>
      </w:pPr>
      <w:rPr>
        <w:rFonts w:hint="default"/>
      </w:rPr>
    </w:lvl>
    <w:lvl w:ilvl="2" w:tentative="0">
      <w:start w:val="1"/>
      <w:numFmt w:val="decimal"/>
      <w:isLgl/>
      <w:lvlText w:val="%1.%2.%3"/>
      <w:lvlJc w:val="left"/>
      <w:pPr>
        <w:ind w:left="1080" w:hanging="720"/>
      </w:pPr>
      <w:rPr>
        <w:rFonts w:hint="default"/>
      </w:rPr>
    </w:lvl>
    <w:lvl w:ilvl="3" w:tentative="0">
      <w:start w:val="1"/>
      <w:numFmt w:val="decimal"/>
      <w:isLgl/>
      <w:lvlText w:val="%1.%2.%3.%4"/>
      <w:lvlJc w:val="left"/>
      <w:pPr>
        <w:ind w:left="1080" w:hanging="720"/>
      </w:pPr>
      <w:rPr>
        <w:rFonts w:hint="default"/>
      </w:rPr>
    </w:lvl>
    <w:lvl w:ilvl="4" w:tentative="0">
      <w:start w:val="1"/>
      <w:numFmt w:val="decimal"/>
      <w:isLgl/>
      <w:lvlText w:val="%1.%2.%3.%4.%5"/>
      <w:lvlJc w:val="left"/>
      <w:pPr>
        <w:ind w:left="1440" w:hanging="1080"/>
      </w:pPr>
      <w:rPr>
        <w:rFonts w:hint="default"/>
      </w:rPr>
    </w:lvl>
    <w:lvl w:ilvl="5" w:tentative="0">
      <w:start w:val="1"/>
      <w:numFmt w:val="decimal"/>
      <w:isLgl/>
      <w:lvlText w:val="%1.%2.%3.%4.%5.%6"/>
      <w:lvlJc w:val="left"/>
      <w:pPr>
        <w:ind w:left="1440" w:hanging="1080"/>
      </w:pPr>
      <w:rPr>
        <w:rFonts w:hint="default"/>
      </w:rPr>
    </w:lvl>
    <w:lvl w:ilvl="6" w:tentative="0">
      <w:start w:val="1"/>
      <w:numFmt w:val="decimal"/>
      <w:isLgl/>
      <w:lvlText w:val="%1.%2.%3.%4.%5.%6.%7"/>
      <w:lvlJc w:val="left"/>
      <w:pPr>
        <w:ind w:left="1800" w:hanging="1440"/>
      </w:pPr>
      <w:rPr>
        <w:rFonts w:hint="default"/>
      </w:rPr>
    </w:lvl>
    <w:lvl w:ilvl="7" w:tentative="0">
      <w:start w:val="1"/>
      <w:numFmt w:val="decimal"/>
      <w:isLgl/>
      <w:lvlText w:val="%1.%2.%3.%4.%5.%6.%7.%8"/>
      <w:lvlJc w:val="left"/>
      <w:pPr>
        <w:ind w:left="1800" w:hanging="1440"/>
      </w:pPr>
      <w:rPr>
        <w:rFonts w:hint="default"/>
      </w:rPr>
    </w:lvl>
    <w:lvl w:ilvl="8" w:tentative="0">
      <w:start w:val="1"/>
      <w:numFmt w:val="decimal"/>
      <w:isLgl/>
      <w:lvlText w:val="%1.%2.%3.%4.%5.%6.%7.%8.%9"/>
      <w:lvlJc w:val="left"/>
      <w:pPr>
        <w:ind w:left="216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1E3"/>
    <w:rsid w:val="0000356A"/>
    <w:rsid w:val="0000513A"/>
    <w:rsid w:val="00006D2B"/>
    <w:rsid w:val="0005015D"/>
    <w:rsid w:val="00064301"/>
    <w:rsid w:val="000667BB"/>
    <w:rsid w:val="00074419"/>
    <w:rsid w:val="00093D41"/>
    <w:rsid w:val="000E1683"/>
    <w:rsid w:val="000F0DC1"/>
    <w:rsid w:val="00130376"/>
    <w:rsid w:val="00162E1D"/>
    <w:rsid w:val="00195C40"/>
    <w:rsid w:val="001D44AC"/>
    <w:rsid w:val="00220839"/>
    <w:rsid w:val="0025232D"/>
    <w:rsid w:val="002C29B7"/>
    <w:rsid w:val="002D4064"/>
    <w:rsid w:val="00306442"/>
    <w:rsid w:val="00307FB6"/>
    <w:rsid w:val="0034109D"/>
    <w:rsid w:val="00343475"/>
    <w:rsid w:val="00355F86"/>
    <w:rsid w:val="0037161C"/>
    <w:rsid w:val="003A0561"/>
    <w:rsid w:val="003D26A8"/>
    <w:rsid w:val="003E1CE6"/>
    <w:rsid w:val="003F2145"/>
    <w:rsid w:val="00492265"/>
    <w:rsid w:val="0049373C"/>
    <w:rsid w:val="004A3157"/>
    <w:rsid w:val="004B454C"/>
    <w:rsid w:val="004B720D"/>
    <w:rsid w:val="004E251E"/>
    <w:rsid w:val="00533B9A"/>
    <w:rsid w:val="00546AFE"/>
    <w:rsid w:val="005477A1"/>
    <w:rsid w:val="00572A0F"/>
    <w:rsid w:val="00595F11"/>
    <w:rsid w:val="005A3C83"/>
    <w:rsid w:val="005E66E8"/>
    <w:rsid w:val="006054A5"/>
    <w:rsid w:val="00612529"/>
    <w:rsid w:val="00622607"/>
    <w:rsid w:val="00622B8F"/>
    <w:rsid w:val="00624D27"/>
    <w:rsid w:val="00655874"/>
    <w:rsid w:val="00685E63"/>
    <w:rsid w:val="00687BD3"/>
    <w:rsid w:val="006A635B"/>
    <w:rsid w:val="006C3213"/>
    <w:rsid w:val="006D32D4"/>
    <w:rsid w:val="007205BA"/>
    <w:rsid w:val="00733FBB"/>
    <w:rsid w:val="00736EB7"/>
    <w:rsid w:val="007B0684"/>
    <w:rsid w:val="007C69C9"/>
    <w:rsid w:val="007D02AD"/>
    <w:rsid w:val="00832643"/>
    <w:rsid w:val="00842537"/>
    <w:rsid w:val="008A4612"/>
    <w:rsid w:val="008E1AAD"/>
    <w:rsid w:val="008E58C1"/>
    <w:rsid w:val="00925B31"/>
    <w:rsid w:val="00927F52"/>
    <w:rsid w:val="00953CC7"/>
    <w:rsid w:val="00956CE2"/>
    <w:rsid w:val="00992945"/>
    <w:rsid w:val="009D4714"/>
    <w:rsid w:val="009D7984"/>
    <w:rsid w:val="00A232F2"/>
    <w:rsid w:val="00A3723E"/>
    <w:rsid w:val="00A37E19"/>
    <w:rsid w:val="00A64ECE"/>
    <w:rsid w:val="00A85445"/>
    <w:rsid w:val="00A927F2"/>
    <w:rsid w:val="00AB3D0E"/>
    <w:rsid w:val="00AB708F"/>
    <w:rsid w:val="00AB78A4"/>
    <w:rsid w:val="00AB7C32"/>
    <w:rsid w:val="00AC0BFB"/>
    <w:rsid w:val="00AF3F91"/>
    <w:rsid w:val="00B04E1C"/>
    <w:rsid w:val="00B5007E"/>
    <w:rsid w:val="00B5475D"/>
    <w:rsid w:val="00B562A5"/>
    <w:rsid w:val="00B5674F"/>
    <w:rsid w:val="00B671E3"/>
    <w:rsid w:val="00B85AD3"/>
    <w:rsid w:val="00BA4166"/>
    <w:rsid w:val="00C24F48"/>
    <w:rsid w:val="00C25507"/>
    <w:rsid w:val="00C45512"/>
    <w:rsid w:val="00C50C91"/>
    <w:rsid w:val="00CA61FA"/>
    <w:rsid w:val="00D430AB"/>
    <w:rsid w:val="00D61049"/>
    <w:rsid w:val="00D7334A"/>
    <w:rsid w:val="00DA0C28"/>
    <w:rsid w:val="00DA4C22"/>
    <w:rsid w:val="00DB0983"/>
    <w:rsid w:val="00DC18E1"/>
    <w:rsid w:val="00DC1B7B"/>
    <w:rsid w:val="00DC5336"/>
    <w:rsid w:val="00DC5CF7"/>
    <w:rsid w:val="00DE13FD"/>
    <w:rsid w:val="00DE533B"/>
    <w:rsid w:val="00E0643A"/>
    <w:rsid w:val="00E30212"/>
    <w:rsid w:val="00E40B85"/>
    <w:rsid w:val="00E9288A"/>
    <w:rsid w:val="00EA0DC6"/>
    <w:rsid w:val="00EB0E66"/>
    <w:rsid w:val="00EF188D"/>
    <w:rsid w:val="00EF1DF5"/>
    <w:rsid w:val="00EF4188"/>
    <w:rsid w:val="00F13CB4"/>
    <w:rsid w:val="00F37DCC"/>
    <w:rsid w:val="00F40955"/>
    <w:rsid w:val="00F50722"/>
    <w:rsid w:val="00F50FCA"/>
    <w:rsid w:val="00F63AD9"/>
    <w:rsid w:val="00F70587"/>
    <w:rsid w:val="00F84527"/>
    <w:rsid w:val="00FB7357"/>
    <w:rsid w:val="00FD228E"/>
    <w:rsid w:val="00FD4600"/>
    <w:rsid w:val="00FE61B3"/>
    <w:rsid w:val="01CF7B5B"/>
    <w:rsid w:val="13711F13"/>
  </w:rsids>
  <m:mathPr>
    <m:mathFont m:val="Cambria Math"/>
    <m:brkBin m:val="before"/>
    <m:brkBinSub m:val="--"/>
    <m:smallFrac m:val="0"/>
    <m:dispDef/>
    <m:lMargin m:val="0"/>
    <m:rMargin m:val="0"/>
    <m:defJc m:val="centerGroup"/>
    <m:wrapIndent m:val="1440"/>
    <m:intLim m:val="subSup"/>
    <m:naryLim m:val="undOvr"/>
  </m:mathPr>
  <w:themeFontLang w:val="zh-CN"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qFormat="1"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semiHidden="0" w:name="caption"/>
    <w:lsdException w:qFormat="1" w:uiPriority="99" w:semiHidden="0" w:name="table of figures"/>
    <w:lsdException w:uiPriority="99" w:name="envelope address"/>
    <w:lsdException w:uiPriority="99" w:name="envelope return"/>
    <w:lsdException w:qFormat="1" w:uiPriority="99" w:name="footnote reference"/>
    <w:lsdException w:qFormat="1" w:uiPriority="99" w:name="annotation reference"/>
    <w:lsdException w:uiPriority="99" w:name="line number"/>
    <w:lsdException w:uiPriority="99" w:name="page number"/>
    <w:lsdException w:qFormat="1" w:uiPriority="99" w:name="endnote reference"/>
    <w:lsdException w:qFormat="1"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40" w:line="360" w:lineRule="auto"/>
      <w:ind w:firstLine="720"/>
      <w:jc w:val="both"/>
    </w:pPr>
    <w:rPr>
      <w:rFonts w:ascii="Times New Roman" w:hAnsi="Times New Roman" w:cs="Times New Roman" w:eastAsiaTheme="minorHAnsi"/>
      <w:kern w:val="0"/>
      <w:sz w:val="24"/>
      <w:szCs w:val="24"/>
      <w:lang w:val="zh-CN" w:eastAsia="en-US" w:bidi="ar-SA"/>
      <w14:ligatures w14:val="none"/>
    </w:rPr>
  </w:style>
  <w:style w:type="paragraph" w:styleId="2">
    <w:name w:val="heading 1"/>
    <w:basedOn w:val="1"/>
    <w:next w:val="1"/>
    <w:link w:val="42"/>
    <w:qFormat/>
    <w:uiPriority w:val="9"/>
    <w:pPr>
      <w:keepNext/>
      <w:keepLines/>
      <w:spacing w:before="360" w:after="80"/>
      <w:outlineLvl w:val="0"/>
    </w:pPr>
    <w:rPr>
      <w:rFonts w:asciiTheme="majorHAnsi" w:hAnsiTheme="majorHAnsi" w:eastAsiaTheme="majorEastAsia" w:cstheme="majorBidi"/>
      <w:color w:val="2F5597" w:themeColor="accent1" w:themeShade="BF"/>
      <w:sz w:val="40"/>
      <w:szCs w:val="40"/>
    </w:rPr>
  </w:style>
  <w:style w:type="paragraph" w:styleId="3">
    <w:name w:val="heading 2"/>
    <w:basedOn w:val="1"/>
    <w:next w:val="1"/>
    <w:link w:val="43"/>
    <w:unhideWhenUsed/>
    <w:qFormat/>
    <w:uiPriority w:val="9"/>
    <w:pPr>
      <w:keepNext/>
      <w:keepLines/>
      <w:spacing w:before="160" w:after="80"/>
      <w:outlineLvl w:val="1"/>
    </w:pPr>
    <w:rPr>
      <w:rFonts w:asciiTheme="majorHAnsi" w:hAnsiTheme="majorHAnsi" w:eastAsiaTheme="majorEastAsia" w:cstheme="majorBidi"/>
      <w:color w:val="2F5597" w:themeColor="accent1" w:themeShade="BF"/>
      <w:sz w:val="32"/>
      <w:szCs w:val="32"/>
    </w:rPr>
  </w:style>
  <w:style w:type="paragraph" w:styleId="4">
    <w:name w:val="heading 3"/>
    <w:basedOn w:val="1"/>
    <w:next w:val="1"/>
    <w:link w:val="44"/>
    <w:unhideWhenUsed/>
    <w:qFormat/>
    <w:uiPriority w:val="9"/>
    <w:pPr>
      <w:keepNext/>
      <w:keepLines/>
      <w:spacing w:before="160" w:after="80"/>
      <w:outlineLvl w:val="2"/>
    </w:pPr>
    <w:rPr>
      <w:rFonts w:eastAsiaTheme="majorEastAsia" w:cstheme="majorBidi"/>
      <w:color w:val="2F5597" w:themeColor="accent1" w:themeShade="BF"/>
      <w:sz w:val="28"/>
      <w:szCs w:val="28"/>
    </w:rPr>
  </w:style>
  <w:style w:type="paragraph" w:styleId="5">
    <w:name w:val="heading 4"/>
    <w:basedOn w:val="1"/>
    <w:next w:val="1"/>
    <w:link w:val="45"/>
    <w:semiHidden/>
    <w:unhideWhenUsed/>
    <w:qFormat/>
    <w:uiPriority w:val="9"/>
    <w:pPr>
      <w:keepNext/>
      <w:keepLines/>
      <w:spacing w:before="80"/>
      <w:outlineLvl w:val="3"/>
    </w:pPr>
    <w:rPr>
      <w:rFonts w:eastAsiaTheme="majorEastAsia" w:cstheme="majorBidi"/>
      <w:i/>
      <w:iCs/>
      <w:color w:val="2F5597" w:themeColor="accent1" w:themeShade="BF"/>
    </w:rPr>
  </w:style>
  <w:style w:type="paragraph" w:styleId="6">
    <w:name w:val="heading 5"/>
    <w:basedOn w:val="1"/>
    <w:next w:val="1"/>
    <w:link w:val="46"/>
    <w:semiHidden/>
    <w:unhideWhenUsed/>
    <w:qFormat/>
    <w:uiPriority w:val="9"/>
    <w:pPr>
      <w:keepNext/>
      <w:keepLines/>
      <w:spacing w:before="80"/>
      <w:outlineLvl w:val="4"/>
    </w:pPr>
    <w:rPr>
      <w:rFonts w:eastAsiaTheme="majorEastAsia" w:cstheme="majorBidi"/>
      <w:color w:val="2F5597" w:themeColor="accent1" w:themeShade="BF"/>
    </w:rPr>
  </w:style>
  <w:style w:type="paragraph" w:styleId="7">
    <w:name w:val="heading 6"/>
    <w:basedOn w:val="1"/>
    <w:next w:val="1"/>
    <w:link w:val="47"/>
    <w:semiHidden/>
    <w:unhideWhenUsed/>
    <w:qFormat/>
    <w:uiPriority w:val="9"/>
    <w:pPr>
      <w:keepNext/>
      <w:keepLines/>
      <w:spacing w:before="40" w:after="0"/>
      <w:outlineLvl w:val="5"/>
    </w:pPr>
    <w:rPr>
      <w:rFonts w:eastAsiaTheme="majorEastAsia" w:cstheme="majorBidi"/>
      <w:i/>
      <w:iCs/>
      <w:color w:val="595959" w:themeColor="text1" w:themeTint="A6"/>
      <w14:textFill>
        <w14:solidFill>
          <w14:schemeClr w14:val="tx1">
            <w14:lumMod w14:val="65000"/>
            <w14:lumOff w14:val="35000"/>
          </w14:schemeClr>
        </w14:solidFill>
      </w14:textFill>
    </w:rPr>
  </w:style>
  <w:style w:type="paragraph" w:styleId="8">
    <w:name w:val="heading 7"/>
    <w:basedOn w:val="1"/>
    <w:next w:val="1"/>
    <w:link w:val="48"/>
    <w:semiHidden/>
    <w:unhideWhenUsed/>
    <w:qFormat/>
    <w:uiPriority w:val="9"/>
    <w:pPr>
      <w:keepNext/>
      <w:keepLines/>
      <w:spacing w:before="40" w:after="0"/>
      <w:outlineLvl w:val="6"/>
    </w:pPr>
    <w:rPr>
      <w:rFonts w:eastAsiaTheme="majorEastAsia" w:cstheme="majorBidi"/>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49"/>
    <w:semiHidden/>
    <w:unhideWhenUsed/>
    <w:qFormat/>
    <w:uiPriority w:val="9"/>
    <w:pPr>
      <w:keepNext/>
      <w:keepLines/>
      <w:spacing w:after="0"/>
      <w:outlineLvl w:val="7"/>
    </w:pPr>
    <w:rPr>
      <w:rFonts w:eastAsiaTheme="majorEastAsia" w:cstheme="majorBidi"/>
      <w:i/>
      <w:iCs/>
      <w:color w:val="262626" w:themeColor="text1" w:themeTint="D9"/>
      <w14:textFill>
        <w14:solidFill>
          <w14:schemeClr w14:val="tx1">
            <w14:lumMod w14:val="85000"/>
            <w14:lumOff w14:val="15000"/>
          </w14:schemeClr>
        </w14:solidFill>
      </w14:textFill>
    </w:rPr>
  </w:style>
  <w:style w:type="paragraph" w:styleId="10">
    <w:name w:val="heading 9"/>
    <w:basedOn w:val="1"/>
    <w:next w:val="1"/>
    <w:link w:val="50"/>
    <w:semiHidden/>
    <w:unhideWhenUsed/>
    <w:qFormat/>
    <w:uiPriority w:val="9"/>
    <w:pPr>
      <w:keepNext/>
      <w:keepLines/>
      <w:spacing w:after="0"/>
      <w:outlineLvl w:val="8"/>
    </w:pPr>
    <w:rPr>
      <w:rFonts w:eastAsiaTheme="majorEastAsia" w:cstheme="majorBidi"/>
      <w:color w:val="262626" w:themeColor="text1" w:themeTint="D9"/>
      <w14:textFill>
        <w14:solidFill>
          <w14:schemeClr w14:val="tx1">
            <w14:lumMod w14:val="85000"/>
            <w14:lumOff w14:val="15000"/>
          </w14:schemeClr>
        </w14:solidFill>
      </w14:textFill>
    </w:rPr>
  </w:style>
  <w:style w:type="character" w:default="1" w:styleId="11">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13">
    <w:name w:val="Balloon Text"/>
    <w:basedOn w:val="1"/>
    <w:link w:val="66"/>
    <w:semiHidden/>
    <w:unhideWhenUsed/>
    <w:qFormat/>
    <w:uiPriority w:val="99"/>
    <w:pPr>
      <w:spacing w:after="0" w:line="240" w:lineRule="auto"/>
    </w:pPr>
    <w:rPr>
      <w:rFonts w:ascii="Segoe UI" w:hAnsi="Segoe UI" w:cs="Segoe UI"/>
      <w:sz w:val="18"/>
      <w:szCs w:val="18"/>
    </w:rPr>
  </w:style>
  <w:style w:type="paragraph" w:styleId="14">
    <w:name w:val="Body Text"/>
    <w:basedOn w:val="1"/>
    <w:link w:val="78"/>
    <w:qFormat/>
    <w:uiPriority w:val="1"/>
    <w:pPr>
      <w:widowControl w:val="0"/>
      <w:autoSpaceDE w:val="0"/>
      <w:autoSpaceDN w:val="0"/>
      <w:spacing w:after="0" w:line="240" w:lineRule="auto"/>
      <w:ind w:left="440" w:firstLine="0"/>
    </w:pPr>
    <w:rPr>
      <w:rFonts w:eastAsia="Times New Roman"/>
      <w:lang w:val="en-US"/>
    </w:rPr>
  </w:style>
  <w:style w:type="paragraph" w:styleId="15">
    <w:name w:val="caption"/>
    <w:basedOn w:val="1"/>
    <w:next w:val="1"/>
    <w:unhideWhenUsed/>
    <w:qFormat/>
    <w:uiPriority w:val="35"/>
    <w:pPr>
      <w:spacing w:after="200" w:line="240" w:lineRule="auto"/>
    </w:pPr>
    <w:rPr>
      <w:i/>
      <w:iCs/>
      <w:color w:val="44546A" w:themeColor="text2"/>
      <w:sz w:val="18"/>
      <w:szCs w:val="18"/>
      <w14:textFill>
        <w14:solidFill>
          <w14:schemeClr w14:val="tx2"/>
        </w14:solidFill>
      </w14:textFill>
    </w:rPr>
  </w:style>
  <w:style w:type="character" w:styleId="16">
    <w:name w:val="annotation reference"/>
    <w:basedOn w:val="11"/>
    <w:semiHidden/>
    <w:unhideWhenUsed/>
    <w:qFormat/>
    <w:uiPriority w:val="99"/>
    <w:rPr>
      <w:sz w:val="16"/>
      <w:szCs w:val="16"/>
    </w:rPr>
  </w:style>
  <w:style w:type="paragraph" w:styleId="17">
    <w:name w:val="annotation text"/>
    <w:basedOn w:val="1"/>
    <w:link w:val="64"/>
    <w:semiHidden/>
    <w:unhideWhenUsed/>
    <w:qFormat/>
    <w:uiPriority w:val="99"/>
    <w:pPr>
      <w:spacing w:line="240" w:lineRule="auto"/>
    </w:pPr>
    <w:rPr>
      <w:sz w:val="20"/>
      <w:szCs w:val="20"/>
    </w:rPr>
  </w:style>
  <w:style w:type="paragraph" w:styleId="18">
    <w:name w:val="annotation subject"/>
    <w:basedOn w:val="17"/>
    <w:next w:val="17"/>
    <w:link w:val="65"/>
    <w:semiHidden/>
    <w:unhideWhenUsed/>
    <w:qFormat/>
    <w:uiPriority w:val="99"/>
    <w:rPr>
      <w:b/>
      <w:bCs/>
    </w:rPr>
  </w:style>
  <w:style w:type="character" w:styleId="19">
    <w:name w:val="endnote reference"/>
    <w:basedOn w:val="11"/>
    <w:semiHidden/>
    <w:unhideWhenUsed/>
    <w:qFormat/>
    <w:uiPriority w:val="99"/>
    <w:rPr>
      <w:vertAlign w:val="superscript"/>
    </w:rPr>
  </w:style>
  <w:style w:type="paragraph" w:styleId="20">
    <w:name w:val="endnote text"/>
    <w:basedOn w:val="1"/>
    <w:link w:val="79"/>
    <w:semiHidden/>
    <w:unhideWhenUsed/>
    <w:qFormat/>
    <w:uiPriority w:val="99"/>
    <w:pPr>
      <w:spacing w:after="0" w:line="240" w:lineRule="auto"/>
    </w:pPr>
    <w:rPr>
      <w:sz w:val="20"/>
      <w:szCs w:val="20"/>
    </w:rPr>
  </w:style>
  <w:style w:type="character" w:styleId="21">
    <w:name w:val="FollowedHyperlink"/>
    <w:basedOn w:val="11"/>
    <w:semiHidden/>
    <w:unhideWhenUsed/>
    <w:qFormat/>
    <w:uiPriority w:val="99"/>
    <w:rPr>
      <w:color w:val="954F72" w:themeColor="followedHyperlink"/>
      <w:u w:val="single"/>
      <w14:textFill>
        <w14:solidFill>
          <w14:schemeClr w14:val="folHlink"/>
        </w14:solidFill>
      </w14:textFill>
    </w:rPr>
  </w:style>
  <w:style w:type="paragraph" w:styleId="22">
    <w:name w:val="footer"/>
    <w:basedOn w:val="1"/>
    <w:link w:val="76"/>
    <w:unhideWhenUsed/>
    <w:qFormat/>
    <w:uiPriority w:val="99"/>
    <w:pPr>
      <w:tabs>
        <w:tab w:val="center" w:pos="4513"/>
        <w:tab w:val="right" w:pos="9026"/>
      </w:tabs>
      <w:spacing w:after="0" w:line="240" w:lineRule="auto"/>
    </w:pPr>
  </w:style>
  <w:style w:type="character" w:styleId="23">
    <w:name w:val="footnote reference"/>
    <w:basedOn w:val="11"/>
    <w:semiHidden/>
    <w:unhideWhenUsed/>
    <w:qFormat/>
    <w:uiPriority w:val="99"/>
    <w:rPr>
      <w:vertAlign w:val="superscript"/>
    </w:rPr>
  </w:style>
  <w:style w:type="paragraph" w:styleId="24">
    <w:name w:val="footnote text"/>
    <w:basedOn w:val="1"/>
    <w:link w:val="80"/>
    <w:semiHidden/>
    <w:unhideWhenUsed/>
    <w:qFormat/>
    <w:uiPriority w:val="99"/>
    <w:pPr>
      <w:spacing w:after="0" w:line="240" w:lineRule="auto"/>
    </w:pPr>
    <w:rPr>
      <w:sz w:val="20"/>
      <w:szCs w:val="20"/>
    </w:rPr>
  </w:style>
  <w:style w:type="paragraph" w:styleId="25">
    <w:name w:val="header"/>
    <w:basedOn w:val="1"/>
    <w:link w:val="75"/>
    <w:unhideWhenUsed/>
    <w:qFormat/>
    <w:uiPriority w:val="99"/>
    <w:pPr>
      <w:tabs>
        <w:tab w:val="center" w:pos="4513"/>
        <w:tab w:val="right" w:pos="9026"/>
      </w:tabs>
      <w:spacing w:after="0" w:line="240" w:lineRule="auto"/>
    </w:pPr>
  </w:style>
  <w:style w:type="character" w:styleId="26">
    <w:name w:val="Hyperlink"/>
    <w:basedOn w:val="11"/>
    <w:unhideWhenUsed/>
    <w:qFormat/>
    <w:uiPriority w:val="99"/>
    <w:rPr>
      <w:color w:val="0563C1" w:themeColor="hyperlink"/>
      <w:u w:val="single"/>
      <w14:textFill>
        <w14:solidFill>
          <w14:schemeClr w14:val="hlink"/>
        </w14:solidFill>
      </w14:textFill>
    </w:rPr>
  </w:style>
  <w:style w:type="paragraph" w:styleId="27">
    <w:name w:val="Normal (Web)"/>
    <w:basedOn w:val="1"/>
    <w:unhideWhenUsed/>
    <w:qFormat/>
    <w:uiPriority w:val="99"/>
    <w:pPr>
      <w:spacing w:before="100" w:beforeAutospacing="1" w:after="100" w:afterAutospacing="1" w:line="240" w:lineRule="auto"/>
      <w:jc w:val="left"/>
    </w:pPr>
    <w:rPr>
      <w:rFonts w:eastAsia="Times New Roman"/>
      <w:lang w:eastAsia="zh-CN"/>
    </w:rPr>
  </w:style>
  <w:style w:type="character" w:styleId="28">
    <w:name w:val="Strong"/>
    <w:basedOn w:val="11"/>
    <w:qFormat/>
    <w:uiPriority w:val="22"/>
    <w:rPr>
      <w:b/>
      <w:bCs/>
    </w:rPr>
  </w:style>
  <w:style w:type="paragraph" w:styleId="29">
    <w:name w:val="Subtitle"/>
    <w:basedOn w:val="1"/>
    <w:next w:val="1"/>
    <w:link w:val="52"/>
    <w:qFormat/>
    <w:uiPriority w:val="11"/>
    <w:pPr>
      <w:ind w:firstLine="720"/>
    </w:pPr>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table" w:styleId="30">
    <w:name w:val="Table Grid"/>
    <w:basedOn w:val="12"/>
    <w:qFormat/>
    <w:uiPriority w:val="39"/>
    <w:pPr>
      <w:spacing w:after="0" w:line="240" w:lineRule="auto"/>
    </w:pPr>
    <w:rPr>
      <w:kern w:val="0"/>
      <w:sz w:val="22"/>
      <w:szCs w:val="22"/>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31">
    <w:name w:val="table of figures"/>
    <w:basedOn w:val="1"/>
    <w:next w:val="1"/>
    <w:unhideWhenUsed/>
    <w:qFormat/>
    <w:uiPriority w:val="99"/>
    <w:pPr>
      <w:spacing w:after="0"/>
      <w:ind w:left="480" w:hanging="480"/>
      <w:jc w:val="left"/>
    </w:pPr>
    <w:rPr>
      <w:rFonts w:asciiTheme="minorHAnsi" w:hAnsiTheme="minorHAnsi"/>
      <w:smallCaps/>
      <w:sz w:val="20"/>
      <w:szCs w:val="20"/>
    </w:rPr>
  </w:style>
  <w:style w:type="paragraph" w:styleId="32">
    <w:name w:val="Title"/>
    <w:basedOn w:val="1"/>
    <w:next w:val="1"/>
    <w:link w:val="51"/>
    <w:qFormat/>
    <w:uiPriority w:val="10"/>
    <w:pPr>
      <w:spacing w:after="80" w:line="240" w:lineRule="auto"/>
      <w:contextualSpacing/>
    </w:pPr>
    <w:rPr>
      <w:rFonts w:asciiTheme="majorHAnsi" w:hAnsiTheme="majorHAnsi" w:eastAsiaTheme="majorEastAsia" w:cstheme="majorBidi"/>
      <w:spacing w:val="-10"/>
      <w:kern w:val="28"/>
      <w:sz w:val="56"/>
      <w:szCs w:val="56"/>
    </w:rPr>
  </w:style>
  <w:style w:type="paragraph" w:styleId="33">
    <w:name w:val="toc 1"/>
    <w:basedOn w:val="1"/>
    <w:next w:val="1"/>
    <w:autoRedefine/>
    <w:unhideWhenUsed/>
    <w:qFormat/>
    <w:uiPriority w:val="39"/>
    <w:pPr>
      <w:spacing w:after="100"/>
    </w:pPr>
  </w:style>
  <w:style w:type="paragraph" w:styleId="34">
    <w:name w:val="toc 2"/>
    <w:basedOn w:val="1"/>
    <w:next w:val="1"/>
    <w:autoRedefine/>
    <w:unhideWhenUsed/>
    <w:qFormat/>
    <w:uiPriority w:val="39"/>
    <w:pPr>
      <w:spacing w:after="100"/>
      <w:ind w:left="240"/>
    </w:pPr>
  </w:style>
  <w:style w:type="paragraph" w:styleId="35">
    <w:name w:val="toc 3"/>
    <w:basedOn w:val="1"/>
    <w:next w:val="1"/>
    <w:autoRedefine/>
    <w:unhideWhenUsed/>
    <w:qFormat/>
    <w:uiPriority w:val="39"/>
    <w:pPr>
      <w:spacing w:after="100"/>
      <w:ind w:left="480"/>
    </w:pPr>
  </w:style>
  <w:style w:type="paragraph" w:styleId="36">
    <w:name w:val="toc 4"/>
    <w:basedOn w:val="1"/>
    <w:next w:val="1"/>
    <w:autoRedefine/>
    <w:unhideWhenUsed/>
    <w:qFormat/>
    <w:uiPriority w:val="39"/>
    <w:pPr>
      <w:spacing w:after="100"/>
      <w:ind w:left="720"/>
    </w:pPr>
  </w:style>
  <w:style w:type="paragraph" w:styleId="37">
    <w:name w:val="toc 5"/>
    <w:basedOn w:val="1"/>
    <w:next w:val="1"/>
    <w:autoRedefine/>
    <w:unhideWhenUsed/>
    <w:qFormat/>
    <w:uiPriority w:val="39"/>
    <w:pPr>
      <w:spacing w:after="100"/>
      <w:ind w:left="960"/>
    </w:pPr>
  </w:style>
  <w:style w:type="paragraph" w:styleId="38">
    <w:name w:val="toc 6"/>
    <w:basedOn w:val="1"/>
    <w:next w:val="1"/>
    <w:autoRedefine/>
    <w:unhideWhenUsed/>
    <w:qFormat/>
    <w:uiPriority w:val="39"/>
    <w:pPr>
      <w:spacing w:after="100" w:line="259" w:lineRule="auto"/>
      <w:ind w:left="1100" w:firstLine="0"/>
      <w:jc w:val="left"/>
    </w:pPr>
    <w:rPr>
      <w:rFonts w:asciiTheme="minorHAnsi" w:hAnsiTheme="minorHAnsi" w:eastAsiaTheme="minorEastAsia" w:cstheme="minorBidi"/>
      <w:sz w:val="22"/>
      <w:szCs w:val="22"/>
      <w:lang w:eastAsia="zh-CN"/>
    </w:rPr>
  </w:style>
  <w:style w:type="paragraph" w:styleId="39">
    <w:name w:val="toc 7"/>
    <w:basedOn w:val="1"/>
    <w:next w:val="1"/>
    <w:autoRedefine/>
    <w:unhideWhenUsed/>
    <w:qFormat/>
    <w:uiPriority w:val="39"/>
    <w:pPr>
      <w:spacing w:after="100" w:line="259" w:lineRule="auto"/>
      <w:ind w:left="1320" w:firstLine="0"/>
      <w:jc w:val="left"/>
    </w:pPr>
    <w:rPr>
      <w:rFonts w:asciiTheme="minorHAnsi" w:hAnsiTheme="minorHAnsi" w:eastAsiaTheme="minorEastAsia" w:cstheme="minorBidi"/>
      <w:sz w:val="22"/>
      <w:szCs w:val="22"/>
      <w:lang w:eastAsia="zh-CN"/>
    </w:rPr>
  </w:style>
  <w:style w:type="paragraph" w:styleId="40">
    <w:name w:val="toc 8"/>
    <w:basedOn w:val="1"/>
    <w:next w:val="1"/>
    <w:autoRedefine/>
    <w:unhideWhenUsed/>
    <w:qFormat/>
    <w:uiPriority w:val="39"/>
    <w:pPr>
      <w:spacing w:after="100" w:line="259" w:lineRule="auto"/>
      <w:ind w:left="1540" w:firstLine="0"/>
      <w:jc w:val="left"/>
    </w:pPr>
    <w:rPr>
      <w:rFonts w:asciiTheme="minorHAnsi" w:hAnsiTheme="minorHAnsi" w:eastAsiaTheme="minorEastAsia" w:cstheme="minorBidi"/>
      <w:sz w:val="22"/>
      <w:szCs w:val="22"/>
      <w:lang w:eastAsia="zh-CN"/>
    </w:rPr>
  </w:style>
  <w:style w:type="paragraph" w:styleId="41">
    <w:name w:val="toc 9"/>
    <w:basedOn w:val="1"/>
    <w:next w:val="1"/>
    <w:autoRedefine/>
    <w:unhideWhenUsed/>
    <w:qFormat/>
    <w:uiPriority w:val="39"/>
    <w:pPr>
      <w:spacing w:after="100" w:line="259" w:lineRule="auto"/>
      <w:ind w:left="1760" w:firstLine="0"/>
      <w:jc w:val="left"/>
    </w:pPr>
    <w:rPr>
      <w:rFonts w:asciiTheme="minorHAnsi" w:hAnsiTheme="minorHAnsi" w:eastAsiaTheme="minorEastAsia" w:cstheme="minorBidi"/>
      <w:sz w:val="22"/>
      <w:szCs w:val="22"/>
      <w:lang w:eastAsia="zh-CN"/>
    </w:rPr>
  </w:style>
  <w:style w:type="character" w:customStyle="1" w:styleId="42">
    <w:name w:val="Heading 1 Char"/>
    <w:basedOn w:val="11"/>
    <w:link w:val="2"/>
    <w:qFormat/>
    <w:uiPriority w:val="9"/>
    <w:rPr>
      <w:rFonts w:asciiTheme="majorHAnsi" w:hAnsiTheme="majorHAnsi" w:eastAsiaTheme="majorEastAsia" w:cstheme="majorBidi"/>
      <w:color w:val="2F5597" w:themeColor="accent1" w:themeShade="BF"/>
      <w:sz w:val="40"/>
      <w:szCs w:val="40"/>
    </w:rPr>
  </w:style>
  <w:style w:type="character" w:customStyle="1" w:styleId="43">
    <w:name w:val="Heading 2 Char"/>
    <w:basedOn w:val="11"/>
    <w:link w:val="3"/>
    <w:qFormat/>
    <w:uiPriority w:val="9"/>
    <w:rPr>
      <w:rFonts w:asciiTheme="majorHAnsi" w:hAnsiTheme="majorHAnsi" w:eastAsiaTheme="majorEastAsia" w:cstheme="majorBidi"/>
      <w:color w:val="2F5597" w:themeColor="accent1" w:themeShade="BF"/>
      <w:sz w:val="32"/>
      <w:szCs w:val="32"/>
    </w:rPr>
  </w:style>
  <w:style w:type="character" w:customStyle="1" w:styleId="44">
    <w:name w:val="Heading 3 Char"/>
    <w:basedOn w:val="11"/>
    <w:link w:val="4"/>
    <w:qFormat/>
    <w:uiPriority w:val="9"/>
    <w:rPr>
      <w:rFonts w:eastAsiaTheme="majorEastAsia" w:cstheme="majorBidi"/>
      <w:color w:val="2F5597" w:themeColor="accent1" w:themeShade="BF"/>
      <w:sz w:val="28"/>
      <w:szCs w:val="28"/>
    </w:rPr>
  </w:style>
  <w:style w:type="character" w:customStyle="1" w:styleId="45">
    <w:name w:val="Heading 4 Char"/>
    <w:basedOn w:val="11"/>
    <w:link w:val="5"/>
    <w:semiHidden/>
    <w:qFormat/>
    <w:uiPriority w:val="9"/>
    <w:rPr>
      <w:rFonts w:eastAsiaTheme="majorEastAsia" w:cstheme="majorBidi"/>
      <w:i/>
      <w:iCs/>
      <w:color w:val="2F5597" w:themeColor="accent1" w:themeShade="BF"/>
    </w:rPr>
  </w:style>
  <w:style w:type="character" w:customStyle="1" w:styleId="46">
    <w:name w:val="Heading 5 Char"/>
    <w:basedOn w:val="11"/>
    <w:link w:val="6"/>
    <w:semiHidden/>
    <w:qFormat/>
    <w:uiPriority w:val="9"/>
    <w:rPr>
      <w:rFonts w:eastAsiaTheme="majorEastAsia" w:cstheme="majorBidi"/>
      <w:color w:val="2F5597" w:themeColor="accent1" w:themeShade="BF"/>
    </w:rPr>
  </w:style>
  <w:style w:type="character" w:customStyle="1" w:styleId="47">
    <w:name w:val="Heading 6 Char"/>
    <w:basedOn w:val="11"/>
    <w:link w:val="7"/>
    <w:semiHidden/>
    <w:qFormat/>
    <w:uiPriority w:val="9"/>
    <w:rPr>
      <w:rFonts w:eastAsiaTheme="majorEastAsia" w:cstheme="majorBidi"/>
      <w:i/>
      <w:iCs/>
      <w:color w:val="595959" w:themeColor="text1" w:themeTint="A6"/>
      <w14:textFill>
        <w14:solidFill>
          <w14:schemeClr w14:val="tx1">
            <w14:lumMod w14:val="65000"/>
            <w14:lumOff w14:val="35000"/>
          </w14:schemeClr>
        </w14:solidFill>
      </w14:textFill>
    </w:rPr>
  </w:style>
  <w:style w:type="character" w:customStyle="1" w:styleId="48">
    <w:name w:val="Heading 7 Char"/>
    <w:basedOn w:val="11"/>
    <w:link w:val="8"/>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49">
    <w:name w:val="Heading 8 Char"/>
    <w:basedOn w:val="11"/>
    <w:link w:val="9"/>
    <w:semiHidden/>
    <w:qFormat/>
    <w:uiPriority w:val="9"/>
    <w:rPr>
      <w:rFonts w:eastAsiaTheme="majorEastAsia" w:cstheme="majorBidi"/>
      <w:i/>
      <w:iCs/>
      <w:color w:val="262626" w:themeColor="text1" w:themeTint="D9"/>
      <w14:textFill>
        <w14:solidFill>
          <w14:schemeClr w14:val="tx1">
            <w14:lumMod w14:val="85000"/>
            <w14:lumOff w14:val="15000"/>
          </w14:schemeClr>
        </w14:solidFill>
      </w14:textFill>
    </w:rPr>
  </w:style>
  <w:style w:type="character" w:customStyle="1" w:styleId="50">
    <w:name w:val="Heading 9 Char"/>
    <w:basedOn w:val="11"/>
    <w:link w:val="10"/>
    <w:semiHidden/>
    <w:qFormat/>
    <w:uiPriority w:val="9"/>
    <w:rPr>
      <w:rFonts w:eastAsiaTheme="majorEastAsia" w:cstheme="majorBidi"/>
      <w:color w:val="262626" w:themeColor="text1" w:themeTint="D9"/>
      <w14:textFill>
        <w14:solidFill>
          <w14:schemeClr w14:val="tx1">
            <w14:lumMod w14:val="85000"/>
            <w14:lumOff w14:val="15000"/>
          </w14:schemeClr>
        </w14:solidFill>
      </w14:textFill>
    </w:rPr>
  </w:style>
  <w:style w:type="character" w:customStyle="1" w:styleId="51">
    <w:name w:val="Title Char"/>
    <w:basedOn w:val="11"/>
    <w:link w:val="32"/>
    <w:qFormat/>
    <w:uiPriority w:val="10"/>
    <w:rPr>
      <w:rFonts w:asciiTheme="majorHAnsi" w:hAnsiTheme="majorHAnsi" w:eastAsiaTheme="majorEastAsia" w:cstheme="majorBidi"/>
      <w:spacing w:val="-10"/>
      <w:kern w:val="28"/>
      <w:sz w:val="56"/>
      <w:szCs w:val="56"/>
    </w:rPr>
  </w:style>
  <w:style w:type="character" w:customStyle="1" w:styleId="52">
    <w:name w:val="Subtitle Char"/>
    <w:basedOn w:val="11"/>
    <w:link w:val="29"/>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53">
    <w:name w:val="Quote"/>
    <w:basedOn w:val="1"/>
    <w:next w:val="1"/>
    <w:link w:val="54"/>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54">
    <w:name w:val="Quote Char"/>
    <w:basedOn w:val="11"/>
    <w:link w:val="53"/>
    <w:qFormat/>
    <w:uiPriority w:val="29"/>
    <w:rPr>
      <w:i/>
      <w:iCs/>
      <w:color w:val="404040" w:themeColor="text1" w:themeTint="BF"/>
      <w14:textFill>
        <w14:solidFill>
          <w14:schemeClr w14:val="tx1">
            <w14:lumMod w14:val="75000"/>
            <w14:lumOff w14:val="25000"/>
          </w14:schemeClr>
        </w14:solidFill>
      </w14:textFill>
    </w:rPr>
  </w:style>
  <w:style w:type="paragraph" w:styleId="55">
    <w:name w:val="List Paragraph"/>
    <w:basedOn w:val="1"/>
    <w:qFormat/>
    <w:uiPriority w:val="34"/>
    <w:pPr>
      <w:ind w:left="720"/>
      <w:contextualSpacing/>
    </w:pPr>
  </w:style>
  <w:style w:type="character" w:customStyle="1" w:styleId="56">
    <w:name w:val="Intense Emphasis"/>
    <w:basedOn w:val="11"/>
    <w:qFormat/>
    <w:uiPriority w:val="21"/>
    <w:rPr>
      <w:i/>
      <w:iCs/>
      <w:color w:val="2F5597" w:themeColor="accent1" w:themeShade="BF"/>
    </w:rPr>
  </w:style>
  <w:style w:type="paragraph" w:styleId="57">
    <w:name w:val="Intense Quote"/>
    <w:basedOn w:val="1"/>
    <w:next w:val="1"/>
    <w:link w:val="58"/>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58">
    <w:name w:val="Intense Quote Char"/>
    <w:basedOn w:val="11"/>
    <w:link w:val="57"/>
    <w:qFormat/>
    <w:uiPriority w:val="30"/>
    <w:rPr>
      <w:i/>
      <w:iCs/>
      <w:color w:val="2F5597" w:themeColor="accent1" w:themeShade="BF"/>
    </w:rPr>
  </w:style>
  <w:style w:type="character" w:customStyle="1" w:styleId="59">
    <w:name w:val="Intense Reference"/>
    <w:basedOn w:val="11"/>
    <w:qFormat/>
    <w:uiPriority w:val="32"/>
    <w:rPr>
      <w:b/>
      <w:bCs/>
      <w:smallCaps/>
      <w:color w:val="2F5597" w:themeColor="accent1" w:themeShade="BF"/>
      <w:spacing w:val="5"/>
    </w:rPr>
  </w:style>
  <w:style w:type="character" w:customStyle="1" w:styleId="60">
    <w:name w:val="fontstyle01"/>
    <w:basedOn w:val="11"/>
    <w:qFormat/>
    <w:uiPriority w:val="0"/>
    <w:rPr>
      <w:rFonts w:hint="default" w:ascii="Times New Roman" w:hAnsi="Times New Roman" w:cs="Times New Roman"/>
      <w:b/>
      <w:bCs/>
      <w:color w:val="000000"/>
      <w:sz w:val="30"/>
      <w:szCs w:val="30"/>
    </w:rPr>
  </w:style>
  <w:style w:type="character" w:customStyle="1" w:styleId="61">
    <w:name w:val="Unresolved Mention"/>
    <w:basedOn w:val="11"/>
    <w:semiHidden/>
    <w:unhideWhenUsed/>
    <w:qFormat/>
    <w:uiPriority w:val="99"/>
    <w:rPr>
      <w:color w:val="605E5C"/>
      <w:shd w:val="clear" w:color="auto" w:fill="E1DFDD"/>
    </w:rPr>
  </w:style>
  <w:style w:type="paragraph" w:customStyle="1" w:styleId="62">
    <w:name w:val="Default"/>
    <w:qFormat/>
    <w:uiPriority w:val="0"/>
    <w:pPr>
      <w:autoSpaceDE w:val="0"/>
      <w:autoSpaceDN w:val="0"/>
      <w:adjustRightInd w:val="0"/>
      <w:spacing w:after="0" w:line="240" w:lineRule="auto"/>
    </w:pPr>
    <w:rPr>
      <w:rFonts w:ascii="Times New Roman" w:hAnsi="Times New Roman" w:cs="Times New Roman" w:eastAsiaTheme="minorEastAsia"/>
      <w:color w:val="000000"/>
      <w:kern w:val="0"/>
      <w:sz w:val="24"/>
      <w:szCs w:val="24"/>
      <w:lang w:val="en-US" w:eastAsia="en-US" w:bidi="ar-SA"/>
      <w14:ligatures w14:val="none"/>
    </w:rPr>
  </w:style>
  <w:style w:type="character" w:customStyle="1" w:styleId="63">
    <w:name w:val="fontstyle21"/>
    <w:basedOn w:val="11"/>
    <w:qFormat/>
    <w:uiPriority w:val="0"/>
    <w:rPr>
      <w:rFonts w:hint="default" w:ascii="AdvTTa9c1b374+20" w:hAnsi="AdvTTa9c1b374+20"/>
      <w:color w:val="242021"/>
      <w:sz w:val="16"/>
      <w:szCs w:val="16"/>
    </w:rPr>
  </w:style>
  <w:style w:type="character" w:customStyle="1" w:styleId="64">
    <w:name w:val="Comment Text Char"/>
    <w:basedOn w:val="11"/>
    <w:link w:val="17"/>
    <w:semiHidden/>
    <w:qFormat/>
    <w:uiPriority w:val="99"/>
    <w:rPr>
      <w:rFonts w:ascii="Times New Roman" w:hAnsi="Times New Roman" w:cs="Times New Roman"/>
      <w:kern w:val="0"/>
      <w:sz w:val="20"/>
      <w:szCs w:val="20"/>
      <w14:ligatures w14:val="none"/>
    </w:rPr>
  </w:style>
  <w:style w:type="character" w:customStyle="1" w:styleId="65">
    <w:name w:val="Comment Subject Char"/>
    <w:basedOn w:val="64"/>
    <w:link w:val="18"/>
    <w:semiHidden/>
    <w:qFormat/>
    <w:uiPriority w:val="99"/>
    <w:rPr>
      <w:rFonts w:ascii="Times New Roman" w:hAnsi="Times New Roman" w:cs="Times New Roman"/>
      <w:b/>
      <w:bCs/>
      <w:kern w:val="0"/>
      <w:sz w:val="20"/>
      <w:szCs w:val="20"/>
      <w14:ligatures w14:val="none"/>
    </w:rPr>
  </w:style>
  <w:style w:type="character" w:customStyle="1" w:styleId="66">
    <w:name w:val="Balloon Text Char"/>
    <w:basedOn w:val="11"/>
    <w:link w:val="13"/>
    <w:semiHidden/>
    <w:qFormat/>
    <w:uiPriority w:val="99"/>
    <w:rPr>
      <w:rFonts w:ascii="Segoe UI" w:hAnsi="Segoe UI" w:cs="Segoe UI"/>
      <w:kern w:val="0"/>
      <w:sz w:val="18"/>
      <w:szCs w:val="18"/>
      <w14:ligatures w14:val="none"/>
    </w:rPr>
  </w:style>
  <w:style w:type="paragraph" w:customStyle="1" w:styleId="67">
    <w:name w:val="Revision"/>
    <w:hidden/>
    <w:semiHidden/>
    <w:qFormat/>
    <w:uiPriority w:val="99"/>
    <w:pPr>
      <w:spacing w:after="0" w:line="240" w:lineRule="auto"/>
    </w:pPr>
    <w:rPr>
      <w:rFonts w:ascii="Times New Roman" w:hAnsi="Times New Roman" w:cs="Times New Roman" w:eastAsiaTheme="minorHAnsi"/>
      <w:kern w:val="0"/>
      <w:sz w:val="24"/>
      <w:szCs w:val="24"/>
      <w:lang w:val="en-US" w:eastAsia="en-US" w:bidi="ar-SA"/>
      <w14:ligatures w14:val="none"/>
    </w:rPr>
  </w:style>
  <w:style w:type="paragraph" w:styleId="68">
    <w:name w:val="No Spacing"/>
    <w:link w:val="70"/>
    <w:qFormat/>
    <w:uiPriority w:val="1"/>
    <w:pPr>
      <w:spacing w:after="0" w:line="240" w:lineRule="auto"/>
      <w:jc w:val="both"/>
    </w:pPr>
    <w:rPr>
      <w:rFonts w:ascii="Times New Roman" w:hAnsi="Times New Roman" w:cs="Times New Roman" w:eastAsiaTheme="minorHAnsi"/>
      <w:kern w:val="0"/>
      <w:sz w:val="24"/>
      <w:szCs w:val="24"/>
      <w:lang w:val="en-US" w:eastAsia="en-US" w:bidi="ar-SA"/>
      <w14:ligatures w14:val="none"/>
    </w:rPr>
  </w:style>
  <w:style w:type="paragraph" w:customStyle="1" w:styleId="69">
    <w:name w:val="Style1"/>
    <w:basedOn w:val="68"/>
    <w:link w:val="71"/>
    <w:qFormat/>
    <w:uiPriority w:val="0"/>
    <w:pPr>
      <w:jc w:val="center"/>
    </w:pPr>
    <w:rPr>
      <w:b/>
    </w:rPr>
  </w:style>
  <w:style w:type="character" w:customStyle="1" w:styleId="70">
    <w:name w:val="No Spacing Char"/>
    <w:basedOn w:val="11"/>
    <w:link w:val="68"/>
    <w:qFormat/>
    <w:uiPriority w:val="1"/>
    <w:rPr>
      <w:rFonts w:ascii="Times New Roman" w:hAnsi="Times New Roman" w:cs="Times New Roman"/>
      <w:kern w:val="0"/>
      <w:lang w:val="en-US"/>
      <w14:ligatures w14:val="none"/>
    </w:rPr>
  </w:style>
  <w:style w:type="character" w:customStyle="1" w:styleId="71">
    <w:name w:val="Style1 Char"/>
    <w:basedOn w:val="70"/>
    <w:link w:val="69"/>
    <w:qFormat/>
    <w:uiPriority w:val="0"/>
    <w:rPr>
      <w:rFonts w:ascii="Times New Roman" w:hAnsi="Times New Roman" w:cs="Times New Roman"/>
      <w:b/>
      <w:kern w:val="0"/>
      <w:lang w:val="en-US"/>
      <w14:ligatures w14:val="none"/>
    </w:rPr>
  </w:style>
  <w:style w:type="character" w:customStyle="1" w:styleId="72">
    <w:name w:val="Unresolved Mention1"/>
    <w:basedOn w:val="11"/>
    <w:semiHidden/>
    <w:unhideWhenUsed/>
    <w:qFormat/>
    <w:uiPriority w:val="99"/>
    <w:rPr>
      <w:color w:val="605E5C"/>
      <w:shd w:val="clear" w:color="auto" w:fill="E1DFDD"/>
    </w:rPr>
  </w:style>
  <w:style w:type="paragraph" w:customStyle="1" w:styleId="73">
    <w:name w:val="Bibliography"/>
    <w:basedOn w:val="1"/>
    <w:next w:val="1"/>
    <w:unhideWhenUsed/>
    <w:qFormat/>
    <w:uiPriority w:val="37"/>
  </w:style>
  <w:style w:type="table" w:customStyle="1" w:styleId="74">
    <w:name w:val="1"/>
    <w:basedOn w:val="12"/>
    <w:qFormat/>
    <w:uiPriority w:val="0"/>
    <w:pPr>
      <w:spacing w:before="120" w:after="0" w:line="240" w:lineRule="auto"/>
      <w:ind w:left="720"/>
      <w:jc w:val="both"/>
    </w:pPr>
    <w:rPr>
      <w:rFonts w:cs="Times New Roman" w:eastAsiaTheme="minorEastAsia"/>
      <w:kern w:val="0"/>
      <w:sz w:val="21"/>
      <w:szCs w:val="21"/>
      <w:lang w:val="en-US"/>
      <w14:ligatures w14:val="none"/>
    </w:rPr>
  </w:style>
  <w:style w:type="character" w:customStyle="1" w:styleId="75">
    <w:name w:val="Header Char"/>
    <w:basedOn w:val="11"/>
    <w:link w:val="25"/>
    <w:qFormat/>
    <w:uiPriority w:val="99"/>
    <w:rPr>
      <w:rFonts w:ascii="Times New Roman" w:hAnsi="Times New Roman" w:cs="Times New Roman"/>
      <w:kern w:val="0"/>
      <w14:ligatures w14:val="none"/>
    </w:rPr>
  </w:style>
  <w:style w:type="character" w:customStyle="1" w:styleId="76">
    <w:name w:val="Footer Char"/>
    <w:basedOn w:val="11"/>
    <w:link w:val="22"/>
    <w:qFormat/>
    <w:uiPriority w:val="99"/>
    <w:rPr>
      <w:rFonts w:ascii="Times New Roman" w:hAnsi="Times New Roman" w:cs="Times New Roman"/>
      <w:kern w:val="0"/>
      <w14:ligatures w14:val="none"/>
    </w:rPr>
  </w:style>
  <w:style w:type="character" w:customStyle="1" w:styleId="77">
    <w:name w:val="fontstyle11"/>
    <w:basedOn w:val="11"/>
    <w:qFormat/>
    <w:uiPriority w:val="0"/>
    <w:rPr>
      <w:rFonts w:hint="default" w:ascii="Times New Roman" w:hAnsi="Times New Roman" w:cs="Times New Roman"/>
      <w:color w:val="000000"/>
      <w:sz w:val="24"/>
      <w:szCs w:val="24"/>
    </w:rPr>
  </w:style>
  <w:style w:type="character" w:customStyle="1" w:styleId="78">
    <w:name w:val="Body Text Char"/>
    <w:basedOn w:val="11"/>
    <w:link w:val="14"/>
    <w:qFormat/>
    <w:uiPriority w:val="1"/>
    <w:rPr>
      <w:rFonts w:ascii="Times New Roman" w:hAnsi="Times New Roman" w:eastAsia="Times New Roman" w:cs="Times New Roman"/>
      <w:kern w:val="0"/>
      <w:lang w:val="en-US"/>
      <w14:ligatures w14:val="none"/>
    </w:rPr>
  </w:style>
  <w:style w:type="character" w:customStyle="1" w:styleId="79">
    <w:name w:val="Endnote Text Char"/>
    <w:basedOn w:val="11"/>
    <w:link w:val="20"/>
    <w:semiHidden/>
    <w:qFormat/>
    <w:uiPriority w:val="99"/>
    <w:rPr>
      <w:rFonts w:ascii="Times New Roman" w:hAnsi="Times New Roman" w:cs="Times New Roman"/>
      <w:kern w:val="0"/>
      <w:sz w:val="20"/>
      <w:szCs w:val="20"/>
      <w14:ligatures w14:val="none"/>
    </w:rPr>
  </w:style>
  <w:style w:type="character" w:customStyle="1" w:styleId="80">
    <w:name w:val="Footnote Text Char"/>
    <w:basedOn w:val="11"/>
    <w:link w:val="24"/>
    <w:semiHidden/>
    <w:qFormat/>
    <w:uiPriority w:val="99"/>
    <w:rPr>
      <w:rFonts w:ascii="Times New Roman" w:hAnsi="Times New Roman" w:cs="Times New Roman"/>
      <w:kern w:val="0"/>
      <w:sz w:val="20"/>
      <w:szCs w:val="20"/>
      <w14:ligatures w14:val="none"/>
    </w:rPr>
  </w:style>
  <w:style w:type="paragraph" w:customStyle="1" w:styleId="81">
    <w:name w:val="Table Paragraph"/>
    <w:basedOn w:val="1"/>
    <w:qFormat/>
    <w:uiPriority w:val="1"/>
    <w:pPr>
      <w:widowControl w:val="0"/>
      <w:autoSpaceDE w:val="0"/>
      <w:autoSpaceDN w:val="0"/>
      <w:spacing w:after="0" w:line="240" w:lineRule="auto"/>
      <w:ind w:left="111" w:firstLine="0"/>
      <w:jc w:val="left"/>
    </w:pPr>
    <w:rPr>
      <w:rFonts w:eastAsia="Times New Roman"/>
      <w:sz w:val="22"/>
      <w:szCs w:val="22"/>
      <w:lang w:val="en-US"/>
    </w:rPr>
  </w:style>
  <w:style w:type="table" w:customStyle="1" w:styleId="82">
    <w:name w:val="Plain Table 31"/>
    <w:basedOn w:val="12"/>
    <w:qFormat/>
    <w:uiPriority w:val="43"/>
    <w:pPr>
      <w:spacing w:after="0" w:line="240" w:lineRule="auto"/>
    </w:pPr>
    <w:rPr>
      <w:kern w:val="0"/>
      <w:sz w:val="22"/>
      <w:szCs w:val="22"/>
      <w:lang w:val="en-US"/>
      <w14:ligatures w14:val="none"/>
    </w:rPr>
    <w:tblStylePr w:type="firstRow">
      <w:rPr>
        <w:b/>
        <w:bCs/>
        <w:caps/>
      </w:rPr>
      <w:tcPr>
        <w:tcBorders>
          <w:bottom w:val="single" w:color="7E7E7E" w:themeColor="text1" w:themeTint="80" w:sz="4" w:space="0"/>
        </w:tcBorders>
      </w:tcPr>
    </w:tblStylePr>
    <w:tblStylePr w:type="lastRow">
      <w:rPr>
        <w:b/>
        <w:bCs/>
        <w:caps/>
      </w:rPr>
      <w:tcPr>
        <w:tcBorders>
          <w:top w:val="nil"/>
        </w:tcBorders>
      </w:tcPr>
    </w:tblStylePr>
    <w:tblStylePr w:type="firstCol">
      <w:rPr>
        <w:b/>
        <w:bCs/>
        <w:caps/>
      </w:rPr>
      <w:tcPr>
        <w:tcBorders>
          <w:right w:val="single" w:color="7E7E7E" w:themeColor="text1" w:themeTint="80" w:sz="4" w:space="0"/>
        </w:tcBorders>
      </w:tcPr>
    </w:tblStylePr>
    <w:tblStylePr w:type="lastCol">
      <w:rPr>
        <w:b/>
        <w:bCs/>
        <w:caps/>
      </w:rPr>
      <w:tcPr>
        <w:tcBorders>
          <w:left w:val="nil"/>
        </w:tcBorders>
      </w:tcPr>
    </w:tblStylePr>
    <w:tblStylePr w:type="band1Vert">
      <w:tcPr>
        <w:shd w:val="clear" w:color="auto" w:fill="F1F1F1" w:themeFill="background1" w:themeFillShade="F2"/>
      </w:tcPr>
    </w:tblStylePr>
    <w:tblStylePr w:type="band1Horz">
      <w:tcPr>
        <w:shd w:val="clear" w:color="auto" w:fill="F1F1F1" w:themeFill="background1" w:themeFillShade="F2"/>
      </w:tcPr>
    </w:tblStylePr>
    <w:tblStylePr w:type="neCell">
      <w:tcPr>
        <w:tcBorders>
          <w:left w:val="nil"/>
        </w:tcBorders>
      </w:tcPr>
    </w:tblStylePr>
    <w:tblStylePr w:type="nwCell">
      <w:tcPr>
        <w:tcBorders>
          <w:right w:val="nil"/>
        </w:tcBorders>
      </w:tcPr>
    </w:tblStylePr>
  </w:style>
  <w:style w:type="table" w:customStyle="1" w:styleId="83">
    <w:name w:val="Plain Table 41"/>
    <w:basedOn w:val="12"/>
    <w:qFormat/>
    <w:uiPriority w:val="44"/>
    <w:pPr>
      <w:spacing w:after="0" w:line="240" w:lineRule="auto"/>
    </w:pPr>
    <w:rPr>
      <w:kern w:val="0"/>
      <w:sz w:val="22"/>
      <w:szCs w:val="22"/>
      <w:lang w:val="en-US"/>
      <w14:ligatures w14:val="none"/>
    </w:rPr>
    <w:tblStylePr w:type="firstRow">
      <w:rPr>
        <w:b/>
        <w:bCs/>
      </w:rPr>
    </w:tblStylePr>
    <w:tblStylePr w:type="lastRow">
      <w:rPr>
        <w:b/>
        <w:bCs/>
      </w:rPr>
    </w:tblStylePr>
    <w:tblStylePr w:type="firstCol">
      <w:rPr>
        <w:b/>
        <w:bCs/>
      </w:rPr>
    </w:tblStylePr>
    <w:tblStylePr w:type="lastCol">
      <w:rPr>
        <w:b/>
        <w:bCs/>
      </w:rPr>
    </w:tblStylePr>
    <w:tblStylePr w:type="band1Vert">
      <w:tcPr>
        <w:shd w:val="clear" w:color="auto" w:fill="F1F1F1" w:themeFill="background1" w:themeFillShade="F2"/>
      </w:tcPr>
    </w:tblStylePr>
    <w:tblStylePr w:type="band1Horz">
      <w:tcPr>
        <w:shd w:val="clear" w:color="auto" w:fill="F1F1F1" w:themeFill="background1" w:themeFillShade="F2"/>
      </w:tcPr>
    </w:tblStylePr>
  </w:style>
  <w:style w:type="table" w:customStyle="1" w:styleId="84">
    <w:name w:val="Plain Table 11"/>
    <w:basedOn w:val="12"/>
    <w:qFormat/>
    <w:uiPriority w:val="41"/>
    <w:pPr>
      <w:spacing w:after="0" w:line="240" w:lineRule="auto"/>
    </w:pPr>
    <w:rPr>
      <w:kern w:val="0"/>
      <w:sz w:val="22"/>
      <w:szCs w:val="22"/>
      <w14:ligatures w14:val="none"/>
    </w:rPr>
    <w:tblPr>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Pr>
    <w:tblStylePr w:type="firstRow">
      <w:rPr>
        <w:b/>
        <w:bCs/>
      </w:rPr>
    </w:tblStylePr>
    <w:tblStylePr w:type="lastRow">
      <w:rPr>
        <w:b/>
        <w:bCs/>
      </w:rPr>
      <w:tcPr>
        <w:tcBorders>
          <w:top w:val="double" w:color="BEBEBE" w:themeColor="background1" w:themeShade="BF" w:sz="4" w:space="0"/>
        </w:tcBorders>
      </w:tcPr>
    </w:tblStylePr>
    <w:tblStylePr w:type="firstCol">
      <w:rPr>
        <w:b/>
        <w:bCs/>
      </w:rPr>
    </w:tblStylePr>
    <w:tblStylePr w:type="lastCol">
      <w:rPr>
        <w:b/>
        <w:bCs/>
      </w:rPr>
    </w:tblStylePr>
    <w:tblStylePr w:type="band1Vert">
      <w:tcPr>
        <w:shd w:val="clear" w:color="auto" w:fill="F1F1F1" w:themeFill="background1" w:themeFillShade="F2"/>
      </w:tcPr>
    </w:tblStylePr>
    <w:tblStylePr w:type="band1Horz">
      <w:tcPr>
        <w:shd w:val="clear" w:color="auto" w:fill="F1F1F1" w:themeFill="background1" w:themeFillShade="F2"/>
      </w:tcPr>
    </w:tblStylePr>
  </w:style>
  <w:style w:type="table" w:customStyle="1" w:styleId="85">
    <w:name w:val="Grid Table 4 - Accent 41"/>
    <w:basedOn w:val="12"/>
    <w:qFormat/>
    <w:uiPriority w:val="49"/>
    <w:pPr>
      <w:spacing w:after="0" w:line="240" w:lineRule="auto"/>
    </w:pPr>
    <w:rPr>
      <w:kern w:val="0"/>
      <w:sz w:val="22"/>
      <w:szCs w:val="22"/>
      <w14:ligatures w14:val="none"/>
    </w:rPr>
    <w:tblPr>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Pr>
    <w:tblStylePr w:type="firstRow">
      <w:rPr>
        <w:b/>
        <w:bCs/>
        <w:color w:val="FFFFFF" w:themeColor="background1"/>
        <w14:textFill>
          <w14:solidFill>
            <w14:schemeClr w14:val="bg1"/>
          </w14:solidFill>
        </w14:textFill>
      </w:rPr>
      <w:tcPr>
        <w:tcBorders>
          <w:top w:val="single" w:color="FFC000" w:themeColor="accent4" w:sz="4" w:space="0"/>
          <w:left w:val="single" w:color="FFC000" w:themeColor="accent4" w:sz="4" w:space="0"/>
          <w:bottom w:val="single" w:color="FFC000" w:themeColor="accent4" w:sz="4" w:space="0"/>
          <w:right w:val="single" w:color="FFC000" w:themeColor="accent4" w:sz="4" w:space="0"/>
          <w:insideH w:val="nil"/>
          <w:insideV w:val="nil"/>
        </w:tcBorders>
        <w:shd w:val="clear" w:color="auto" w:fill="FFC000" w:themeFill="accent4"/>
      </w:tcPr>
    </w:tblStylePr>
    <w:tblStylePr w:type="lastRow">
      <w:rPr>
        <w:b/>
        <w:bCs/>
      </w:rPr>
      <w:tcPr>
        <w:tcBorders>
          <w:top w:val="double" w:color="FFC000" w:themeColor="accent4" w:sz="4" w:space="0"/>
        </w:tcBorders>
      </w:tcPr>
    </w:tblStylePr>
    <w:tblStylePr w:type="firstCol">
      <w:rPr>
        <w:b/>
        <w:bCs/>
      </w:rPr>
    </w:tblStylePr>
    <w:tblStylePr w:type="lastCol">
      <w:rPr>
        <w:b/>
        <w:bCs/>
      </w:rPr>
    </w:tblStylePr>
    <w:tblStylePr w:type="band1Vert">
      <w:tcPr>
        <w:shd w:val="clear" w:color="auto" w:fill="FEF2CC" w:themeFill="accent4" w:themeFillTint="33"/>
      </w:tcPr>
    </w:tblStylePr>
    <w:tblStylePr w:type="band1Horz">
      <w:tcPr>
        <w:shd w:val="clear" w:color="auto" w:fill="FEF2CC" w:themeFill="accent4" w:themeFillTint="33"/>
      </w:tcPr>
    </w:tblStylePr>
  </w:style>
  <w:style w:type="table" w:customStyle="1" w:styleId="86">
    <w:name w:val="Grid Table 4 - Accent 31"/>
    <w:basedOn w:val="12"/>
    <w:qFormat/>
    <w:uiPriority w:val="49"/>
    <w:pPr>
      <w:spacing w:after="0" w:line="240" w:lineRule="auto"/>
    </w:pPr>
    <w:rPr>
      <w:kern w:val="0"/>
      <w:sz w:val="22"/>
      <w:szCs w:val="22"/>
      <w14:ligatures w14:val="none"/>
    </w:rPr>
    <w:tblPr>
      <w:tblBorders>
        <w:top w:val="single" w:color="C8C8C8" w:themeColor="accent3" w:themeTint="99" w:sz="4" w:space="0"/>
        <w:left w:val="single" w:color="C8C8C8" w:themeColor="accent3" w:themeTint="99" w:sz="4" w:space="0"/>
        <w:bottom w:val="single" w:color="C8C8C8" w:themeColor="accent3" w:themeTint="99" w:sz="4" w:space="0"/>
        <w:right w:val="single" w:color="C8C8C8" w:themeColor="accent3" w:themeTint="99" w:sz="4" w:space="0"/>
        <w:insideH w:val="single" w:color="C8C8C8" w:themeColor="accent3" w:themeTint="99" w:sz="4" w:space="0"/>
        <w:insideV w:val="single" w:color="C8C8C8" w:themeColor="accent3" w:themeTint="99" w:sz="4" w:space="0"/>
      </w:tblBorders>
    </w:tblPr>
    <w:tblStylePr w:type="firstRow">
      <w:rPr>
        <w:b/>
        <w:bCs/>
        <w:color w:val="FFFFFF" w:themeColor="background1"/>
        <w14:textFill>
          <w14:solidFill>
            <w14:schemeClr w14:val="bg1"/>
          </w14:solidFill>
        </w14:textFill>
      </w:rPr>
      <w:tcPr>
        <w:tcBorders>
          <w:top w:val="single" w:color="A5A5A5" w:themeColor="accent3" w:sz="4" w:space="0"/>
          <w:left w:val="single" w:color="A5A5A5" w:themeColor="accent3" w:sz="4" w:space="0"/>
          <w:bottom w:val="single" w:color="A5A5A5" w:themeColor="accent3" w:sz="4" w:space="0"/>
          <w:right w:val="single" w:color="A5A5A5" w:themeColor="accent3" w:sz="4" w:space="0"/>
          <w:insideH w:val="nil"/>
          <w:insideV w:val="nil"/>
        </w:tcBorders>
        <w:shd w:val="clear" w:color="auto" w:fill="A5A5A5" w:themeFill="accent3"/>
      </w:tcPr>
    </w:tblStylePr>
    <w:tblStylePr w:type="lastRow">
      <w:rPr>
        <w:b/>
        <w:bCs/>
      </w:rPr>
      <w:tcPr>
        <w:tcBorders>
          <w:top w:val="double" w:color="A5A5A5" w:themeColor="accent3" w:sz="4" w:space="0"/>
        </w:tcBorders>
      </w:tcPr>
    </w:tblStylePr>
    <w:tblStylePr w:type="firstCol">
      <w:rPr>
        <w:b/>
        <w:bCs/>
      </w:rPr>
    </w:tblStylePr>
    <w:tblStylePr w:type="lastCol">
      <w:rPr>
        <w:b/>
        <w:bCs/>
      </w:rPr>
    </w:tblStylePr>
    <w:tblStylePr w:type="band1Vert">
      <w:tcPr>
        <w:shd w:val="clear" w:color="auto" w:fill="ECECEC" w:themeFill="accent3" w:themeFillTint="33"/>
      </w:tcPr>
    </w:tblStylePr>
    <w:tblStylePr w:type="band1Horz">
      <w:tcPr>
        <w:shd w:val="clear" w:color="auto" w:fill="ECECEC" w:themeFill="accent3" w:themeFillTint="33"/>
      </w:tcPr>
    </w:tblStylePr>
  </w:style>
  <w:style w:type="table" w:customStyle="1" w:styleId="87">
    <w:name w:val="Grid Table 4 - Accent 11"/>
    <w:basedOn w:val="12"/>
    <w:qFormat/>
    <w:uiPriority w:val="49"/>
    <w:pPr>
      <w:spacing w:after="0" w:line="240" w:lineRule="auto"/>
    </w:pPr>
    <w:rPr>
      <w:kern w:val="0"/>
      <w:sz w:val="22"/>
      <w:szCs w:val="22"/>
      <w14:ligatures w14:val="none"/>
    </w:rPr>
    <w:tblPr>
      <w:tblBorders>
        <w:top w:val="single" w:color="8EAADB" w:themeColor="accent1" w:themeTint="99" w:sz="4" w:space="0"/>
        <w:left w:val="single" w:color="8EAADB" w:themeColor="accent1" w:themeTint="99" w:sz="4" w:space="0"/>
        <w:bottom w:val="single" w:color="8EAADB" w:themeColor="accent1" w:themeTint="99" w:sz="4" w:space="0"/>
        <w:right w:val="single" w:color="8EAADB" w:themeColor="accent1" w:themeTint="99" w:sz="4" w:space="0"/>
        <w:insideH w:val="single" w:color="8EAADB" w:themeColor="accent1" w:themeTint="99" w:sz="4" w:space="0"/>
        <w:insideV w:val="single" w:color="8EAADB" w:themeColor="accent1" w:themeTint="99" w:sz="4" w:space="0"/>
      </w:tblBorders>
    </w:tblPr>
    <w:tblStylePr w:type="firstRow">
      <w:rPr>
        <w:b/>
        <w:bCs/>
        <w:color w:val="FFFFFF" w:themeColor="background1"/>
        <w14:textFill>
          <w14:solidFill>
            <w14:schemeClr w14:val="bg1"/>
          </w14:solidFill>
        </w14:textFill>
      </w:rPr>
      <w:tcPr>
        <w:tcBorders>
          <w:top w:val="single" w:color="4472C4" w:themeColor="accent1" w:sz="4" w:space="0"/>
          <w:left w:val="single" w:color="4472C4" w:themeColor="accent1" w:sz="4" w:space="0"/>
          <w:bottom w:val="single" w:color="4472C4" w:themeColor="accent1" w:sz="4" w:space="0"/>
          <w:right w:val="single" w:color="4472C4" w:themeColor="accent1" w:sz="4" w:space="0"/>
          <w:insideH w:val="nil"/>
          <w:insideV w:val="nil"/>
        </w:tcBorders>
        <w:shd w:val="clear" w:color="auto" w:fill="4472C4" w:themeFill="accent1"/>
      </w:tcPr>
    </w:tblStylePr>
    <w:tblStylePr w:type="lastRow">
      <w:rPr>
        <w:b/>
        <w:bCs/>
      </w:rPr>
      <w:tcPr>
        <w:tcBorders>
          <w:top w:val="double" w:color="4472C4" w:themeColor="accent1" w:sz="4" w:space="0"/>
        </w:tcBorders>
      </w:tcPr>
    </w:tblStylePr>
    <w:tblStylePr w:type="firstCol">
      <w:rPr>
        <w:b/>
        <w:bCs/>
      </w:rPr>
    </w:tblStylePr>
    <w:tblStylePr w:type="lastCol">
      <w:rPr>
        <w:b/>
        <w:bCs/>
      </w:rPr>
    </w:tblStylePr>
    <w:tblStylePr w:type="band1Vert">
      <w:tcPr>
        <w:shd w:val="clear" w:color="auto" w:fill="D9E2F3" w:themeFill="accent1" w:themeFillTint="33"/>
      </w:tcPr>
    </w:tblStylePr>
    <w:tblStylePr w:type="band1Horz">
      <w:tcPr>
        <w:shd w:val="clear" w:color="auto" w:fill="D9E2F3" w:themeFill="accent1" w:themeFillTint="33"/>
      </w:tcPr>
    </w:tblStylePr>
  </w:style>
  <w:style w:type="table" w:customStyle="1" w:styleId="88">
    <w:name w:val="List Table 6 Colorful - Accent 61"/>
    <w:basedOn w:val="12"/>
    <w:qFormat/>
    <w:uiPriority w:val="51"/>
    <w:pPr>
      <w:spacing w:after="0" w:line="240" w:lineRule="auto"/>
    </w:pPr>
    <w:rPr>
      <w:color w:val="548235" w:themeColor="accent6" w:themeShade="BF"/>
      <w:kern w:val="0"/>
      <w:sz w:val="22"/>
      <w:szCs w:val="22"/>
      <w14:ligatures w14:val="none"/>
    </w:rPr>
    <w:tblPr>
      <w:tblBorders>
        <w:top w:val="single" w:color="70AD47" w:themeColor="accent6" w:sz="4" w:space="0"/>
        <w:bottom w:val="single" w:color="70AD47" w:themeColor="accent6" w:sz="4" w:space="0"/>
      </w:tblBorders>
    </w:tblPr>
    <w:tblStylePr w:type="firstRow">
      <w:rPr>
        <w:b/>
        <w:bCs/>
      </w:rPr>
      <w:tcPr>
        <w:tcBorders>
          <w:bottom w:val="single" w:color="70AD47" w:themeColor="accent6" w:sz="4" w:space="0"/>
        </w:tcBorders>
      </w:tcPr>
    </w:tblStylePr>
    <w:tblStylePr w:type="lastRow">
      <w:rPr>
        <w:b/>
        <w:bCs/>
      </w:rPr>
      <w:tcPr>
        <w:tcBorders>
          <w:top w:val="double" w:color="70AD47" w:themeColor="accent6" w:sz="4" w:space="0"/>
        </w:tcBorders>
      </w:tcPr>
    </w:tblStylePr>
    <w:tblStylePr w:type="firstCol">
      <w:rPr>
        <w:b/>
        <w:bCs/>
      </w:rPr>
    </w:tblStylePr>
    <w:tblStylePr w:type="lastCol">
      <w:rPr>
        <w:b/>
        <w:bCs/>
      </w:rPr>
    </w:tblStylePr>
    <w:tblStylePr w:type="band1Vert">
      <w:tcPr>
        <w:shd w:val="clear" w:color="auto" w:fill="E2EFD9" w:themeFill="accent6" w:themeFillTint="33"/>
      </w:tcPr>
    </w:tblStylePr>
    <w:tblStylePr w:type="band1Horz">
      <w:tcPr>
        <w:shd w:val="clear" w:color="auto" w:fill="E2EFD9" w:themeFill="accent6" w:themeFillTint="33"/>
      </w:tcPr>
    </w:tblStylePr>
  </w:style>
  <w:style w:type="table" w:customStyle="1" w:styleId="89">
    <w:name w:val="List Table 7 Colorful - Accent 21"/>
    <w:basedOn w:val="12"/>
    <w:qFormat/>
    <w:uiPriority w:val="52"/>
    <w:pPr>
      <w:spacing w:after="0" w:line="240" w:lineRule="auto"/>
    </w:pPr>
    <w:rPr>
      <w:color w:val="C55A11" w:themeColor="accent2" w:themeShade="BF"/>
      <w:kern w:val="0"/>
      <w:sz w:val="22"/>
      <w:szCs w:val="22"/>
      <w14:ligatures w14:val="none"/>
    </w:rPr>
    <w:tblStylePr w:type="firstRow">
      <w:rPr>
        <w:rFonts w:asciiTheme="majorHAnsi" w:hAnsiTheme="majorHAnsi" w:eastAsiaTheme="majorEastAsia" w:cstheme="majorBidi"/>
        <w:i/>
        <w:iCs/>
        <w:sz w:val="26"/>
      </w:rPr>
      <w:tcPr>
        <w:tcBorders>
          <w:bottom w:val="single" w:color="ED7D31" w:themeColor="accent2" w:sz="4" w:space="0"/>
        </w:tcBorders>
        <w:shd w:val="clear" w:color="auto" w:fill="FFFFFF" w:themeFill="background1"/>
      </w:tcPr>
    </w:tblStylePr>
    <w:tblStylePr w:type="lastRow">
      <w:rPr>
        <w:rFonts w:asciiTheme="majorHAnsi" w:hAnsiTheme="majorHAnsi" w:eastAsiaTheme="majorEastAsia" w:cstheme="majorBidi"/>
        <w:i/>
        <w:iCs/>
        <w:sz w:val="26"/>
      </w:rPr>
      <w:tcPr>
        <w:tcBorders>
          <w:top w:val="single" w:color="ED7D31" w:themeColor="accent2"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cPr>
        <w:tcBorders>
          <w:right w:val="single" w:color="ED7D31" w:themeColor="accent2" w:sz="4" w:space="0"/>
        </w:tcBorders>
        <w:shd w:val="clear" w:color="auto" w:fill="FFFFFF" w:themeFill="background1"/>
      </w:tcPr>
    </w:tblStylePr>
    <w:tblStylePr w:type="lastCol">
      <w:rPr>
        <w:rFonts w:asciiTheme="majorHAnsi" w:hAnsiTheme="majorHAnsi" w:eastAsiaTheme="majorEastAsia" w:cstheme="majorBidi"/>
        <w:i/>
        <w:iCs/>
        <w:sz w:val="26"/>
      </w:rPr>
      <w:tcPr>
        <w:tcBorders>
          <w:left w:val="single" w:color="ED7D31" w:themeColor="accent2" w:sz="4" w:space="0"/>
        </w:tcBorders>
        <w:shd w:val="clear" w:color="auto" w:fill="FFFFFF" w:themeFill="background1"/>
      </w:tcPr>
    </w:tblStylePr>
    <w:tblStylePr w:type="band1Vert">
      <w:tcPr>
        <w:shd w:val="clear" w:color="auto" w:fill="FBE4D5" w:themeFill="accent2" w:themeFillTint="33"/>
      </w:tcPr>
    </w:tblStylePr>
    <w:tblStylePr w:type="band1Horz">
      <w:tcPr>
        <w:shd w:val="clear" w:color="auto" w:fill="FBE4D5" w:themeFill="accent2" w:themeFillTint="33"/>
      </w:tcPr>
    </w:tblStylePr>
    <w:tblStylePr w:type="neCell">
      <w:tcPr>
        <w:tcBorders>
          <w:left w:val="nil"/>
        </w:tcBorders>
      </w:tcPr>
    </w:tblStylePr>
    <w:tblStylePr w:type="nwCell">
      <w:tcPr>
        <w:tcBorders>
          <w:right w:val="nil"/>
        </w:tcBorders>
      </w:tcPr>
    </w:tblStylePr>
    <w:tblStylePr w:type="seCell">
      <w:tcPr>
        <w:tcBorders>
          <w:left w:val="nil"/>
        </w:tcBorders>
      </w:tcPr>
    </w:tblStylePr>
    <w:tblStylePr w:type="swCell">
      <w:tcPr>
        <w:tcBorders>
          <w:right w:val="nil"/>
        </w:tcBorders>
      </w:tcPr>
    </w:tblStylePr>
  </w:style>
  <w:style w:type="table" w:customStyle="1" w:styleId="90">
    <w:name w:val="List Table 7 Colorful - Accent 11"/>
    <w:basedOn w:val="12"/>
    <w:qFormat/>
    <w:uiPriority w:val="52"/>
    <w:pPr>
      <w:spacing w:after="0" w:line="240" w:lineRule="auto"/>
    </w:pPr>
    <w:rPr>
      <w:color w:val="2F5597" w:themeColor="accent1" w:themeShade="BF"/>
      <w:kern w:val="0"/>
      <w:sz w:val="22"/>
      <w:szCs w:val="22"/>
      <w14:ligatures w14:val="none"/>
    </w:rPr>
    <w:tblStylePr w:type="firstRow">
      <w:rPr>
        <w:rFonts w:asciiTheme="majorHAnsi" w:hAnsiTheme="majorHAnsi" w:eastAsiaTheme="majorEastAsia" w:cstheme="majorBidi"/>
        <w:i/>
        <w:iCs/>
        <w:sz w:val="26"/>
      </w:rPr>
      <w:tcPr>
        <w:tcBorders>
          <w:bottom w:val="single" w:color="4472C4" w:themeColor="accent1" w:sz="4" w:space="0"/>
        </w:tcBorders>
        <w:shd w:val="clear" w:color="auto" w:fill="FFFFFF" w:themeFill="background1"/>
      </w:tcPr>
    </w:tblStylePr>
    <w:tblStylePr w:type="lastRow">
      <w:rPr>
        <w:rFonts w:asciiTheme="majorHAnsi" w:hAnsiTheme="majorHAnsi" w:eastAsiaTheme="majorEastAsia" w:cstheme="majorBidi"/>
        <w:i/>
        <w:iCs/>
        <w:sz w:val="26"/>
      </w:rPr>
      <w:tcPr>
        <w:tcBorders>
          <w:top w:val="single" w:color="4472C4" w:themeColor="accent1"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cPr>
        <w:tcBorders>
          <w:right w:val="single" w:color="4472C4" w:themeColor="accent1" w:sz="4" w:space="0"/>
        </w:tcBorders>
        <w:shd w:val="clear" w:color="auto" w:fill="FFFFFF" w:themeFill="background1"/>
      </w:tcPr>
    </w:tblStylePr>
    <w:tblStylePr w:type="lastCol">
      <w:rPr>
        <w:rFonts w:asciiTheme="majorHAnsi" w:hAnsiTheme="majorHAnsi" w:eastAsiaTheme="majorEastAsia" w:cstheme="majorBidi"/>
        <w:i/>
        <w:iCs/>
        <w:sz w:val="26"/>
      </w:rPr>
      <w:tcPr>
        <w:tcBorders>
          <w:left w:val="single" w:color="4472C4" w:themeColor="accent1" w:sz="4" w:space="0"/>
        </w:tcBorders>
        <w:shd w:val="clear" w:color="auto" w:fill="FFFFFF" w:themeFill="background1"/>
      </w:tcPr>
    </w:tblStylePr>
    <w:tblStylePr w:type="band1Vert">
      <w:tcPr>
        <w:shd w:val="clear" w:color="auto" w:fill="D9E2F3" w:themeFill="accent1" w:themeFillTint="33"/>
      </w:tcPr>
    </w:tblStylePr>
    <w:tblStylePr w:type="band1Horz">
      <w:tcPr>
        <w:shd w:val="clear" w:color="auto" w:fill="D9E2F3" w:themeFill="accent1" w:themeFillTint="33"/>
      </w:tcPr>
    </w:tblStylePr>
    <w:tblStylePr w:type="neCell">
      <w:tcPr>
        <w:tcBorders>
          <w:left w:val="nil"/>
        </w:tcBorders>
      </w:tcPr>
    </w:tblStylePr>
    <w:tblStylePr w:type="nwCell">
      <w:tcPr>
        <w:tcBorders>
          <w:right w:val="nil"/>
        </w:tcBorders>
      </w:tcPr>
    </w:tblStylePr>
    <w:tblStylePr w:type="seCell">
      <w:tcPr>
        <w:tcBorders>
          <w:left w:val="nil"/>
        </w:tcBorders>
      </w:tcPr>
    </w:tblStylePr>
    <w:tblStylePr w:type="swCell">
      <w:tcPr>
        <w:tcBorders>
          <w:right w:val="nil"/>
        </w:tcBorders>
      </w:tcPr>
    </w:tblStylePr>
  </w:style>
  <w:style w:type="table" w:customStyle="1" w:styleId="91">
    <w:name w:val="List Table 7 Colorful1"/>
    <w:basedOn w:val="12"/>
    <w:qFormat/>
    <w:uiPriority w:val="52"/>
    <w:pPr>
      <w:spacing w:after="0" w:line="240" w:lineRule="auto"/>
    </w:pPr>
    <w:rPr>
      <w:color w:val="000000" w:themeColor="text1"/>
      <w:kern w:val="0"/>
      <w:sz w:val="22"/>
      <w:szCs w:val="22"/>
      <w14:textFill>
        <w14:solidFill>
          <w14:schemeClr w14:val="tx1"/>
        </w14:solidFill>
      </w14:textFill>
      <w14:ligatures w14:val="none"/>
    </w:rPr>
    <w:tblStylePr w:type="firstRow">
      <w:rPr>
        <w:rFonts w:asciiTheme="majorHAnsi" w:hAnsiTheme="majorHAnsi" w:eastAsiaTheme="majorEastAsia" w:cstheme="majorBidi"/>
        <w:i/>
        <w:iCs/>
        <w:sz w:val="26"/>
      </w:rPr>
      <w:tcPr>
        <w:tcBorders>
          <w:bottom w:val="single" w:color="000000" w:themeColor="text1" w:sz="4" w:space="0"/>
        </w:tcBorders>
        <w:shd w:val="clear" w:color="auto" w:fill="FFFFFF" w:themeFill="background1"/>
      </w:tcPr>
    </w:tblStylePr>
    <w:tblStylePr w:type="lastRow">
      <w:rPr>
        <w:rFonts w:asciiTheme="majorHAnsi" w:hAnsiTheme="majorHAnsi" w:eastAsiaTheme="majorEastAsia" w:cstheme="majorBidi"/>
        <w:i/>
        <w:iCs/>
        <w:sz w:val="26"/>
      </w:rPr>
      <w:tcPr>
        <w:tcBorders>
          <w:top w:val="single" w:color="000000" w:themeColor="text1"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cPr>
        <w:tcBorders>
          <w:right w:val="single" w:color="000000" w:themeColor="text1" w:sz="4" w:space="0"/>
        </w:tcBorders>
        <w:shd w:val="clear" w:color="auto" w:fill="FFFFFF" w:themeFill="background1"/>
      </w:tcPr>
    </w:tblStylePr>
    <w:tblStylePr w:type="lastCol">
      <w:rPr>
        <w:rFonts w:asciiTheme="majorHAnsi" w:hAnsiTheme="majorHAnsi" w:eastAsiaTheme="majorEastAsia" w:cstheme="majorBidi"/>
        <w:i/>
        <w:iCs/>
        <w:sz w:val="26"/>
      </w:rPr>
      <w:tcPr>
        <w:tcBorders>
          <w:left w:val="single" w:color="000000" w:themeColor="text1" w:sz="4" w:space="0"/>
        </w:tcBorders>
        <w:shd w:val="clear" w:color="auto" w:fill="FFFFFF" w:themeFill="background1"/>
      </w:tcPr>
    </w:tblStylePr>
    <w:tblStylePr w:type="band1Vert">
      <w:tcPr>
        <w:shd w:val="clear" w:color="auto" w:fill="CCCCCC" w:themeFill="text1" w:themeFillTint="33"/>
      </w:tcPr>
    </w:tblStylePr>
    <w:tblStylePr w:type="band1Horz">
      <w:tcPr>
        <w:shd w:val="clear" w:color="auto" w:fill="CCCCCC" w:themeFill="text1" w:themeFillTint="33"/>
      </w:tcPr>
    </w:tblStylePr>
    <w:tblStylePr w:type="neCell">
      <w:tcPr>
        <w:tcBorders>
          <w:left w:val="nil"/>
        </w:tcBorders>
      </w:tcPr>
    </w:tblStylePr>
    <w:tblStylePr w:type="nwCell">
      <w:tcPr>
        <w:tcBorders>
          <w:right w:val="nil"/>
        </w:tcBorders>
      </w:tcPr>
    </w:tblStylePr>
    <w:tblStylePr w:type="seCell">
      <w:tcPr>
        <w:tcBorders>
          <w:left w:val="nil"/>
        </w:tcBorders>
      </w:tcPr>
    </w:tblStylePr>
    <w:tblStylePr w:type="swCell">
      <w:tcPr>
        <w:tcBorders>
          <w:right w:val="nil"/>
        </w:tcBorders>
      </w:tcPr>
    </w:tblStylePr>
  </w:style>
  <w:style w:type="table" w:customStyle="1" w:styleId="92">
    <w:name w:val="List Table 3 - Accent 51"/>
    <w:basedOn w:val="12"/>
    <w:qFormat/>
    <w:uiPriority w:val="48"/>
    <w:pPr>
      <w:spacing w:after="0" w:line="240" w:lineRule="auto"/>
    </w:pPr>
    <w:rPr>
      <w:kern w:val="0"/>
      <w:sz w:val="22"/>
      <w:szCs w:val="22"/>
      <w14:ligatures w14:val="none"/>
    </w:rPr>
    <w:tblPr>
      <w:tblBorders>
        <w:top w:val="single" w:color="5B9BD5" w:themeColor="accent5" w:sz="4" w:space="0"/>
        <w:left w:val="single" w:color="5B9BD5" w:themeColor="accent5" w:sz="4" w:space="0"/>
        <w:bottom w:val="single" w:color="5B9BD5" w:themeColor="accent5" w:sz="4" w:space="0"/>
        <w:right w:val="single" w:color="5B9BD5" w:themeColor="accent5" w:sz="4" w:space="0"/>
      </w:tblBorders>
    </w:tblPr>
    <w:tblStylePr w:type="firstRow">
      <w:rPr>
        <w:b/>
        <w:bCs/>
        <w:color w:val="FFFFFF" w:themeColor="background1"/>
        <w14:textFill>
          <w14:solidFill>
            <w14:schemeClr w14:val="bg1"/>
          </w14:solidFill>
        </w14:textFill>
      </w:rPr>
      <w:tcPr>
        <w:shd w:val="clear" w:color="auto" w:fill="5B9BD5" w:themeFill="accent5"/>
      </w:tcPr>
    </w:tblStylePr>
    <w:tblStylePr w:type="lastRow">
      <w:rPr>
        <w:b/>
        <w:bCs/>
      </w:rPr>
      <w:tcPr>
        <w:tcBorders>
          <w:top w:val="double" w:color="5B9BD5" w:themeColor="accent5" w:sz="4" w:space="0"/>
        </w:tcBorders>
        <w:shd w:val="clear" w:color="auto" w:fill="FFFFFF" w:themeFill="background1"/>
      </w:tcPr>
    </w:tblStylePr>
    <w:tblStylePr w:type="firstCol">
      <w:rPr>
        <w:b/>
        <w:bCs/>
      </w:rPr>
      <w:tcPr>
        <w:tcBorders>
          <w:right w:val="nil"/>
        </w:tcBorders>
        <w:shd w:val="clear" w:color="auto" w:fill="FFFFFF" w:themeFill="background1"/>
      </w:tcPr>
    </w:tblStylePr>
    <w:tblStylePr w:type="lastCol">
      <w:rPr>
        <w:b/>
        <w:bCs/>
      </w:rPr>
      <w:tcPr>
        <w:tcBorders>
          <w:left w:val="nil"/>
        </w:tcBorders>
        <w:shd w:val="clear" w:color="auto" w:fill="FFFFFF" w:themeFill="background1"/>
      </w:tcPr>
    </w:tblStylePr>
    <w:tblStylePr w:type="band1Vert">
      <w:tcPr>
        <w:tcBorders>
          <w:left w:val="single" w:color="5B9BD5" w:themeColor="accent5" w:sz="4" w:space="0"/>
          <w:right w:val="single" w:color="5B9BD5" w:themeColor="accent5" w:sz="4" w:space="0"/>
        </w:tcBorders>
      </w:tcPr>
    </w:tblStylePr>
    <w:tblStylePr w:type="band1Horz">
      <w:tcPr>
        <w:tcBorders>
          <w:top w:val="single" w:color="5B9BD5" w:themeColor="accent5" w:sz="4" w:space="0"/>
          <w:bottom w:val="single" w:color="5B9BD5" w:themeColor="accent5" w:sz="4" w:space="0"/>
          <w:insideH w:val="nil"/>
        </w:tcBorders>
      </w:tcPr>
    </w:tblStylePr>
    <w:tblStylePr w:type="neCell">
      <w:tcPr>
        <w:tcBorders>
          <w:left w:val="nil"/>
          <w:bottom w:val="nil"/>
        </w:tcBorders>
      </w:tcPr>
    </w:tblStylePr>
    <w:tblStylePr w:type="nwCell">
      <w:tcPr>
        <w:tcBorders>
          <w:bottom w:val="nil"/>
          <w:right w:val="nil"/>
        </w:tcBorders>
      </w:tcPr>
    </w:tblStylePr>
    <w:tblStylePr w:type="seCell">
      <w:tcPr>
        <w:tcBorders>
          <w:top w:val="double" w:color="5B9BD5" w:themeColor="accent5" w:sz="4" w:space="0"/>
          <w:left w:val="nil"/>
        </w:tcBorders>
      </w:tcPr>
    </w:tblStylePr>
    <w:tblStylePr w:type="swCell">
      <w:tcPr>
        <w:tcBorders>
          <w:top w:val="double" w:color="5B9BD5" w:themeColor="accent5" w:sz="4" w:space="0"/>
          <w:right w:val="nil"/>
        </w:tcBorders>
      </w:tcPr>
    </w:tblStylePr>
  </w:style>
  <w:style w:type="table" w:customStyle="1" w:styleId="93">
    <w:name w:val="Grid Table 5 Dark - Accent 61"/>
    <w:basedOn w:val="12"/>
    <w:qFormat/>
    <w:uiPriority w:val="50"/>
    <w:pPr>
      <w:spacing w:after="0" w:line="240" w:lineRule="auto"/>
    </w:pPr>
    <w:rPr>
      <w:kern w:val="0"/>
      <w:sz w:val="22"/>
      <w:szCs w:val="22"/>
      <w14:ligatures w14:val="none"/>
    </w:rPr>
    <w:tblPr>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E2EFD9" w:themeFill="accent6" w:themeFillTint="33"/>
    </w:tcPr>
    <w:tblStylePr w:type="firstRow">
      <w:rPr>
        <w:b/>
        <w:bCs/>
        <w:color w:val="FFFFFF" w:themeColor="background1"/>
        <w14:textFill>
          <w14:solidFill>
            <w14:schemeClr w14:val="bg1"/>
          </w14:solidFill>
        </w14:textFill>
      </w:r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70AD47" w:themeFill="accent6"/>
      </w:tcPr>
    </w:tblStylePr>
    <w:tblStylePr w:type="lastRow">
      <w:rPr>
        <w:b/>
        <w:bCs/>
        <w:color w:val="FFFFFF" w:themeColor="background1"/>
        <w14:textFill>
          <w14:solidFill>
            <w14:schemeClr w14:val="bg1"/>
          </w14:solidFill>
        </w14:textFill>
      </w:r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70AD47" w:themeFill="accent6"/>
      </w:tcPr>
    </w:tblStylePr>
    <w:tblStylePr w:type="firstCol">
      <w:rPr>
        <w:b/>
        <w:bCs/>
        <w:color w:val="FFFFFF" w:themeColor="background1"/>
        <w14:textFill>
          <w14:solidFill>
            <w14:schemeClr w14:val="bg1"/>
          </w14:solidFill>
        </w14:textFill>
      </w:rPr>
      <w:tcPr>
        <w:tcBorders>
          <w:top w:val="single" w:color="FFFFFF" w:themeColor="background1" w:sz="4" w:space="0"/>
          <w:left w:val="single" w:color="FFFFFF" w:themeColor="background1" w:sz="4" w:space="0"/>
          <w:bottom w:val="single" w:color="FFFFFF" w:themeColor="background1" w:sz="4" w:space="0"/>
          <w:insideV w:val="nil"/>
        </w:tcBorders>
        <w:shd w:val="clear" w:color="auto" w:fill="70AD47" w:themeFill="accent6"/>
      </w:tcPr>
    </w:tblStylePr>
    <w:tblStylePr w:type="lastCol">
      <w:rPr>
        <w:b/>
        <w:bCs/>
        <w:color w:val="FFFFFF" w:themeColor="background1"/>
        <w14:textFill>
          <w14:solidFill>
            <w14:schemeClr w14:val="bg1"/>
          </w14:solidFill>
        </w14:textFill>
      </w:rPr>
      <w:tcPr>
        <w:tcBorders>
          <w:top w:val="single" w:color="FFFFFF" w:themeColor="background1" w:sz="4" w:space="0"/>
          <w:bottom w:val="single" w:color="FFFFFF" w:themeColor="background1" w:sz="4" w:space="0"/>
          <w:right w:val="single" w:color="FFFFFF" w:themeColor="background1" w:sz="4" w:space="0"/>
          <w:insideV w:val="nil"/>
        </w:tcBorders>
        <w:shd w:val="clear" w:color="auto" w:fill="70AD47" w:themeFill="accent6"/>
      </w:tcPr>
    </w:tblStylePr>
    <w:tblStylePr w:type="band1Vert">
      <w:tcPr>
        <w:shd w:val="clear" w:color="auto" w:fill="C5E0B3" w:themeFill="accent6" w:themeFillTint="66"/>
      </w:tcPr>
    </w:tblStylePr>
    <w:tblStylePr w:type="band1Horz">
      <w:tcPr>
        <w:shd w:val="clear" w:color="auto" w:fill="C5E0B3" w:themeFill="accent6" w:themeFillTint="66"/>
      </w:tcPr>
    </w:tblStylePr>
  </w:style>
  <w:style w:type="table" w:customStyle="1" w:styleId="94">
    <w:name w:val="Grid Table 6 Colorful - Accent 21"/>
    <w:basedOn w:val="12"/>
    <w:qFormat/>
    <w:uiPriority w:val="51"/>
    <w:pPr>
      <w:spacing w:after="0" w:line="240" w:lineRule="auto"/>
    </w:pPr>
    <w:rPr>
      <w:color w:val="C55A11" w:themeColor="accent2" w:themeShade="BF"/>
      <w:kern w:val="0"/>
      <w:sz w:val="22"/>
      <w:szCs w:val="22"/>
      <w14:ligatures w14:val="none"/>
    </w:rPr>
    <w:tblPr>
      <w:tblBorders>
        <w:top w:val="single" w:color="F4B083" w:themeColor="accent2" w:themeTint="99" w:sz="4" w:space="0"/>
        <w:left w:val="single" w:color="F4B083" w:themeColor="accent2" w:themeTint="99" w:sz="4" w:space="0"/>
        <w:bottom w:val="single" w:color="F4B083" w:themeColor="accent2" w:themeTint="99" w:sz="4" w:space="0"/>
        <w:right w:val="single" w:color="F4B083" w:themeColor="accent2" w:themeTint="99" w:sz="4" w:space="0"/>
        <w:insideH w:val="single" w:color="F4B083" w:themeColor="accent2" w:themeTint="99" w:sz="4" w:space="0"/>
        <w:insideV w:val="single" w:color="F4B083" w:themeColor="accent2" w:themeTint="99" w:sz="4" w:space="0"/>
      </w:tblBorders>
    </w:tblPr>
    <w:tblStylePr w:type="firstRow">
      <w:rPr>
        <w:b/>
        <w:bCs/>
      </w:rPr>
      <w:tcPr>
        <w:tcBorders>
          <w:bottom w:val="single" w:color="F4B083" w:themeColor="accent2" w:themeTint="99" w:sz="12" w:space="0"/>
        </w:tcBorders>
      </w:tcPr>
    </w:tblStylePr>
    <w:tblStylePr w:type="lastRow">
      <w:rPr>
        <w:b/>
        <w:bCs/>
      </w:rPr>
      <w:tcPr>
        <w:tcBorders>
          <w:top w:val="double" w:color="F4B083" w:themeColor="accent2" w:themeTint="99" w:sz="4" w:space="0"/>
        </w:tcBorders>
      </w:tcPr>
    </w:tblStylePr>
    <w:tblStylePr w:type="firstCol">
      <w:rPr>
        <w:b/>
        <w:bCs/>
      </w:rPr>
    </w:tblStylePr>
    <w:tblStylePr w:type="lastCol">
      <w:rPr>
        <w:b/>
        <w:bCs/>
      </w:rPr>
    </w:tblStylePr>
    <w:tblStylePr w:type="band1Vert">
      <w:tcPr>
        <w:shd w:val="clear" w:color="auto" w:fill="FBE4D5" w:themeFill="accent2" w:themeFillTint="33"/>
      </w:tcPr>
    </w:tblStylePr>
    <w:tblStylePr w:type="band1Horz">
      <w:tcPr>
        <w:shd w:val="clear" w:color="auto" w:fill="FBE4D5" w:themeFill="accent2" w:themeFillTint="33"/>
      </w:tcPr>
    </w:tblStylePr>
  </w:style>
  <w:style w:type="table" w:customStyle="1" w:styleId="95">
    <w:name w:val="Grid Table 1 Light - Accent 51"/>
    <w:basedOn w:val="12"/>
    <w:qFormat/>
    <w:uiPriority w:val="46"/>
    <w:pPr>
      <w:spacing w:after="0" w:line="240" w:lineRule="auto"/>
    </w:pPr>
    <w:rPr>
      <w:kern w:val="0"/>
      <w:sz w:val="22"/>
      <w:szCs w:val="22"/>
      <w14:ligatures w14:val="none"/>
    </w:rPr>
    <w:tblPr>
      <w:tblBorders>
        <w:top w:val="single" w:color="BDD6EE" w:themeColor="accent5" w:themeTint="66" w:sz="4" w:space="0"/>
        <w:left w:val="single" w:color="BDD6EE" w:themeColor="accent5" w:themeTint="66" w:sz="4" w:space="0"/>
        <w:bottom w:val="single" w:color="BDD6EE" w:themeColor="accent5" w:themeTint="66" w:sz="4" w:space="0"/>
        <w:right w:val="single" w:color="BDD6EE" w:themeColor="accent5" w:themeTint="66" w:sz="4" w:space="0"/>
        <w:insideH w:val="single" w:color="BDD6EE" w:themeColor="accent5" w:themeTint="66" w:sz="4" w:space="0"/>
        <w:insideV w:val="single" w:color="BDD6EE" w:themeColor="accent5" w:themeTint="66" w:sz="4" w:space="0"/>
      </w:tblBorders>
    </w:tblPr>
    <w:tblStylePr w:type="firstRow">
      <w:rPr>
        <w:b/>
        <w:bCs/>
      </w:rPr>
      <w:tcPr>
        <w:tcBorders>
          <w:bottom w:val="single" w:color="9CC2E5" w:themeColor="accent5" w:themeTint="99" w:sz="12" w:space="0"/>
        </w:tcBorders>
      </w:tcPr>
    </w:tblStylePr>
    <w:tblStylePr w:type="lastRow">
      <w:rPr>
        <w:b/>
        <w:bCs/>
      </w:rPr>
      <w:tcPr>
        <w:tcBorders>
          <w:top w:val="double" w:color="9CC2E5" w:themeColor="accent5" w:themeTint="99" w:sz="2" w:space="0"/>
        </w:tcBorders>
      </w:tcPr>
    </w:tblStylePr>
    <w:tblStylePr w:type="firstCol">
      <w:rPr>
        <w:b/>
        <w:bCs/>
      </w:rPr>
    </w:tblStylePr>
    <w:tblStylePr w:type="lastCol">
      <w:rPr>
        <w:b/>
        <w:bCs/>
      </w:rPr>
    </w:tblStylePr>
  </w:style>
  <w:style w:type="table" w:customStyle="1" w:styleId="96">
    <w:name w:val="Grid Table 2 - Accent 31"/>
    <w:basedOn w:val="12"/>
    <w:qFormat/>
    <w:uiPriority w:val="47"/>
    <w:pPr>
      <w:spacing w:after="0" w:line="240" w:lineRule="auto"/>
    </w:pPr>
    <w:rPr>
      <w:kern w:val="0"/>
      <w:sz w:val="22"/>
      <w:szCs w:val="22"/>
      <w14:ligatures w14:val="none"/>
    </w:rPr>
    <w:tblPr>
      <w:tblBorders>
        <w:top w:val="single" w:color="C8C8C8" w:themeColor="accent3" w:themeTint="99" w:sz="2" w:space="0"/>
        <w:bottom w:val="single" w:color="C8C8C8" w:themeColor="accent3" w:themeTint="99" w:sz="2" w:space="0"/>
        <w:insideH w:val="single" w:color="C8C8C8" w:themeColor="accent3" w:themeTint="99" w:sz="2" w:space="0"/>
        <w:insideV w:val="single" w:color="C8C8C8" w:themeColor="accent3" w:themeTint="99" w:sz="2" w:space="0"/>
      </w:tblBorders>
    </w:tblPr>
    <w:tblStylePr w:type="firstRow">
      <w:rPr>
        <w:b/>
        <w:bCs/>
      </w:rPr>
      <w:tcPr>
        <w:tcBorders>
          <w:top w:val="nil"/>
          <w:bottom w:val="single" w:color="C8C8C8" w:themeColor="accent3" w:themeTint="99" w:sz="12" w:space="0"/>
          <w:insideH w:val="nil"/>
          <w:insideV w:val="nil"/>
        </w:tcBorders>
        <w:shd w:val="clear" w:color="auto" w:fill="FFFFFF" w:themeFill="background1"/>
      </w:tcPr>
    </w:tblStylePr>
    <w:tblStylePr w:type="lastRow">
      <w:rPr>
        <w:b/>
        <w:bCs/>
      </w:rPr>
      <w:tcPr>
        <w:tcBorders>
          <w:top w:val="double" w:color="C8C8C8" w:themeColor="accent3" w:themeTint="99" w:sz="2" w:space="0"/>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cPr>
        <w:shd w:val="clear" w:color="auto" w:fill="ECECEC" w:themeFill="accent3" w:themeFillTint="33"/>
      </w:tcPr>
    </w:tblStylePr>
    <w:tblStylePr w:type="band1Horz">
      <w:tcPr>
        <w:shd w:val="clear" w:color="auto" w:fill="ECECEC" w:themeFill="accent3" w:themeFillTint="33"/>
      </w:tcPr>
    </w:tblStylePr>
  </w:style>
  <w:style w:type="table" w:customStyle="1" w:styleId="97">
    <w:name w:val="Grid Table 2 - Accent 51"/>
    <w:basedOn w:val="12"/>
    <w:qFormat/>
    <w:uiPriority w:val="47"/>
    <w:pPr>
      <w:spacing w:after="0" w:line="240" w:lineRule="auto"/>
    </w:pPr>
    <w:rPr>
      <w:kern w:val="0"/>
      <w:sz w:val="22"/>
      <w:szCs w:val="22"/>
      <w14:ligatures w14:val="none"/>
    </w:rPr>
    <w:tblPr>
      <w:tblBorders>
        <w:top w:val="single" w:color="9CC2E5" w:themeColor="accent5" w:themeTint="99" w:sz="2" w:space="0"/>
        <w:bottom w:val="single" w:color="9CC2E5" w:themeColor="accent5" w:themeTint="99" w:sz="2" w:space="0"/>
        <w:insideH w:val="single" w:color="9CC2E5" w:themeColor="accent5" w:themeTint="99" w:sz="2" w:space="0"/>
        <w:insideV w:val="single" w:color="9CC2E5" w:themeColor="accent5" w:themeTint="99" w:sz="2" w:space="0"/>
      </w:tblBorders>
    </w:tblPr>
    <w:tblStylePr w:type="firstRow">
      <w:rPr>
        <w:b/>
        <w:bCs/>
      </w:rPr>
      <w:tcPr>
        <w:tcBorders>
          <w:top w:val="nil"/>
          <w:bottom w:val="single" w:color="9CC2E5" w:themeColor="accent5" w:themeTint="99" w:sz="12" w:space="0"/>
          <w:insideH w:val="nil"/>
          <w:insideV w:val="nil"/>
        </w:tcBorders>
        <w:shd w:val="clear" w:color="auto" w:fill="FFFFFF" w:themeFill="background1"/>
      </w:tcPr>
    </w:tblStylePr>
    <w:tblStylePr w:type="lastRow">
      <w:rPr>
        <w:b/>
        <w:bCs/>
      </w:rPr>
      <w:tcPr>
        <w:tcBorders>
          <w:top w:val="double" w:color="9CC2E5" w:themeColor="accent5" w:themeTint="99" w:sz="2" w:space="0"/>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cPr>
        <w:shd w:val="clear" w:color="auto" w:fill="DEEAF6" w:themeFill="accent5" w:themeFillTint="33"/>
      </w:tcPr>
    </w:tblStylePr>
    <w:tblStylePr w:type="band1Horz">
      <w:tcPr>
        <w:shd w:val="clear" w:color="auto" w:fill="DEEAF6" w:themeFill="accent5" w:themeFillTint="33"/>
      </w:tcPr>
    </w:tblStylePr>
  </w:style>
  <w:style w:type="table" w:customStyle="1" w:styleId="98">
    <w:name w:val="Grid Table 2 - Accent 61"/>
    <w:basedOn w:val="12"/>
    <w:qFormat/>
    <w:uiPriority w:val="47"/>
    <w:pPr>
      <w:spacing w:after="0" w:line="240" w:lineRule="auto"/>
    </w:pPr>
    <w:rPr>
      <w:kern w:val="0"/>
      <w:sz w:val="22"/>
      <w:szCs w:val="22"/>
      <w14:ligatures w14:val="none"/>
    </w:rPr>
    <w:tblPr>
      <w:tblBorders>
        <w:top w:val="single" w:color="A8D08D" w:themeColor="accent6" w:themeTint="99" w:sz="2" w:space="0"/>
        <w:bottom w:val="single" w:color="A8D08D" w:themeColor="accent6" w:themeTint="99" w:sz="2" w:space="0"/>
        <w:insideH w:val="single" w:color="A8D08D" w:themeColor="accent6" w:themeTint="99" w:sz="2" w:space="0"/>
        <w:insideV w:val="single" w:color="A8D08D" w:themeColor="accent6" w:themeTint="99" w:sz="2" w:space="0"/>
      </w:tblBorders>
    </w:tblPr>
    <w:tblStylePr w:type="firstRow">
      <w:rPr>
        <w:b/>
        <w:bCs/>
      </w:rPr>
      <w:tcPr>
        <w:tcBorders>
          <w:top w:val="nil"/>
          <w:bottom w:val="single" w:color="A8D08D" w:themeColor="accent6" w:themeTint="99" w:sz="12" w:space="0"/>
          <w:insideH w:val="nil"/>
          <w:insideV w:val="nil"/>
        </w:tcBorders>
        <w:shd w:val="clear" w:color="auto" w:fill="FFFFFF" w:themeFill="background1"/>
      </w:tcPr>
    </w:tblStylePr>
    <w:tblStylePr w:type="lastRow">
      <w:rPr>
        <w:b/>
        <w:bCs/>
      </w:rPr>
      <w:tcPr>
        <w:tcBorders>
          <w:top w:val="double" w:color="A8D08D" w:themeColor="accent6" w:themeTint="99" w:sz="2" w:space="0"/>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cPr>
        <w:shd w:val="clear" w:color="auto" w:fill="E2EFD9" w:themeFill="accent6" w:themeFillTint="33"/>
      </w:tcPr>
    </w:tblStylePr>
    <w:tblStylePr w:type="band1Horz">
      <w:tcPr>
        <w:shd w:val="clear" w:color="auto" w:fill="E2EFD9" w:themeFill="accent6" w:themeFillTint="33"/>
      </w:tcPr>
    </w:tblStylePr>
  </w:style>
  <w:style w:type="table" w:customStyle="1" w:styleId="99">
    <w:name w:val="Grid Table 4 - Accent 61"/>
    <w:basedOn w:val="12"/>
    <w:qFormat/>
    <w:uiPriority w:val="49"/>
    <w:pPr>
      <w:spacing w:after="0" w:line="240" w:lineRule="auto"/>
    </w:pPr>
    <w:rPr>
      <w:kern w:val="0"/>
      <w:sz w:val="22"/>
      <w:szCs w:val="22"/>
      <w14:ligatures w14:val="none"/>
    </w:rPr>
    <w:tblPr>
      <w:tblBorders>
        <w:top w:val="single" w:color="A8D08D" w:themeColor="accent6" w:themeTint="99" w:sz="4" w:space="0"/>
        <w:left w:val="single" w:color="A8D08D" w:themeColor="accent6" w:themeTint="99" w:sz="4" w:space="0"/>
        <w:bottom w:val="single" w:color="A8D08D" w:themeColor="accent6" w:themeTint="99" w:sz="4" w:space="0"/>
        <w:right w:val="single" w:color="A8D08D" w:themeColor="accent6" w:themeTint="99" w:sz="4" w:space="0"/>
        <w:insideH w:val="single" w:color="A8D08D" w:themeColor="accent6" w:themeTint="99" w:sz="4" w:space="0"/>
        <w:insideV w:val="single" w:color="A8D08D" w:themeColor="accent6" w:themeTint="99" w:sz="4" w:space="0"/>
      </w:tblBorders>
    </w:tblPr>
    <w:tblStylePr w:type="firstRow">
      <w:rPr>
        <w:b/>
        <w:bCs/>
        <w:color w:val="FFFFFF" w:themeColor="background1"/>
        <w14:textFill>
          <w14:solidFill>
            <w14:schemeClr w14:val="bg1"/>
          </w14:solidFill>
        </w14:textFill>
      </w:rPr>
      <w:tcPr>
        <w:tcBorders>
          <w:top w:val="single" w:color="70AD47" w:themeColor="accent6" w:sz="4" w:space="0"/>
          <w:left w:val="single" w:color="70AD47" w:themeColor="accent6" w:sz="4" w:space="0"/>
          <w:bottom w:val="single" w:color="70AD47" w:themeColor="accent6" w:sz="4" w:space="0"/>
          <w:right w:val="single" w:color="70AD47" w:themeColor="accent6" w:sz="4" w:space="0"/>
          <w:insideH w:val="nil"/>
          <w:insideV w:val="nil"/>
        </w:tcBorders>
        <w:shd w:val="clear" w:color="auto" w:fill="70AD47" w:themeFill="accent6"/>
      </w:tcPr>
    </w:tblStylePr>
    <w:tblStylePr w:type="lastRow">
      <w:rPr>
        <w:b/>
        <w:bCs/>
      </w:rPr>
      <w:tcPr>
        <w:tcBorders>
          <w:top w:val="double" w:color="70AD47" w:themeColor="accent6" w:sz="4" w:space="0"/>
        </w:tcBorders>
      </w:tcPr>
    </w:tblStylePr>
    <w:tblStylePr w:type="firstCol">
      <w:rPr>
        <w:b/>
        <w:bCs/>
      </w:rPr>
    </w:tblStylePr>
    <w:tblStylePr w:type="lastCol">
      <w:rPr>
        <w:b/>
        <w:bCs/>
      </w:rPr>
    </w:tblStylePr>
    <w:tblStylePr w:type="band1Vert">
      <w:tcPr>
        <w:shd w:val="clear" w:color="auto" w:fill="E2EFD9" w:themeFill="accent6" w:themeFillTint="33"/>
      </w:tcPr>
    </w:tblStylePr>
    <w:tblStylePr w:type="band1Horz">
      <w:tcPr>
        <w:shd w:val="clear" w:color="auto" w:fill="E2EFD9" w:themeFill="accent6" w:themeFillTint="33"/>
      </w:tcPr>
    </w:tblStylePr>
  </w:style>
  <w:style w:type="table" w:customStyle="1" w:styleId="100">
    <w:name w:val="Grid Table 5 Dark - Accent 31"/>
    <w:basedOn w:val="12"/>
    <w:qFormat/>
    <w:uiPriority w:val="50"/>
    <w:pPr>
      <w:spacing w:after="0" w:line="240" w:lineRule="auto"/>
    </w:pPr>
    <w:rPr>
      <w:kern w:val="0"/>
      <w:sz w:val="22"/>
      <w:szCs w:val="22"/>
      <w14:ligatures w14:val="none"/>
    </w:rPr>
    <w:tblPr>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ECECEC" w:themeFill="accent3" w:themeFillTint="33"/>
    </w:tcPr>
    <w:tblStylePr w:type="firstRow">
      <w:rPr>
        <w:b/>
        <w:bCs/>
        <w:color w:val="FFFFFF" w:themeColor="background1"/>
        <w14:textFill>
          <w14:solidFill>
            <w14:schemeClr w14:val="bg1"/>
          </w14:solidFill>
        </w14:textFill>
      </w:r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A5A5A5" w:themeFill="accent3"/>
      </w:tcPr>
    </w:tblStylePr>
    <w:tblStylePr w:type="lastRow">
      <w:rPr>
        <w:b/>
        <w:bCs/>
        <w:color w:val="FFFFFF" w:themeColor="background1"/>
        <w14:textFill>
          <w14:solidFill>
            <w14:schemeClr w14:val="bg1"/>
          </w14:solidFill>
        </w14:textFill>
      </w:r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A5A5A5" w:themeFill="accent3"/>
      </w:tcPr>
    </w:tblStylePr>
    <w:tblStylePr w:type="firstCol">
      <w:rPr>
        <w:b/>
        <w:bCs/>
        <w:color w:val="FFFFFF" w:themeColor="background1"/>
        <w14:textFill>
          <w14:solidFill>
            <w14:schemeClr w14:val="bg1"/>
          </w14:solidFill>
        </w14:textFill>
      </w:rPr>
      <w:tcPr>
        <w:tcBorders>
          <w:top w:val="single" w:color="FFFFFF" w:themeColor="background1" w:sz="4" w:space="0"/>
          <w:left w:val="single" w:color="FFFFFF" w:themeColor="background1" w:sz="4" w:space="0"/>
          <w:bottom w:val="single" w:color="FFFFFF" w:themeColor="background1" w:sz="4" w:space="0"/>
          <w:insideV w:val="nil"/>
        </w:tcBorders>
        <w:shd w:val="clear" w:color="auto" w:fill="A5A5A5" w:themeFill="accent3"/>
      </w:tcPr>
    </w:tblStylePr>
    <w:tblStylePr w:type="lastCol">
      <w:rPr>
        <w:b/>
        <w:bCs/>
        <w:color w:val="FFFFFF" w:themeColor="background1"/>
        <w14:textFill>
          <w14:solidFill>
            <w14:schemeClr w14:val="bg1"/>
          </w14:solidFill>
        </w14:textFill>
      </w:rPr>
      <w:tcPr>
        <w:tcBorders>
          <w:top w:val="single" w:color="FFFFFF" w:themeColor="background1" w:sz="4" w:space="0"/>
          <w:bottom w:val="single" w:color="FFFFFF" w:themeColor="background1" w:sz="4" w:space="0"/>
          <w:right w:val="single" w:color="FFFFFF" w:themeColor="background1" w:sz="4" w:space="0"/>
          <w:insideV w:val="nil"/>
        </w:tcBorders>
        <w:shd w:val="clear" w:color="auto" w:fill="A5A5A5" w:themeFill="accent3"/>
      </w:tcPr>
    </w:tblStylePr>
    <w:tblStylePr w:type="band1Vert">
      <w:tcPr>
        <w:shd w:val="clear" w:color="auto" w:fill="DADADA" w:themeFill="accent3" w:themeFillTint="66"/>
      </w:tcPr>
    </w:tblStylePr>
    <w:tblStylePr w:type="band1Horz">
      <w:tcPr>
        <w:shd w:val="clear" w:color="auto" w:fill="DADADA" w:themeFill="accent3" w:themeFillTint="66"/>
      </w:tcPr>
    </w:tblStylePr>
  </w:style>
  <w:style w:type="table" w:customStyle="1" w:styleId="101">
    <w:name w:val="Grid Table 31"/>
    <w:basedOn w:val="12"/>
    <w:qFormat/>
    <w:uiPriority w:val="48"/>
    <w:pPr>
      <w:spacing w:after="0" w:line="240" w:lineRule="auto"/>
    </w:pPr>
    <w:rPr>
      <w:kern w:val="0"/>
      <w:sz w:val="22"/>
      <w:szCs w:val="22"/>
      <w14:ligatures w14:val="none"/>
    </w:rPr>
    <w:tblPr>
      <w:tblBorders>
        <w:top w:val="single" w:color="666666" w:themeColor="text1" w:themeTint="99" w:sz="4" w:space="0"/>
        <w:left w:val="single" w:color="666666" w:themeColor="text1" w:themeTint="99" w:sz="4" w:space="0"/>
        <w:bottom w:val="single" w:color="666666" w:themeColor="text1" w:themeTint="99" w:sz="4" w:space="0"/>
        <w:right w:val="single" w:color="666666" w:themeColor="text1" w:themeTint="99" w:sz="4" w:space="0"/>
        <w:insideH w:val="single" w:color="666666" w:themeColor="text1" w:themeTint="99" w:sz="4" w:space="0"/>
        <w:insideV w:val="single" w:color="666666" w:themeColor="text1" w:themeTint="99" w:sz="4" w:space="0"/>
      </w:tblBorders>
    </w:tblPr>
    <w:tblStylePr w:type="firstRow">
      <w:rPr>
        <w:b/>
        <w:bCs/>
      </w:rPr>
      <w:tcPr>
        <w:tcBorders>
          <w:top w:val="nil"/>
          <w:left w:val="nil"/>
          <w:right w:val="nil"/>
          <w:insideH w:val="nil"/>
          <w:insideV w:val="nil"/>
        </w:tcBorders>
        <w:shd w:val="clear" w:color="auto" w:fill="FFFFFF" w:themeFill="background1"/>
      </w:tcPr>
    </w:tblStylePr>
    <w:tblStylePr w:type="lastRow">
      <w:rPr>
        <w:b/>
        <w:bCs/>
      </w:rPr>
      <w:tcPr>
        <w:tcBorders>
          <w:left w:val="nil"/>
          <w:bottom w:val="nil"/>
          <w:right w:val="nil"/>
          <w:insideH w:val="nil"/>
          <w:insideV w:val="nil"/>
        </w:tcBorders>
        <w:shd w:val="clear" w:color="auto" w:fill="FFFFFF" w:themeFill="background1"/>
      </w:tcPr>
    </w:tblStylePr>
    <w:tblStylePr w:type="firstCol">
      <w:pPr>
        <w:jc w:val="right"/>
      </w:pPr>
      <w:rPr>
        <w:i/>
        <w:iCs/>
      </w:rPr>
      <w:tcPr>
        <w:tcBorders>
          <w:top w:val="nil"/>
          <w:left w:val="nil"/>
          <w:bottom w:val="nil"/>
          <w:insideH w:val="nil"/>
          <w:insideV w:val="nil"/>
        </w:tcBorders>
        <w:shd w:val="clear" w:color="auto" w:fill="FFFFFF" w:themeFill="background1"/>
      </w:tcPr>
    </w:tblStylePr>
    <w:tblStylePr w:type="lastCol">
      <w:rPr>
        <w:i/>
        <w:iCs/>
      </w:rPr>
      <w:tcPr>
        <w:tcBorders>
          <w:top w:val="nil"/>
          <w:bottom w:val="nil"/>
          <w:right w:val="nil"/>
          <w:insideH w:val="nil"/>
          <w:insideV w:val="nil"/>
        </w:tcBorders>
        <w:shd w:val="clear" w:color="auto" w:fill="FFFFFF" w:themeFill="background1"/>
      </w:tcPr>
    </w:tblStylePr>
    <w:tblStylePr w:type="band1Vert">
      <w:tcPr>
        <w:shd w:val="clear" w:color="auto" w:fill="CCCCCC" w:themeFill="text1" w:themeFillTint="33"/>
      </w:tcPr>
    </w:tblStylePr>
    <w:tblStylePr w:type="band1Horz">
      <w:tcPr>
        <w:shd w:val="clear" w:color="auto" w:fill="CCCCCC" w:themeFill="text1" w:themeFillTint="33"/>
      </w:tcPr>
    </w:tblStylePr>
    <w:tblStylePr w:type="neCell">
      <w:tcPr>
        <w:tcBorders>
          <w:bottom w:val="single" w:color="666666" w:themeColor="text1" w:themeTint="99" w:sz="4" w:space="0"/>
        </w:tcBorders>
      </w:tcPr>
    </w:tblStylePr>
    <w:tblStylePr w:type="nwCell">
      <w:tcPr>
        <w:tcBorders>
          <w:bottom w:val="single" w:color="666666" w:themeColor="text1" w:themeTint="99" w:sz="4" w:space="0"/>
        </w:tcBorders>
      </w:tcPr>
    </w:tblStylePr>
    <w:tblStylePr w:type="seCell">
      <w:tcPr>
        <w:tcBorders>
          <w:top w:val="single" w:color="666666" w:themeColor="text1" w:themeTint="99" w:sz="4" w:space="0"/>
        </w:tcBorders>
      </w:tcPr>
    </w:tblStylePr>
    <w:tblStylePr w:type="swCell">
      <w:tcPr>
        <w:tcBorders>
          <w:top w:val="single" w:color="666666" w:themeColor="text1" w:themeTint="99" w:sz="4" w:space="0"/>
        </w:tcBorders>
      </w:tcPr>
    </w:tblStylePr>
  </w:style>
  <w:style w:type="table" w:customStyle="1" w:styleId="102">
    <w:name w:val="Table Grid Light1"/>
    <w:basedOn w:val="12"/>
    <w:qFormat/>
    <w:uiPriority w:val="40"/>
    <w:pPr>
      <w:spacing w:after="0" w:line="240" w:lineRule="auto"/>
    </w:pPr>
    <w:rPr>
      <w:kern w:val="0"/>
      <w:sz w:val="22"/>
      <w:szCs w:val="22"/>
      <w14:ligatures w14:val="none"/>
    </w:rPr>
    <w:tblPr>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Pr>
  </w:style>
  <w:style w:type="table" w:customStyle="1" w:styleId="103">
    <w:name w:val="Grid Table 5 Dark - Accent 41"/>
    <w:basedOn w:val="12"/>
    <w:qFormat/>
    <w:uiPriority w:val="50"/>
    <w:pPr>
      <w:spacing w:after="0" w:line="240" w:lineRule="auto"/>
    </w:pPr>
    <w:rPr>
      <w:kern w:val="0"/>
      <w:sz w:val="22"/>
      <w:szCs w:val="22"/>
      <w14:ligatures w14:val="none"/>
    </w:rPr>
    <w:tblPr>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FEF2CC" w:themeFill="accent4" w:themeFillTint="33"/>
    </w:tcPr>
    <w:tblStylePr w:type="firstRow">
      <w:rPr>
        <w:b/>
        <w:bCs/>
        <w:color w:val="FFFFFF" w:themeColor="background1"/>
        <w14:textFill>
          <w14:solidFill>
            <w14:schemeClr w14:val="bg1"/>
          </w14:solidFill>
        </w14:textFill>
      </w:r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FFC000" w:themeFill="accent4"/>
      </w:tcPr>
    </w:tblStylePr>
    <w:tblStylePr w:type="lastRow">
      <w:rPr>
        <w:b/>
        <w:bCs/>
        <w:color w:val="FFFFFF" w:themeColor="background1"/>
        <w14:textFill>
          <w14:solidFill>
            <w14:schemeClr w14:val="bg1"/>
          </w14:solidFill>
        </w14:textFill>
      </w:r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FFC000" w:themeFill="accent4"/>
      </w:tcPr>
    </w:tblStylePr>
    <w:tblStylePr w:type="firstCol">
      <w:rPr>
        <w:b/>
        <w:bCs/>
        <w:color w:val="FFFFFF" w:themeColor="background1"/>
        <w14:textFill>
          <w14:solidFill>
            <w14:schemeClr w14:val="bg1"/>
          </w14:solidFill>
        </w14:textFill>
      </w:rPr>
      <w:tcPr>
        <w:tcBorders>
          <w:top w:val="single" w:color="FFFFFF" w:themeColor="background1" w:sz="4" w:space="0"/>
          <w:left w:val="single" w:color="FFFFFF" w:themeColor="background1" w:sz="4" w:space="0"/>
          <w:bottom w:val="single" w:color="FFFFFF" w:themeColor="background1" w:sz="4" w:space="0"/>
          <w:insideV w:val="nil"/>
        </w:tcBorders>
        <w:shd w:val="clear" w:color="auto" w:fill="FFC000" w:themeFill="accent4"/>
      </w:tcPr>
    </w:tblStylePr>
    <w:tblStylePr w:type="lastCol">
      <w:rPr>
        <w:b/>
        <w:bCs/>
        <w:color w:val="FFFFFF" w:themeColor="background1"/>
        <w14:textFill>
          <w14:solidFill>
            <w14:schemeClr w14:val="bg1"/>
          </w14:solidFill>
        </w14:textFill>
      </w:rPr>
      <w:tcPr>
        <w:tcBorders>
          <w:top w:val="single" w:color="FFFFFF" w:themeColor="background1" w:sz="4" w:space="0"/>
          <w:bottom w:val="single" w:color="FFFFFF" w:themeColor="background1" w:sz="4" w:space="0"/>
          <w:right w:val="single" w:color="FFFFFF" w:themeColor="background1" w:sz="4" w:space="0"/>
          <w:insideV w:val="nil"/>
        </w:tcBorders>
        <w:shd w:val="clear" w:color="auto" w:fill="FFC000" w:themeFill="accent4"/>
      </w:tcPr>
    </w:tblStylePr>
    <w:tblStylePr w:type="band1Vert">
      <w:tcPr>
        <w:shd w:val="clear" w:color="auto" w:fill="FFE599" w:themeFill="accent4" w:themeFillTint="66"/>
      </w:tcPr>
    </w:tblStylePr>
    <w:tblStylePr w:type="band1Horz">
      <w:tcPr>
        <w:shd w:val="clear" w:color="auto" w:fill="FFE599" w:themeFill="accent4" w:themeFillTint="66"/>
      </w:tcPr>
    </w:tblStylePr>
  </w:style>
  <w:style w:type="table" w:customStyle="1" w:styleId="104">
    <w:name w:val="Grid Table 5 Dark - Accent 21"/>
    <w:basedOn w:val="12"/>
    <w:qFormat/>
    <w:uiPriority w:val="50"/>
    <w:pPr>
      <w:spacing w:after="0" w:line="240" w:lineRule="auto"/>
    </w:pPr>
    <w:rPr>
      <w:kern w:val="0"/>
      <w:sz w:val="22"/>
      <w:szCs w:val="22"/>
      <w14:ligatures w14:val="none"/>
    </w:rPr>
    <w:tblPr>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FBE4D5" w:themeFill="accent2" w:themeFillTint="33"/>
    </w:tcPr>
    <w:tblStylePr w:type="firstRow">
      <w:rPr>
        <w:b/>
        <w:bCs/>
        <w:color w:val="FFFFFF" w:themeColor="background1"/>
        <w14:textFill>
          <w14:solidFill>
            <w14:schemeClr w14:val="bg1"/>
          </w14:solidFill>
        </w14:textFill>
      </w:r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ED7D31" w:themeFill="accent2"/>
      </w:tcPr>
    </w:tblStylePr>
    <w:tblStylePr w:type="lastRow">
      <w:rPr>
        <w:b/>
        <w:bCs/>
        <w:color w:val="FFFFFF" w:themeColor="background1"/>
        <w14:textFill>
          <w14:solidFill>
            <w14:schemeClr w14:val="bg1"/>
          </w14:solidFill>
        </w14:textFill>
      </w:r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ED7D31" w:themeFill="accent2"/>
      </w:tcPr>
    </w:tblStylePr>
    <w:tblStylePr w:type="firstCol">
      <w:rPr>
        <w:b/>
        <w:bCs/>
        <w:color w:val="FFFFFF" w:themeColor="background1"/>
        <w14:textFill>
          <w14:solidFill>
            <w14:schemeClr w14:val="bg1"/>
          </w14:solidFill>
        </w14:textFill>
      </w:rPr>
      <w:tcPr>
        <w:tcBorders>
          <w:top w:val="single" w:color="FFFFFF" w:themeColor="background1" w:sz="4" w:space="0"/>
          <w:left w:val="single" w:color="FFFFFF" w:themeColor="background1" w:sz="4" w:space="0"/>
          <w:bottom w:val="single" w:color="FFFFFF" w:themeColor="background1" w:sz="4" w:space="0"/>
          <w:insideV w:val="nil"/>
        </w:tcBorders>
        <w:shd w:val="clear" w:color="auto" w:fill="ED7D31" w:themeFill="accent2"/>
      </w:tcPr>
    </w:tblStylePr>
    <w:tblStylePr w:type="lastCol">
      <w:rPr>
        <w:b/>
        <w:bCs/>
        <w:color w:val="FFFFFF" w:themeColor="background1"/>
        <w14:textFill>
          <w14:solidFill>
            <w14:schemeClr w14:val="bg1"/>
          </w14:solidFill>
        </w14:textFill>
      </w:rPr>
      <w:tcPr>
        <w:tcBorders>
          <w:top w:val="single" w:color="FFFFFF" w:themeColor="background1" w:sz="4" w:space="0"/>
          <w:bottom w:val="single" w:color="FFFFFF" w:themeColor="background1" w:sz="4" w:space="0"/>
          <w:right w:val="single" w:color="FFFFFF" w:themeColor="background1" w:sz="4" w:space="0"/>
          <w:insideV w:val="nil"/>
        </w:tcBorders>
        <w:shd w:val="clear" w:color="auto" w:fill="ED7D31" w:themeFill="accent2"/>
      </w:tcPr>
    </w:tblStylePr>
    <w:tblStylePr w:type="band1Vert">
      <w:tcPr>
        <w:shd w:val="clear" w:color="auto" w:fill="F7CAAC" w:themeFill="accent2" w:themeFillTint="66"/>
      </w:tcPr>
    </w:tblStylePr>
    <w:tblStylePr w:type="band1Horz">
      <w:tcPr>
        <w:shd w:val="clear" w:color="auto" w:fill="F7CAAC" w:themeFill="accent2" w:themeFillTint="66"/>
      </w:tcPr>
    </w:tblStylePr>
  </w:style>
  <w:style w:type="table" w:customStyle="1" w:styleId="105">
    <w:name w:val="List Table 5 Dark - Accent 61"/>
    <w:basedOn w:val="12"/>
    <w:qFormat/>
    <w:uiPriority w:val="50"/>
    <w:pPr>
      <w:spacing w:after="0" w:line="240" w:lineRule="auto"/>
    </w:pPr>
    <w:rPr>
      <w:color w:val="FFFFFF" w:themeColor="background1"/>
      <w:kern w:val="0"/>
      <w:sz w:val="22"/>
      <w:szCs w:val="22"/>
      <w14:textFill>
        <w14:solidFill>
          <w14:schemeClr w14:val="bg1"/>
        </w14:solidFill>
      </w14:textFill>
      <w14:ligatures w14:val="none"/>
    </w:rPr>
    <w:tblPr>
      <w:tblBorders>
        <w:top w:val="single" w:color="70AD47" w:themeColor="accent6" w:sz="24" w:space="0"/>
        <w:left w:val="single" w:color="70AD47" w:themeColor="accent6" w:sz="24" w:space="0"/>
        <w:bottom w:val="single" w:color="70AD47" w:themeColor="accent6" w:sz="24" w:space="0"/>
        <w:right w:val="single" w:color="70AD47" w:themeColor="accent6" w:sz="24" w:space="0"/>
      </w:tblBorders>
    </w:tblPr>
    <w:tcPr>
      <w:shd w:val="clear" w:color="auto" w:fill="70AD47" w:themeFill="accent6"/>
    </w:tcPr>
    <w:tblStylePr w:type="firstRow">
      <w:rPr>
        <w:b/>
        <w:bCs/>
      </w:rPr>
      <w:tcPr>
        <w:tcBorders>
          <w:bottom w:val="single" w:color="FFFFFF" w:themeColor="background1" w:sz="18" w:space="0"/>
        </w:tcBorders>
      </w:tcPr>
    </w:tblStylePr>
    <w:tblStylePr w:type="lastRow">
      <w:rPr>
        <w:b/>
        <w:bCs/>
      </w:rPr>
      <w:tcPr>
        <w:tcBorders>
          <w:top w:val="single" w:color="FFFFFF" w:themeColor="background1" w:sz="4" w:space="0"/>
        </w:tcBorders>
      </w:tcPr>
    </w:tblStylePr>
    <w:tblStylePr w:type="firstCol">
      <w:rPr>
        <w:b/>
        <w:bCs/>
      </w:rPr>
      <w:tcPr>
        <w:tcBorders>
          <w:right w:val="single" w:color="FFFFFF" w:themeColor="background1" w:sz="4" w:space="0"/>
        </w:tcBorders>
      </w:tcPr>
    </w:tblStylePr>
    <w:tblStylePr w:type="lastCol">
      <w:rPr>
        <w:b/>
        <w:bCs/>
      </w:rPr>
      <w:tcPr>
        <w:tcBorders>
          <w:left w:val="single" w:color="FFFFFF" w:themeColor="background1" w:sz="4" w:space="0"/>
        </w:tcBorders>
      </w:tcPr>
    </w:tblStylePr>
    <w:tblStylePr w:type="band1Vert">
      <w:tcPr>
        <w:tcBorders>
          <w:left w:val="single" w:color="FFFFFF" w:themeColor="background1" w:sz="4" w:space="0"/>
          <w:right w:val="single" w:color="FFFFFF" w:themeColor="background1" w:sz="4" w:space="0"/>
        </w:tcBorders>
      </w:tcPr>
    </w:tblStylePr>
    <w:tblStylePr w:type="band2Vert">
      <w:tcPr>
        <w:tcBorders>
          <w:left w:val="single" w:color="FFFFFF" w:themeColor="background1" w:sz="4" w:space="0"/>
          <w:right w:val="single" w:color="FFFFFF" w:themeColor="background1" w:sz="4" w:space="0"/>
        </w:tcBorders>
      </w:tcPr>
    </w:tblStylePr>
    <w:tblStylePr w:type="band1Horz">
      <w:tcPr>
        <w:tcBorders>
          <w:top w:val="single" w:color="FFFFFF" w:themeColor="background1" w:sz="4" w:space="0"/>
          <w:bottom w:val="single" w:color="FFFFFF" w:themeColor="background1" w:sz="4" w:space="0"/>
        </w:tcBorders>
      </w:tcPr>
    </w:tblStylePr>
    <w:tblStylePr w:type="neCell">
      <w:tcPr>
        <w:tcBorders>
          <w:left w:val="nil"/>
        </w:tcBorders>
      </w:tcPr>
    </w:tblStylePr>
    <w:tblStylePr w:type="nwCell">
      <w:tcPr>
        <w:tcBorders>
          <w:right w:val="nil"/>
        </w:tcBorders>
      </w:tcPr>
    </w:tblStylePr>
    <w:tblStylePr w:type="seCell">
      <w:tcPr>
        <w:tcBorders>
          <w:top w:val="nil"/>
          <w:left w:val="nil"/>
        </w:tcBorders>
      </w:tcPr>
    </w:tblStylePr>
    <w:tblStylePr w:type="swCell">
      <w:tcPr>
        <w:tcBorders>
          <w:top w:val="nil"/>
          <w:right w:val="nil"/>
        </w:tcBorders>
      </w:tcPr>
    </w:tblStylePr>
  </w:style>
  <w:style w:type="table" w:customStyle="1" w:styleId="106">
    <w:name w:val="Grid Table 6 Colorful1"/>
    <w:basedOn w:val="12"/>
    <w:qFormat/>
    <w:uiPriority w:val="51"/>
    <w:pPr>
      <w:spacing w:after="0" w:line="240" w:lineRule="auto"/>
    </w:pPr>
    <w:rPr>
      <w:color w:val="000000" w:themeColor="text1"/>
      <w:kern w:val="0"/>
      <w:sz w:val="22"/>
      <w:szCs w:val="22"/>
      <w14:textFill>
        <w14:solidFill>
          <w14:schemeClr w14:val="tx1"/>
        </w14:solidFill>
      </w14:textFill>
      <w14:ligatures w14:val="none"/>
    </w:rPr>
    <w:tblPr>
      <w:tblBorders>
        <w:top w:val="single" w:color="666666" w:themeColor="text1" w:themeTint="99" w:sz="4" w:space="0"/>
        <w:left w:val="single" w:color="666666" w:themeColor="text1" w:themeTint="99" w:sz="4" w:space="0"/>
        <w:bottom w:val="single" w:color="666666" w:themeColor="text1" w:themeTint="99" w:sz="4" w:space="0"/>
        <w:right w:val="single" w:color="666666" w:themeColor="text1" w:themeTint="99" w:sz="4" w:space="0"/>
        <w:insideH w:val="single" w:color="666666" w:themeColor="text1" w:themeTint="99" w:sz="4" w:space="0"/>
        <w:insideV w:val="single" w:color="666666" w:themeColor="text1" w:themeTint="99" w:sz="4" w:space="0"/>
      </w:tblBorders>
    </w:tblPr>
    <w:tblStylePr w:type="firstRow">
      <w:rPr>
        <w:b/>
        <w:bCs/>
      </w:rPr>
      <w:tcPr>
        <w:tcBorders>
          <w:bottom w:val="single" w:color="666666" w:themeColor="text1" w:themeTint="99" w:sz="12" w:space="0"/>
        </w:tcBorders>
      </w:tcPr>
    </w:tblStylePr>
    <w:tblStylePr w:type="lastRow">
      <w:rPr>
        <w:b/>
        <w:bCs/>
      </w:rPr>
      <w:tcPr>
        <w:tcBorders>
          <w:top w:val="double" w:color="666666" w:themeColor="text1" w:themeTint="99" w:sz="4" w:space="0"/>
        </w:tcBorders>
      </w:tcPr>
    </w:tblStylePr>
    <w:tblStylePr w:type="firstCol">
      <w:rPr>
        <w:b/>
        <w:bCs/>
      </w:rPr>
    </w:tblStylePr>
    <w:tblStylePr w:type="lastCol">
      <w:rPr>
        <w:b/>
        <w:bCs/>
      </w:rPr>
    </w:tblStylePr>
    <w:tblStylePr w:type="band1Vert">
      <w:tcPr>
        <w:shd w:val="clear" w:color="auto" w:fill="CCCCCC" w:themeFill="text1" w:themeFillTint="33"/>
      </w:tcPr>
    </w:tblStylePr>
    <w:tblStylePr w:type="band1Horz">
      <w:tcPr>
        <w:shd w:val="clear" w:color="auto" w:fill="CCCCCC" w:themeFill="text1" w:themeFillTint="33"/>
      </w:tcPr>
    </w:tblStylePr>
  </w:style>
  <w:style w:type="table" w:customStyle="1" w:styleId="107">
    <w:name w:val="Plain Table 51"/>
    <w:basedOn w:val="12"/>
    <w:qFormat/>
    <w:uiPriority w:val="45"/>
    <w:pPr>
      <w:spacing w:after="0" w:line="240" w:lineRule="auto"/>
    </w:pPr>
    <w:rPr>
      <w:kern w:val="0"/>
      <w:sz w:val="22"/>
      <w:szCs w:val="22"/>
      <w14:ligatures w14:val="none"/>
    </w:rPr>
    <w:tblStylePr w:type="firstRow">
      <w:rPr>
        <w:rFonts w:asciiTheme="majorHAnsi" w:hAnsiTheme="majorHAnsi" w:eastAsiaTheme="majorEastAsia" w:cstheme="majorBidi"/>
        <w:i/>
        <w:iCs/>
        <w:sz w:val="26"/>
      </w:rPr>
      <w:tcPr>
        <w:tcBorders>
          <w:bottom w:val="single" w:color="7E7E7E"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cPr>
        <w:tcBorders>
          <w:top w:val="single" w:color="7E7E7E"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cPr>
        <w:tcBorders>
          <w:right w:val="single" w:color="7E7E7E"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cPr>
        <w:tcBorders>
          <w:left w:val="single" w:color="7E7E7E" w:themeColor="text1" w:themeTint="80" w:sz="4" w:space="0"/>
        </w:tcBorders>
        <w:shd w:val="clear" w:color="auto" w:fill="FFFFFF" w:themeFill="background1"/>
      </w:tcPr>
    </w:tblStylePr>
    <w:tblStylePr w:type="band1Vert">
      <w:tcPr>
        <w:shd w:val="clear" w:color="auto" w:fill="F1F1F1" w:themeFill="background1" w:themeFillShade="F2"/>
      </w:tcPr>
    </w:tblStylePr>
    <w:tblStylePr w:type="band1Horz">
      <w:tcPr>
        <w:shd w:val="clear" w:color="auto" w:fill="F1F1F1" w:themeFill="background1" w:themeFillShade="F2"/>
      </w:tcPr>
    </w:tblStylePr>
    <w:tblStylePr w:type="neCell">
      <w:tcPr>
        <w:tcBorders>
          <w:left w:val="nil"/>
        </w:tcBorders>
      </w:tcPr>
    </w:tblStylePr>
    <w:tblStylePr w:type="nwCell">
      <w:tcPr>
        <w:tcBorders>
          <w:right w:val="nil"/>
        </w:tcBorders>
      </w:tcPr>
    </w:tblStylePr>
    <w:tblStylePr w:type="seCell">
      <w:tcPr>
        <w:tcBorders>
          <w:left w:val="nil"/>
        </w:tcBorders>
      </w:tcPr>
    </w:tblStylePr>
    <w:tblStylePr w:type="swCell">
      <w:tcPr>
        <w:tcBorders>
          <w:right w:val="nil"/>
        </w:tcBorders>
      </w:tcPr>
    </w:tblStylePr>
  </w:style>
  <w:style w:type="character" w:customStyle="1" w:styleId="108">
    <w:name w:val="Unresolved Mention2"/>
    <w:basedOn w:val="11"/>
    <w:semiHidden/>
    <w:unhideWhenUsed/>
    <w:qFormat/>
    <w:uiPriority w:val="99"/>
    <w:rPr>
      <w:color w:val="605E5C"/>
      <w:shd w:val="clear" w:color="auto" w:fill="E1DFDD"/>
    </w:rPr>
  </w:style>
  <w:style w:type="table" w:customStyle="1" w:styleId="109">
    <w:name w:val="Grid Table 1 Light - Accent 41"/>
    <w:basedOn w:val="12"/>
    <w:qFormat/>
    <w:uiPriority w:val="46"/>
    <w:pPr>
      <w:spacing w:after="0" w:line="240" w:lineRule="auto"/>
    </w:pPr>
    <w:rPr>
      <w:kern w:val="0"/>
      <w:sz w:val="22"/>
      <w:szCs w:val="22"/>
      <w14:ligatures w14:val="none"/>
    </w:rPr>
    <w:tblPr>
      <w:tblBorders>
        <w:top w:val="single" w:color="FFE599" w:themeColor="accent4" w:themeTint="66" w:sz="4" w:space="0"/>
        <w:left w:val="single" w:color="FFE599" w:themeColor="accent4" w:themeTint="66" w:sz="4" w:space="0"/>
        <w:bottom w:val="single" w:color="FFE599" w:themeColor="accent4" w:themeTint="66" w:sz="4" w:space="0"/>
        <w:right w:val="single" w:color="FFE599" w:themeColor="accent4" w:themeTint="66" w:sz="4" w:space="0"/>
        <w:insideH w:val="single" w:color="FFE599" w:themeColor="accent4" w:themeTint="66" w:sz="4" w:space="0"/>
        <w:insideV w:val="single" w:color="FFE599" w:themeColor="accent4" w:themeTint="66" w:sz="4" w:space="0"/>
      </w:tblBorders>
    </w:tblPr>
    <w:tblStylePr w:type="firstRow">
      <w:rPr>
        <w:b/>
        <w:bCs/>
      </w:rPr>
      <w:tcPr>
        <w:tcBorders>
          <w:bottom w:val="single" w:color="FFD965" w:themeColor="accent4" w:themeTint="99" w:sz="12" w:space="0"/>
        </w:tcBorders>
      </w:tcPr>
    </w:tblStylePr>
    <w:tblStylePr w:type="lastRow">
      <w:rPr>
        <w:b/>
        <w:bCs/>
      </w:rPr>
      <w:tcPr>
        <w:tcBorders>
          <w:top w:val="double" w:color="FFD965" w:themeColor="accent4" w:themeTint="99" w:sz="2" w:space="0"/>
        </w:tcBorders>
      </w:tcPr>
    </w:tblStylePr>
    <w:tblStylePr w:type="firstCol">
      <w:rPr>
        <w:b/>
        <w:bCs/>
      </w:rPr>
    </w:tblStylePr>
    <w:tblStylePr w:type="lastCol">
      <w:rPr>
        <w:b/>
        <w:bCs/>
      </w:rPr>
    </w:tblStyle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microsoft.com/office/2007/relationships/hdphoto" Target="media/image2.wdp"/><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2.xml"/><Relationship Id="rId14" Type="http://schemas.openxmlformats.org/officeDocument/2006/relationships/numbering" Target="numbering.xml"/><Relationship Id="rId13" Type="http://schemas.openxmlformats.org/officeDocument/2006/relationships/customXml" Target="../customXml/item1.xml"/><Relationship Id="rId12" Type="http://schemas.microsoft.com/office/2007/relationships/hdphoto" Target="media/image6.wdp"/><Relationship Id="rId11" Type="http://schemas.openxmlformats.org/officeDocument/2006/relationships/image" Target="media/image5.png"/><Relationship Id="rId10" Type="http://schemas.microsoft.com/office/2007/relationships/hdphoto" Target="media/image4.wdp"/><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b:Source>
    <b:Tag>Jea10</b:Tag>
    <b:SourceType>Report</b:SourceType>
    <b:Guid>{9D1145D1-EAA8-436E-BE13-D257BBA448CD}</b:Guid>
    <b:Title>A Public Financial Management Framework for Resources-Producing Countries</b:Title>
    <b:Year>2010</b:Year>
    <b:Publisher>International Monetary Fund</b:Publisher>
    <b:City>washington</b:City>
    <b:Author>
      <b:Author>
        <b:NameList>
          <b:Person>
            <b:Last>Hélis</b:Last>
            <b:First>Jean-Luc</b:First>
            <b:Middle>Ms. Sanchez</b:Middle>
          </b:Person>
          <b:Person>
            <b:Last>Daban</b:Last>
            <b:First>Teresa</b:First>
          </b:Person>
        </b:NameList>
      </b:Author>
    </b:Author>
    <b:RefOrder>9</b:RefOrder>
  </b:Source>
  <b:Source>
    <b:Tag>MrP17</b:Tag>
    <b:SourceType>BookSection</b:SourceType>
    <b:Guid>{22D99B9C-672E-425F-887E-A35B57E28038}</b:Guid>
    <b:Author>
      <b:Author>
        <b:NameList>
          <b:Person>
            <b:Last>Cheruiyot</b:Last>
            <b:First>Mutai Patrick </b:First>
          </b:Person>
        </b:NameList>
      </b:Author>
      <b:BookAuthor>
        <b:NameList>
          <b:Person>
            <b:Last>Mr. Patrick Mutai Cheruiyot</b:Last>
            <b:First>Mr.</b:First>
            <b:Middle>Julius Robert Oketch and Professor Gregory S. Namusonge</b:Middle>
          </b:Person>
        </b:NameList>
      </b:BookAuthor>
    </b:Author>
    <b:Title>EFFECT OF PUBLIC FINANCIAL MANAGEMENT PRACTICES ON PERFORMANCE IN KERICHO COUNTY GOVERNMENT, KENYA: A CRITICAL REVIEW</b:Title>
    <b:BookTitle>EFFECT OF PUBLIC FINANCIAL MANAGEMENT PRACTICES ON PERFORMANCE IN KERICHO COUNTY GOVERNMENT, KENYA: A CRITICAL REVIEW</b:BookTitle>
    <b:Year>2017</b:Year>
    <b:Pages>211-224</b:Pages>
    <b:City>Nairobi</b:City>
    <b:Publisher>International Journal of Education and Research</b:Publisher>
    <b:RefOrder>10</b:RefOrder>
  </b:Source>
  <b:Source>
    <b:Tag>Fad18</b:Tag>
    <b:SourceType>BookSection</b:SourceType>
    <b:Guid>{E99F1DA1-0A0B-49B5-B711-6BA657C2E7E1}</b:Guid>
    <b:Author>
      <b:Author>
        <b:NameList>
          <b:Person>
            <b:Last>Mohamud</b:Last>
            <b:Middle>Hassan</b:Middle>
            <b:First>Faduma  </b:First>
          </b:Person>
        </b:NameList>
      </b:Author>
    </b:Author>
    <b:Title>Factors Influencing Implementation of Integrated Financial anagement Information System (IFMIS) In Puntland’s Public Institutions</b:Title>
    <b:BookTitle>Factors Influencing Implementation of Integrated Financial anagement Information System (IFMIS) In Puntland’s Public Institutions</b:BookTitle>
    <b:Year>2018</b:Year>
    <b:Pages>6-24</b:Pages>
    <b:City>Nairobi</b:City>
    <b:Publisher>IOSR Journal of Business and Management (IOSR-JBM)</b:Publisher>
    <b:RefOrder>11</b:RefOrder>
  </b:Source>
  <b:Source>
    <b:Tag>Moh23</b:Tag>
    <b:SourceType>DocumentFromInternetSite</b:SourceType>
    <b:Guid>{FF73C757-DBFB-48EB-8DAC-3010A9FDE5B2}</b:Guid>
    <b:Title>https://en.wikipedia.org/wiki/Puntland</b:Title>
    <b:Year>2023</b:Year>
    <b:InternetSiteTitle>https://en.wikipedia.org/wiki/Puntland</b:InternetSiteTitle>
    <b:Month>April</b:Month>
    <b:Day>6</b:Day>
    <b:URL>https://en.wikipedia.org/wiki/Puntland#:~:text=The%20name%20%22Puntland%22%20is%20derived,that%20it%20was%20situated%20elsewhere.</b:URL>
    <b:Author>
      <b:Author>
        <b:Corporate>Hussein Mohamed</b:Corporate>
      </b:Author>
    </b:Author>
    <b:RefOrder>43</b:RefOrder>
  </b:Source>
  <b:Source>
    <b:Tag>CRK04</b:Tag>
    <b:SourceType>Book</b:SourceType>
    <b:Guid>{2679BA2B-E84D-4FD6-97EA-2B8D7485CA08}</b:Guid>
    <b:Title>Research Methodology:</b:Title>
    <b:Year>2004</b:Year>
    <b:Publisher>New Age International (P) Ltd.</b:Publisher>
    <b:City>New Dehi</b:City>
    <b:Author>
      <b:Author>
        <b:NameList>
          <b:Person>
            <b:Last>KOTHARI</b:Last>
            <b:First>C.R.</b:First>
          </b:Person>
        </b:NameList>
      </b:Author>
    </b:Author>
    <b:RefOrder>40</b:RefOrder>
  </b:Source>
  <b:Source>
    <b:Tag>Oro02</b:Tag>
    <b:SourceType>Book</b:SourceType>
    <b:Guid>{3654E792-5948-484D-AE00-1977D07F201A}</b:Guid>
    <b:Title>Research Methods:</b:Title>
    <b:Year>2002</b:Year>
    <b:City>Nairobi</b:City>
    <b:Publisher>KenyattaUniversity Open and E-Learning Module.</b:Publisher>
    <b:Author>
      <b:Author>
        <b:NameList>
          <b:Person>
            <b:Middle> A. J.</b:Middle>
            <b:First>Orodho </b:First>
          </b:Person>
          <b:Person>
            <b:Middle>D.K.</b:Middle>
            <b:First>Kombo</b:First>
          </b:Person>
        </b:NameList>
      </b:Author>
    </b:Author>
    <b:RefOrder>41</b:RefOrder>
  </b:Source>
  <b:Source>
    <b:Tag>Thoon</b:Tag>
    <b:SourceType>JournalArticle</b:SourceType>
    <b:Guid>{458ACA43-CFCB-43AF-898D-6E609C6691FA}</b:Guid>
    <b:Title>Review of Measurement and Evaluation in Psychology and Education</b:Title>
    <b:Year>london</b:Year>
    <b:JournalName>Journal of Educational Measurement</b:JournalName>
    <b:Pages>53–55.</b:Pages>
    <b:Author>
      <b:Author>
        <b:NameList>
          <b:Person>
            <b:Last>Thorndike </b:Last>
            <b:First>R. L.  </b:First>
          </b:Person>
          <b:Person>
            <b:Last> Hagen</b:Last>
            <b:First>E.</b:First>
          </b:Person>
        </b:NameList>
      </b:Author>
    </b:Author>
    <b:RefOrder>42</b:RefOrder>
  </b:Source>
  <b:Source>
    <b:Tag>Fel13</b:Tag>
    <b:SourceType>Book</b:SourceType>
    <b:Guid>{C30E2C88-43F2-489A-ABC1-A0DE2DCD6F19}</b:Guid>
    <b:Title>A Neglected Element of Public Financial Management Reforms in Ghana</b:Title>
    <b:Year>2013</b:Year>
    <b:City>Maryland</b:City>
    <b:Publisher>International Consortium on Government Financial management</b:Publisher>
    <b:Author>
      <b:Author>
        <b:NameList>
          <b:Person>
            <b:Last>Aveh</b:Last>
            <b:First>Felix</b:First>
            <b:Middle>Kwame</b:Middle>
          </b:Person>
        </b:NameList>
      </b:Author>
    </b:Author>
    <b:RefOrder>4</b:RefOrder>
  </b:Source>
  <b:Source>
    <b:Tag>Tur18</b:Tag>
    <b:SourceType>BookSection</b:SourceType>
    <b:Guid>{B359AD56-A240-4156-A6C5-92A8B3FEA20B}</b:Guid>
    <b:Title>Theoretical Literature Review: Tracing the Life Cycle of a Theory and Its Verified and Falsified Statements</b:Title>
    <b:JournalName>Theoretical Literature Review: Tracing the Life Cycle of a Theory and Its Verified and Falsified Statements</b:JournalName>
    <b:Year>2018</b:Year>
    <b:Pages>35-61</b:Pages>
    <b:City>Denton</b:City>
    <b:Publisher>https://www.researchgate.net/publication/322432047_Theoretical_Literature_Review_Tracing_the_Life_Cycle_of_a_Theory_and_Its_Verified_and_Falsified_Statements?enrichId=rgreq-f9b49362d7d5b79149b462e2125a517c-XXX&amp;enrichSource=Y292ZXJQYWdlOzMyMjQzMjA0NztBUzo2</b:Publisher>
    <b:BookTitle>Theoretical Literature Review: Tracing the Life Cycle of a Theory and Its Verified and Falsified Statements</b:BookTitle>
    <b:Author>
      <b:Author>
        <b:NameList>
          <b:Person>
            <b:Last> Turner</b:Last>
            <b:Middle>Robert </b:Middle>
            <b:First>John</b:First>
          </b:Person>
          <b:Person>
            <b:Middle> Baker</b:Middle>
            <b:First>Rose</b:First>
          </b:Person>
        </b:NameList>
      </b:Author>
    </b:Author>
    <b:RefOrder>14</b:RefOrder>
  </b:Source>
  <b:Source>
    <b:Tag>Mar13</b:Tag>
    <b:SourceType>Book</b:SourceType>
    <b:Guid>{569C588A-49A2-460D-B5FC-4554D6DA7B91}</b:Guid>
    <b:Title>Public financial management and its emerging architecture</b:Title>
    <b:Year>2013</b:Year>
    <b:City>Washington, DC</b:City>
    <b:Publisher>International Monetary Fund</b:Publisher>
    <b:Author>
      <b:Author>
        <b:NameList>
          <b:Person>
            <b:Middle>Cangiano</b:Middle>
            <b:First>Marco</b:First>
          </b:Person>
          <b:Person>
            <b:Middle>Curristine</b:Middle>
            <b:First> Teresa </b:First>
          </b:Person>
          <b:Person>
            <b:Middle> Laza</b:Middle>
            <b:First>Michel</b:First>
          </b:Person>
        </b:NameList>
      </b:Author>
    </b:Author>
    <b:RefOrder>17</b:RefOrder>
  </b:Source>
  <b:Source>
    <b:Tag>Ars14</b:Tag>
    <b:SourceType>BookSection</b:SourceType>
    <b:Guid>{6F60F8C0-70E8-4617-8FD9-B28039B3FB59}</b:Guid>
    <b:Title>AN INTRODUCTION TO PUBLIC FINANCIAL MANAGEMENT</b:Title>
    <b:Year>2014</b:Year>
    <b:City>Islamabad</b:City>
    <b:Publisher>The Public Sector Subcommittee of the ACCA Pakistan Members Network Panel</b:Publisher>
    <b:BookTitle>AN INTRODUCTION TO PUBLIC FINANCIAL MANAGEMENT</b:BookTitle>
    <b:Pages>1-5</b:Pages>
    <b:Author>
      <b:Author>
        <b:NameList>
          <b:Person>
            <b:Middle>Shaikh</b:Middle>
            <b:First>Arsalan  </b:First>
          </b:Person>
          <b:Person>
            <b:Middle> Naeem </b:Middle>
            <b:First>Nida</b:First>
          </b:Person>
        </b:NameList>
      </b:Author>
      <b:BookAuthor>
        <b:NameList>
          <b:Person>
            <b:First>Arsalan</b:First>
            <b:Middle>Shaikh</b:Middle>
          </b:Person>
          <b:Person>
            <b:First>Nida</b:First>
            <b:Middle>Naeem</b:Middle>
          </b:Person>
        </b:NameList>
      </b:BookAuthor>
    </b:Author>
    <b:RefOrder>16</b:RefOrder>
  </b:Source>
  <b:Source>
    <b:Tag>RtH17</b:Tag>
    <b:SourceType>Book</b:SourceType>
    <b:Guid>{B7DE5FA0-FE15-49CD-B2F9-8F290ED31F31}</b:Guid>
    <b:Title>PUBLIC FINANCIAL MANAGEMENT HANDBOOK</b:Title>
    <b:Year>2017</b:Year>
    <b:City>Zambia</b:City>
    <b:Publisher>National Assembly of Zambia</b:Publisher>
    <b:Author>
      <b:Author>
        <b:NameList>
          <b:Person>
            <b:Middle>Justice </b:Middle>
            <b:First>Rt. Hon. </b:First>
          </b:Person>
          <b:Person>
            <b:Middle> Matibini</b:Middle>
            <b:First>Dr. Patrick</b:First>
          </b:Person>
        </b:NameList>
      </b:Author>
    </b:Author>
    <b:RefOrder>15</b:RefOrder>
  </b:Source>
  <b:Source>
    <b:Tag>Jus08</b:Tag>
    <b:SourceType>JournalArticle</b:SourceType>
    <b:Guid>{ADA7961E-6A61-4C67-8594-C5DACD9CE9B2}</b:Guid>
    <b:Title>An assessment of agency theory as a framework for the government–</b:Title>
    <b:JournalName>Journal of Higher Education Policy and Management</b:JournalName>
    <b:Year>2008</b:Year>
    <b:Pages>339–350</b:Pages>
    <b:Author>
      <b:Author>
        <b:NameList>
          <b:Person>
            <b:Middle>Kivisto</b:Middle>
            <b:First>Jussi </b:First>
          </b:Person>
        </b:NameList>
      </b:Author>
    </b:Author>
    <b:RefOrder>20</b:RefOrder>
  </b:Source>
  <b:Source>
    <b:Tag>Ols00</b:Tag>
    <b:SourceType>BookSection</b:SourceType>
    <b:Guid>{A1F0F4A4-DE9A-4C66-9098-5B16DA552C79}</b:Guid>
    <b:Title>Nonprofit and Voluntary Sector Quarterly</b:Title>
    <b:Year>2000</b:Year>
    <b:Pages> 280-296</b:Pages>
    <b:Author>
      <b:Author>
        <b:NameList>
          <b:Person>
            <b:Last>Olson</b:Last>
            <b:First>David</b:First>
            <b:Middle>E.</b:Middle>
          </b:Person>
        </b:NameList>
      </b:Author>
      <b:BookAuthor>
        <b:NameList>
          <b:Person>
            <b:Last>Olson</b:Last>
            <b:First>David</b:First>
            <b:Middle>E.</b:Middle>
          </b:Person>
        </b:NameList>
      </b:BookAuthor>
    </b:Author>
    <b:Publisher>Sage Publications, Inc.</b:Publisher>
    <b:City>California</b:City>
    <b:BookTitle>Agency Theory in the Not-for-Profit Sector:</b:BookTitle>
    <b:RefOrder>21</b:RefOrder>
  </b:Source>
  <b:Source>
    <b:Tag>Kyl22</b:Tag>
    <b:SourceType>InternetSite</b:SourceType>
    <b:Guid>{C9B261E7-6E9B-4128-85E1-26022C07DC2F}</b:Guid>
    <b:Title>https://study.com/learn/lesson/political-economy-concept-examples.html#:~:text=The%20political%20economic%20theory%20explores%20the%20relationship%20between%20a%20government,socialism%2C%20communism%2C%20and%20capitalism.</b:Title>
    <b:Year>2022</b:Year>
    <b:Author>
      <b:Author>
        <b:NameList>
          <b:Person>
            <b:Last>Lee</b:Last>
            <b:First>Kyle</b:First>
          </b:Person>
        </b:NameList>
      </b:Author>
    </b:Author>
    <b:InternetSiteTitle>https://study.com/learn/lesson/political-economy-concept-examples.html</b:InternetSiteTitle>
    <b:Month>Apr </b:Month>
    <b:Day>05</b:Day>
    <b:URL>https://study.com/learn/lesson/political-economy-concept-examples.html#:~:text=The%20political%20economic%20theory%20explores%20the%20relationship%20between%20a%20government,socialism%2C%20communism%2C%20and%20capitalism.</b:URL>
    <b:RefOrder>22</b:RefOrder>
  </b:Source>
  <b:Source>
    <b:Tag>Ger02</b:Tag>
    <b:SourceType>BookSection</b:SourceType>
    <b:Guid>{0273875A-A7EA-4D91-AEBA-F3F8B7ADE601}</b:Guid>
    <b:Title>Journal of Economic Perspectives </b:Title>
    <b:Year>2002</b:Year>
    <b:Author>
      <b:Author>
        <b:NameList>
          <b:Person>
            <b:Last>Roland</b:Last>
            <b:First>Ge´rard</b:First>
          </b:Person>
        </b:NameList>
      </b:Author>
      <b:BookAuthor>
        <b:NameList>
          <b:Person>
            <b:Last>Roland</b:Last>
            <b:First>Ge´rard</b:First>
          </b:Person>
        </b:NameList>
      </b:BookAuthor>
    </b:Author>
    <b:BookTitle>The Political Economy of Transition</b:BookTitle>
    <b:Pages>29–50</b:Pages>
    <b:City>California</b:City>
    <b:Publisher>The Political Economy of Economic Reform in the Pacific</b:Publisher>
    <b:RefOrder>44</b:RefOrder>
  </b:Source>
  <b:Source>
    <b:Tag>Pol12</b:Tag>
    <b:SourceType>BookSection</b:SourceType>
    <b:Guid>{18ACCDE9-A402-465E-98E3-5FFAA834233A}</b:Guid>
    <b:Title>Public Management and Administration: An Introduction</b:Title>
    <b:BookTitle>Classical and Modern Approaches to Public Administration</b:BookTitle>
    <b:Year>2012</b:Year>
    <b:Pages>74-81</b:Pages>
    <b:City>Sofia </b:City>
    <b:Publisher>Economic Alternatives</b:Publisher>
    <b:Author>
      <b:Author>
        <b:NameList>
          <b:Person>
            <b:Last>Katsamunska</b:Last>
            <b:First>Polya</b:First>
          </b:Person>
        </b:NameList>
      </b:Author>
      <b:BookAuthor>
        <b:NameList>
          <b:Person>
            <b:Last>Katsamunska</b:Last>
            <b:First>Polya</b:First>
          </b:Person>
        </b:NameList>
      </b:BookAuthor>
    </b:Author>
    <b:RefOrder>24</b:RefOrder>
  </b:Source>
  <b:Source>
    <b:Tag>Ler07</b:Tag>
    <b:SourceType>Book</b:SourceType>
    <b:Guid>{E28A0AD6-D414-4AA2-AE3E-325D486F909D}</b:Guid>
    <b:Title>A PRINCIPAL-AGENT THEORY APPROACH TO PUBLIC EXPENDITURE MANAGEMENT SYSTEMS in Developing Countries</b:Title>
    <b:Year>2007</b:Year>
    <b:City>Paris </b:City>
    <b:Publisher>OECD JOURNAL ON BUDGETING</b:Publisher>
    <b:Author>
      <b:Author>
        <b:NameList>
          <b:Person>
            <b:Last>Leruth </b:Last>
            <b:First>Luc </b:First>
          </b:Person>
          <b:Person>
            <b:Last>Paul</b:Last>
            <b:First> Elisabeth </b:First>
          </b:Person>
        </b:NameList>
      </b:Author>
    </b:Author>
    <b:RefOrder>27</b:RefOrder>
  </b:Source>
  <b:Source>
    <b:Tag>MAR10</b:Tag>
    <b:SourceType>Book</b:SourceType>
    <b:Guid>{B5ADDC0E-BA77-4512-B637-BF07004415CD}</b:Guid>
    <b:Author>
      <b:Author>
        <b:NameList>
          <b:Person>
            <b:Last>AWITTA</b:Last>
            <b:First>MARGARET</b:First>
          </b:Person>
        </b:NameList>
      </b:Author>
    </b:Author>
    <b:Title>EFFECTIVENESS OF REVENUE COLLECTION STRATEGIES AT KENYA REVENUE AUTHORITY IN NAIROBI</b:Title>
    <b:Year>2010</b:Year>
    <b:City>Nairobi</b:City>
    <b:Publisher>Department of Business Administration </b:Publisher>
    <b:RefOrder>29</b:RefOrder>
  </b:Source>
  <b:Source>
    <b:Tag>lEb99</b:Tag>
    <b:SourceType>JournalArticle</b:SourceType>
    <b:Guid>{F05F7DE8-EC85-46AB-B2E5-8BEA53DD1030}</b:Guid>
    <b:Title>Revenue Implication of Trade Liberalization</b:Title>
    <b:Year>1999</b:Year>
    <b:JournalName>IMF Occasional Paper</b:JournalName>
    <b:Pages>180.</b:Pages>
    <b:Author>
      <b:Author>
        <b:NameList>
          <b:Person>
            <b:Middle>L.</b:Middle>
            <b:First>Ebrill  </b:First>
          </b:Person>
          <b:Person>
            <b:Middle>J.</b:Middle>
            <b:First>Stotsky </b:First>
          </b:Person>
          <b:Person>
            <b:Middle>R.</b:Middle>
            <b:First>Gropp</b:First>
          </b:Person>
        </b:NameList>
      </b:Author>
    </b:Author>
    <b:RefOrder>28</b:RefOrder>
  </b:Source>
  <b:Source>
    <b:Tag>Mit06</b:Tag>
    <b:SourceType>JournalArticle</b:SourceType>
    <b:Guid>{378E6F28-D352-422D-9279-0325D2778EB7}</b:Guid>
    <b:Title>Origin of the Theory of Agency</b:Title>
    <b:JournalName>Pittsburgh, PA 15260</b:JournalName>
    <b:Year>2006</b:Year>
    <b:Pages>12</b:Pages>
    <b:Author>
      <b:Author>
        <b:NameList>
          <b:Person>
            <b:Last>Mitnick</b:Last>
            <b:Middle>M. </b:Middle>
            <b:First>Barry </b:First>
          </b:Person>
        </b:NameList>
      </b:Author>
    </b:Author>
    <b:RefOrder>19</b:RefOrder>
  </b:Source>
  <b:Source>
    <b:Tag>ara</b:Tag>
    <b:SourceType>Art</b:SourceType>
    <b:Guid>{F095E10F-4326-43D1-B978-5B61B92769FD}</b:Guid>
    <b:Title>The Politics of Poverty: Elites, Citizens and States</b:Title>
    <b:City>Masisi</b:City>
    <b:Publisher>UKAID</b:Publisher>
    <b:Author>
      <b:Artist>
        <b:NameList>
          <b:Person>
            <b:Last>DFID</b:Last>
            <b:First>arah</b:First>
            <b:Middle>MacGregor /</b:Middle>
          </b:Person>
        </b:NameList>
      </b:Artist>
    </b:Author>
    <b:Institution>DFID</b:Institution>
    <b:PublicationTitle>The Politics of Poverty: Elites, Citizens, and States</b:PublicationTitle>
    <b:RefOrder>45</b:RefOrder>
  </b:Source>
  <b:Source>
    <b:Tag>Ste05</b:Tag>
    <b:SourceType>JournalArticle</b:SourceType>
    <b:Guid>{D7B7F3EE-7DE0-4437-8FC3-7891A41BFE29}</b:Guid>
    <b:Title> tax reforms in Kenya</b:Title>
    <b:Author>
      <b:Author>
        <b:NameList>
          <b:Person>
            <b:Last>Karingi</b:Last>
            <b:First>Stephen</b:First>
            <b:Middle>Njuguna</b:Middle>
          </b:Person>
        </b:NameList>
      </b:Author>
    </b:Author>
    <b:JournalName>WIDER Research Paper</b:JournalName>
    <b:Year>2005</b:Year>
    <b:Pages>67</b:Pages>
    <b:RefOrder>30</b:RefOrder>
  </b:Source>
  <b:Source>
    <b:Tag>Wor95</b:Tag>
    <b:SourceType>JournalArticle</b:SourceType>
    <b:Guid>{C094A810-C507-494F-9872-4892E17EED51}</b:Guid>
    <b:Author>
      <b:Author>
        <b:NameList>
          <b:Person>
            <b:Last>World Development</b:Last>
          </b:Person>
        </b:NameList>
      </b:Author>
    </b:Author>
    <b:Title>Political Commitment, Institutional Capacity and Tax Policy Reform in Tanzania </b:Title>
    <b:JournalName>Elsevier Science Ltd </b:JournalName>
    <b:Year>1995</b:Year>
    <b:Pages>637-649</b:Pages>
    <b:RefOrder>46</b:RefOrder>
  </b:Source>
  <b:Source>
    <b:Tag>Wen06</b:Tag>
    <b:SourceType>JournalArticle</b:SourceType>
    <b:Guid>{8AF0716B-5E5D-4C89-8D78-F4E4218F5959}</b:Guid>
    <b:Author>
      <b:Author>
        <b:NameList>
          <b:Person>
            <b:Last>Brown</b:Last>
            <b:First>Wendy</b:First>
          </b:Person>
        </b:NameList>
      </b:Author>
    </b:Author>
    <b:Title>American Nightmare: Neoliberalism, Neoconservatism, and De-Democratization</b:Title>
    <b:JournalName>SAGE PUBLICATIONS</b:JournalName>
    <b:Year>2006</b:Year>
    <b:Pages>34</b:Pages>
    <b:RefOrder>47</b:RefOrder>
  </b:Source>
  <b:Source>
    <b:Tag>Fad19</b:Tag>
    <b:SourceType>JournalArticle</b:SourceType>
    <b:Guid>{399014F6-4476-46E4-AFE3-343EDC05E257}</b:Guid>
    <b:Author>
      <b:Author>
        <b:NameList>
          <b:Person>
            <b:Last>Fadi</b:Last>
            <b:First>Alkaraan</b:First>
          </b:Person>
        </b:NameList>
      </b:Author>
    </b:Author>
    <b:Title>Public financial management reform: An ongoing journey towards good governance</b:Title>
    <b:JournalName>Cork University Business School</b:JournalName>
    <b:Year>2019</b:Year>
    <b:Pages>31</b:Pages>
    <b:RefOrder>25</b:RefOrder>
  </b:Source>
  <b:Source>
    <b:Tag>Hea11</b:Tag>
    <b:SourceType>BookSection</b:SourceType>
    <b:Guid>{88B047C9-45EB-40C2-9118-FA3A224FF579}</b:Guid>
    <b:Title>Perspectives on Capacity Development in Fragile</b:Title>
    <b:Year>2011</b:Year>
    <b:Pages>13-14</b:Pages>
    <b:InternetSiteTitle>https://www.jica.go.jp/jica-ri/IFIC_and_JBICI-Studies/english/publications/reports/study/capacity/200809/pdf/02.pdf</b:InternetSiteTitle>
    <b:Month>sep</b:Month>
    <b:Day>21</b:Day>
    <b:URL>https://www.jica.go.jp/jica-ri/IFIC_and_JBICI-Studies/english/publications/reports/study/capacity/200809/pdf/02.pdf</b:URL>
    <b:Author>
      <b:Author>
        <b:NameList>
          <b:Person>
            <b:Last>Heather Baser</b:Last>
          </b:Person>
        </b:NameList>
      </b:Author>
      <b:BookAuthor>
        <b:NameList>
          <b:Person>
            <b:Last>Heather Baser</b:Last>
          </b:Person>
        </b:NameList>
      </b:BookAuthor>
    </b:Author>
    <b:BookTitle>Perspectives on Capacity Development in Fragile</b:BookTitle>
    <b:City>Ottawa,</b:City>
    <b:Publisher>UNDP </b:Publisher>
    <b:RefOrder>32</b:RefOrder>
  </b:Source>
  <b:Source>
    <b:Tag>Don05</b:Tag>
    <b:SourceType>JournalArticle</b:SourceType>
    <b:Guid>{A7A614A1-D0F8-450D-853D-F6E95C104BB9}</b:Guid>
    <b:Title>GUIDELINES FOR PUBLIC FINANCIAL MANAGEMENT REFORM</b:Title>
    <b:Year>2005</b:Year>
    <b:Pages>35</b:Pages>
    <b:Author>
      <b:Author>
        <b:NameList>
          <b:Person>
            <b:Last>Don McKinnon</b:Last>
          </b:Person>
        </b:NameList>
      </b:Author>
    </b:Author>
    <b:JournalName>Commonwealth Secretariat</b:JournalName>
    <b:RefOrder>31</b:RefOrder>
  </b:Source>
  <b:Source>
    <b:Tag>Mat03</b:Tag>
    <b:SourceType>Book</b:SourceType>
    <b:Guid>{E19DDE6F-39B7-460B-A254-3618CABA522D}</b:Guid>
    <b:Title>THE MANAGEMENT OF PUBLIC EXPENDITURES AND ITS IMPLICATIONS FOR SERVICE DELIVERY</b:Title>
    <b:Year>2003</b:Year>
    <b:City>Washington, D.C.</b:City>
    <b:Publisher>Young Professional and Senior Public Sector Management Specialist respectively at the World Bank,</b:Publisher>
    <b:Author>
      <b:Author>
        <b:NameList>
          <b:Person>
            <b:Middle>Andrews</b:Middle>
            <b:First>Matthew  </b:First>
          </b:Person>
          <b:Person>
            <b:Middle>Campos</b:Middle>
            <b:First>J. Edgardo </b:First>
          </b:Person>
        </b:NameList>
      </b:Author>
    </b:Author>
    <b:RefOrder>48</b:RefOrder>
  </b:Source>
  <b:Source>
    <b:Tag>Alb96</b:Tag>
    <b:SourceType>BookSection</b:SourceType>
    <b:Guid>{A4C27DB3-1969-40E0-8E48-D12AB0FF4031}</b:Guid>
    <b:Title>Fiscal Discipline and the Budget Process</b:Title>
    <b:Year>1996</b:Year>
    <b:City> San Francisco</b:City>
    <b:Publisher> American Economic Association</b:Publisher>
    <b:BookTitle>Fiscal Discipline and the Budget Process</b:BookTitle>
    <b:Pages>401-407</b:Pages>
    <b:Author>
      <b:Author>
        <b:NameList>
          <b:Person>
            <b:Middle> Alesina</b:Middle>
            <b:First> Alberto </b:First>
          </b:Person>
          <b:Person>
            <b:Middle>Perotti</b:Middle>
            <b:First>Roberto </b:First>
          </b:Person>
        </b:NameList>
      </b:Author>
      <b:BookAuthor>
        <b:NameList>
          <b:Person>
            <b:First>Alberto</b:First>
            <b:Middle>Alesina</b:Middle>
          </b:Person>
          <b:Person>
            <b:First>Roberto</b:First>
            <b:Middle>Perotti</b:Middle>
          </b:Person>
        </b:NameList>
      </b:BookAuthor>
    </b:Author>
    <b:RefOrder>23</b:RefOrder>
  </b:Source>
  <b:Source>
    <b:Tag>LRJ03</b:Tag>
    <b:SourceType>JournalArticle</b:SourceType>
    <b:Guid>{281BBA51-D260-4D1E-A149-CDBF84C732AB}</b:Guid>
    <b:Title>ASSESSING PUBLIC MANAGEMENT REFORM IN ANINTERNATIONAL CONTEXT</b:Title>
    <b:Year>2003</b:Year>
    <b:Pages>19</b:Pages>
    <b:JournalName>International Public Management Networ</b:JournalName>
    <b:Author>
      <b:Author>
        <b:NameList>
          <b:Person>
            <b:First>L. R.  Jones </b:First>
          </b:Person>
          <b:Person>
            <b:Middle>Kettl</b:Middle>
            <b:First>Donald F. </b:First>
          </b:Person>
        </b:NameList>
      </b:Author>
    </b:Author>
    <b:RefOrder>38</b:RefOrder>
  </b:Source>
  <b:Source>
    <b:Tag>Chr12</b:Tag>
    <b:SourceType>JournalArticle</b:SourceType>
    <b:Guid>{5B710A12-F4EA-4371-8B37-612C43CD4523}</b:Guid>
    <b:Author>
      <b:Author>
        <b:NameList>
          <b:Person>
            <b:Last>Hendriks</b:Last>
            <b:First>Christoffel</b:First>
            <b:Middle>J.</b:Middle>
          </b:Person>
        </b:NameList>
      </b:Author>
    </b:Author>
    <b:Title>Integrated Financial Management Information Systems: Guidelines for effective implementation by the public sector of South Africa</b:Title>
    <b:JournalName>SA Journal of Information Management</b:JournalName>
    <b:Year>2012</b:Year>
    <b:Pages>9</b:Pages>
    <b:RefOrder>35</b:RefOrder>
  </b:Source>
  <b:Source>
    <b:Tag>And10</b:Tag>
    <b:SourceType>Book</b:SourceType>
    <b:Guid>{E9C37CDC-7911-4354-9454-9815859524CE}</b:Guid>
    <b:Author>
      <b:Author>
        <b:NameList>
          <b:Person>
            <b:Last>Andrews</b:Last>
            <b:First>Matt</b:First>
          </b:Person>
        </b:NameList>
      </b:Author>
    </b:Author>
    <b:Title>How Far Have Public Financial Management Reforms Come in Africa?</b:Title>
    <b:JournalName>Harvard Kennedy School</b:JournalName>
    <b:Year>2010</b:Year>
    <b:City>Cambridge</b:City>
    <b:Publisher>Harvard Kennedy School</b:Publisher>
    <b:RefOrder>37</b:RefOrder>
  </b:Source>
  <b:Source>
    <b:Tag>Dic05</b:Tag>
    <b:SourceType>Book</b:SourceType>
    <b:Guid>{C4DE1706-ADDF-4A64-8A28-B5661BE19E6B}</b:Guid>
    <b:Title>Public Finance Management Reform in Malawi</b:Title>
    <b:Year>2005</b:Year>
    <b:City>Gothenburg</b:City>
    <b:Publisher>Sida COUNTRY ECONOMIC REPORT</b:Publisher>
    <b:Author>
      <b:Author>
        <b:NameList>
          <b:Person>
            <b:Middle>Durevall</b:Middle>
            <b:First>Dick  </b:First>
          </b:Person>
          <b:Person>
            <b:Middle>Erlandsson</b:Middle>
            <b:First>Mattias </b:First>
          </b:Person>
        </b:NameList>
      </b:Author>
    </b:Author>
    <b:RefOrder>33</b:RefOrder>
  </b:Source>
  <b:Source>
    <b:Tag>MWA11</b:Tag>
    <b:SourceType>Book</b:SourceType>
    <b:Guid>{A018F2C5-BC79-49C0-B1C8-391B78646C3C}</b:Guid>
    <b:Author>
      <b:Author>
        <b:NameList>
          <b:Person>
            <b:Last>KURIA</b:Last>
            <b:First>MWANGI</b:First>
            <b:Middle>RICHARD</b:Middle>
          </b:Person>
        </b:NameList>
      </b:Author>
    </b:Author>
    <b:Title>THE IMPACT OF THE PUBLIC FINANCIAL MANAGEMENT REFORMS ON FINANCIAL OPERATIONS OF THE MINISTRY OFFINANCE</b:Title>
    <b:Year>2011</b:Year>
    <b:City>Nairobi</b:City>
    <b:Publisher>UNIVERSITY OF NAIROBI LOWER KABETE LIBRARY</b:Publisher>
    <b:RefOrder>39</b:RefOrder>
  </b:Source>
  <b:Source>
    <b:Tag>Ric01</b:Tag>
    <b:SourceType>Book</b:SourceType>
    <b:Guid>{E98FBD89-5B88-4D06-9445-65C7E80ED484}</b:Guid>
    <b:Title>Managing Public Expenditure A Reference Book for Transition Countries</b:Title>
    <b:Year>2001</b:Year>
    <b:City>Paris</b:City>
    <b:Publisher>General of the OECD.</b:Publisher>
    <b:Author>
      <b:Author>
        <b:NameList>
          <b:Person>
            <b:Middle>Allen </b:Middle>
            <b:First>Richard </b:First>
          </b:Person>
          <b:Person>
            <b:Middle>Tommasi</b:Middle>
            <b:First>Daniel </b:First>
          </b:Person>
        </b:NameList>
      </b:Author>
    </b:Author>
    <b:RefOrder>34</b:RefOrder>
  </b:Source>
  <b:Source>
    <b:Tag>Mat131</b:Tag>
    <b:SourceType>InternetSite</b:SourceType>
    <b:Guid>{D0C18407-FF37-4A7A-BE3B-A8F7886196B0}</b:Guid>
    <b:Title>Public financial management reforms in developing and postconflict countries</b:Title>
    <b:Year> 2013</b:Year>
    <b:Author>
      <b:Author>
        <b:NameList>
          <b:Person>
            <b:Last>Morgner</b:Last>
            <b:First>Matthias</b:First>
          </b:Person>
        </b:NameList>
      </b:Author>
    </b:Author>
    <b:InternetSiteTitle>U4 Experts Answer</b:InternetSiteTitle>
    <b:Month>May</b:Month>
    <b:Day>16 </b:Day>
    <b:URL>https://www.u4.no/publications/public-financial-management-reforms-in-developing-and-post-conflict-countries.pdf</b:URL>
    <b:RefOrder>36</b:RefOrder>
  </b:Source>
  <b:Source>
    <b:Tag>Pra16</b:Tag>
    <b:SourceType>DocumentFromInternetSite</b:SourceType>
    <b:Guid>{98A7A26E-1759-4BD0-8B45-ABDD9C87ACC6}</b:Guid>
    <b:Title>SOMALIA PUBLIC FINANCIAL MANAGEMENT CAPACITY STRENGTHENING PROJECT</b:Title>
    <b:InternetSiteTitle>https://www.shareweb.ch/site/DDLGN/Documents/SDC_Moon_WP_7th_proof_25XI21.pdf</b:InternetSiteTitle>
    <b:Year>2016</b:Year>
    <b:Month>November</b:Month>
    <b:Day>29,</b:Day>
    <b:URL>https://documents1.worldbank.org/curated/en/280651485292396843/pdf/ICR-Somalia-PFM-Capacity-Strengthening-P146006-12272016.pdf</b:URL>
    <b:Author>
      <b:Author>
        <b:NameList>
          <b:Person>
            <b:Last>Deborah L. Wetzel</b:Last>
            <b:First>George</b:First>
            <b:Middle>Larbi,Winston Percy Onipede Cole and David Waigwa Wachira</b:Middle>
          </b:Person>
        </b:NameList>
      </b:Author>
    </b:Author>
    <b:RefOrder>6</b:RefOrder>
  </b:Source>
  <b:Source>
    <b:Tag>Wor15</b:Tag>
    <b:SourceType>Report</b:SourceType>
    <b:Guid>{9FD7336C-3A4C-4689-A435-C8770C0FF5DB}</b:Guid>
    <b:Title>Public Financial Management Capacity Strengthening Project II (P151492)</b:Title>
    <b:Year>2015</b:Year>
    <b:Author>
      <b:Author>
        <b:Corporate>World Bank</b:Corporate>
      </b:Author>
    </b:Author>
    <b:Publisher>Public Disclosure Authorized</b:Publisher>
    <b:City>Washington</b:City>
    <b:RefOrder>7</b:RefOrder>
  </b:Source>
  <b:Source>
    <b:Tag>wor07</b:Tag>
    <b:SourceType>Report</b:SourceType>
    <b:Guid>{9358ECB2-5C7F-434E-B666-1D67F5ADEA3F}</b:Guid>
    <b:Title>SOMALI RECONSTRUCTION AND DEVELOPMENT PROGRAMME</b:Title>
    <b:Year> 2007</b:Year>
    <b:Publisher>Public Disclosure Authorized</b:Publisher>
    <b:City>Washington</b:City>
    <b:Author>
      <b:Author>
        <b:Corporate>world bank</b:Corporate>
      </b:Author>
    </b:Author>
    <b:RefOrder>8</b:RefOrder>
  </b:Source>
  <b:Source>
    <b:Tag>Mis10</b:Tag>
    <b:SourceType>JournalArticle</b:SourceType>
    <b:Guid>{8910189A-9875-4186-9219-ABA0710C9F5A}</b:Guid>
    <b:Title>What Is a Literature Review</b:Title>
    <b:Year>2010</b:Year>
    <b:Author>
      <b:Author>
        <b:NameList>
          <b:Person>
            <b:Last>Harvey</b:Last>
            <b:First>Missy</b:First>
          </b:Person>
        </b:NameList>
      </b:Author>
    </b:Author>
    <b:JournalName>What Is a Literature Review</b:JournalName>
    <b:Pages>10</b:Pages>
    <b:RefOrder>13</b:RefOrder>
  </b:Source>
  <b:Source>
    <b:Tag>Mat031</b:Tag>
    <b:SourceType>Book</b:SourceType>
    <b:Guid>{354273E6-2F1A-481C-B652-8011D0D68FAB}</b:Guid>
    <b:Title>THE MANAGEMENT OF PUBLIC EXPENDITURES AND ITS IMPLICATIONS FOR SERVICE DELIVERY</b:Title>
    <b:Year>2003</b:Year>
    <b:City>washington,D.C</b:City>
    <b:Publisher>Young Professional and Senior Public Sector Management Specialist respectively at the World Bank,</b:Publisher>
    <b:Author>
      <b:Author>
        <b:NameList>
          <b:Person>
            <b:Last>Andrews</b:Last>
            <b:First>Matthew</b:First>
          </b:Person>
          <b:Person>
            <b:First>J.</b:First>
            <b:Middle>Edgardo Campos</b:Middle>
          </b:Person>
        </b:NameList>
      </b:Author>
    </b:Author>
    <b:RefOrder>26</b:RefOrder>
  </b:Source>
  <b:Source>
    <b:Tag>And151</b:Tag>
    <b:SourceType>JournalArticle</b:SourceType>
    <b:Guid>{EDFB968B-1B03-4F03-8059-8AE877BD93D5}</b:Guid>
    <b:Author>
      <b:Author>
        <b:Corporate>Andrew Lawson</b:Corporate>
      </b:Author>
    </b:Author>
    <b:Title>public financial management</b:Title>
    <b:JournalName>GSDRC Professional Development Reading Pack</b:JournalName>
    <b:Year>2015</b:Year>
    <b:Pages>6</b:Pages>
    <b:RefOrder>3</b:RefOrder>
  </b:Source>
  <b:Source>
    <b:Tag>Mat13</b:Tag>
    <b:SourceType>JournalArticle</b:SourceType>
    <b:Guid>{D50B54CE-8C16-48AC-BE75-A6710217A5FC}</b:Guid>
    <b:Title>Public financial management reforms in developing and postconflict countries</b:Title>
    <b:JournalName>U4</b:JournalName>
    <b:Year>2013</b:Year>
    <b:Pages>13</b:Pages>
    <b:Author>
      <b:Author>
        <b:NameList>
          <b:Person>
            <b:Last> Matthias</b:Last>
            <b:First>Morgner </b:First>
          </b:Person>
        </b:NameList>
      </b:Author>
    </b:Author>
    <b:RefOrder>12</b:RefOrder>
  </b:Source>
  <b:Source>
    <b:Tag>Moh201</b:Tag>
    <b:SourceType>BookSection</b:SourceType>
    <b:Guid>{B4E7DBEF-8FE0-429E-A3BD-F52CA18665BF}</b:Guid>
    <b:Author>
      <b:Author>
        <b:NameList>
          <b:Person>
            <b:Last>Bincof  </b:Last>
            <b:Middle>Omar</b:Middle>
            <b:First>Mohamed</b:First>
          </b:Person>
        </b:NameList>
      </b:Author>
      <b:BookAuthor>
        <b:NameList>
          <b:Person>
            <b:Last>Bincof</b:Last>
            <b:First>Mohamed</b:First>
            <b:Middle>Omar</b:Middle>
          </b:Person>
        </b:NameList>
      </b:BookAuthor>
    </b:Author>
    <b:Title>The Effect of Public Sector Reform on Good Governance in Somalia</b:Title>
    <b:BookTitle>The Effect of Public Sector Reform on Good Governance in Somalia</b:BookTitle>
    <b:Year>2020</b:Year>
    <b:Pages>69-77</b:Pages>
    <b:City>Ankanra</b:City>
    <b:Publisher>Public Policy and Administration Research</b:Publisher>
    <b:RefOrder>1</b:RefOrder>
  </b:Source>
  <b:Source>
    <b:Tag>Law15</b:Tag>
    <b:SourceType>BookSection</b:SourceType>
    <b:Guid>{8BEF8CDF-E33C-4DE3-B1C0-9329F55AC3FA}</b:Guid>
    <b:Author>
      <b:Author>
        <b:Corporate>Lawson Andrew</b:Corporate>
        <b:NameList>
          <b:Person>
            <b:Last>Lawson</b:Last>
            <b:First>Andrew</b:First>
          </b:Person>
        </b:NameList>
      </b:Author>
      <b:BookAuthor>
        <b:NameList>
          <b:Person>
            <b:Last>Andrew</b:Last>
            <b:First>Lawson</b:First>
          </b:Person>
        </b:NameList>
      </b:BookAuthor>
    </b:Author>
    <b:Title>Public Financial Management</b:Title>
    <b:BookTitle>Public Financial Management</b:BookTitle>
    <b:Year>2015</b:Year>
    <b:Pages>6</b:Pages>
    <b:City>Birmingham</b:City>
    <b:Publisher>Governance. Social Development.Huminaterian.Conflict</b:Publisher>
    <b:RefOrder>2</b:RefOrder>
  </b:Source>
  <b:Source>
    <b:Tag>Moh16</b:Tag>
    <b:SourceType>BookSection</b:SourceType>
    <b:Guid>{CCA41B79-44B2-4D22-9CB6-268EED6851F2}</b:Guid>
    <b:Title>Public finance management reforms in Somalia</b:Title>
    <b:Year>2016</b:Year>
    <b:City>Sharjah</b:City>
    <b:Publisher>https://onlinelibrary.wiley.com/doi/10.1002/pa.1621</b:Publisher>
    <b:Author>
      <b:Author>
        <b:NameList>
          <b:Person>
            <b:Last>Warsame </b:Last>
            <b:First>Mohammed  Hersi</b:First>
          </b:Person>
        </b:NameList>
      </b:Author>
      <b:BookAuthor>
        <b:NameList>
          <b:Person>
            <b:Last>Warsame1</b:Last>
            <b:First>Mohammed</b:First>
            <b:Middle>Hersi</b:Middle>
          </b:Person>
        </b:NameList>
      </b:BookAuthor>
    </b:Author>
    <b:BookTitle>Public finance management reforms in Somalia</b:BookTitle>
    <b:Pages>9</b:Pages>
    <b:RefOrder>5</b:RefOrder>
  </b:Source>
  <b:Source>
    <b:Tag>Che17</b:Tag>
    <b:SourceType>JournalArticle</b:SourceType>
    <b:Guid>{8C99D724-C799-49EB-8F95-97313FEF0445}</b:Guid>
    <b:Title>EFFECT OF PUBLIC FINANCIAL MANAGEMENT PRACTICES ON  PERFORMANCE IN KERICHO COUNTY GOVERNMENT, KENYA:</b:Title>
    <b:JournalName>International Journal of Education and Research</b:JournalName>
    <b:Year>2017</b:Year>
    <b:Pages>14</b:Pages>
    <b:Author>
      <b:Author>
        <b:NameList>
          <b:Person>
            <b:Last>Cheruiyot</b:Last>
            <b:First>Mutai  </b:First>
          </b:Person>
        </b:NameList>
      </b:Author>
    </b:Author>
    <b:RefOrder>18</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3E742D6-C7EA-49B6-9A24-4225A1FA5EEE}">
  <ds:schemaRefs/>
</ds:datastoreItem>
</file>

<file path=docProps/app.xml><?xml version="1.0" encoding="utf-8"?>
<Properties xmlns="http://schemas.openxmlformats.org/officeDocument/2006/extended-properties" xmlns:vt="http://schemas.openxmlformats.org/officeDocument/2006/docPropsVTypes">
  <Template>Normal.dotm</Template>
  <Pages>26</Pages>
  <Words>8120</Words>
  <Characters>46286</Characters>
  <Lines>385</Lines>
  <Paragraphs>108</Paragraphs>
  <TotalTime>89</TotalTime>
  <ScaleCrop>false</ScaleCrop>
  <LinksUpToDate>false</LinksUpToDate>
  <CharactersWithSpaces>54298</CharactersWithSpaces>
  <Application>WPS Office_12.2.0.22549_F1E327BC-269C-435d-A152-05C5408002CA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2025-07-28T07:19:00Z</dcterms:created>
  <dc:creator>Ismail Abdihakim</dc:creator>
  <cp:lastModifiedBy>Sahal University</cp:lastModifiedBy>
  <dcterms:modified xsi:type="dcterms:W3CDTF">2025-09-09T07:49:27Z</dcterms:modified>
  <cp:revision>184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1033-12.2.0.22549</vt:lpwstr>
  </property>
  <property fmtid="{D5CDD505-2E9C-101B-9397-08002B2CF9AE}" pid="3" name="ICV">
    <vt:lpwstr>C2F2E4FC961B4667AA13E61A69DBD796_12</vt:lpwstr>
  </property>
</Properties>
</file>