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77062" w14:textId="77777777" w:rsidR="00AE1198" w:rsidRDefault="00AE1198"/>
    <w:p w14:paraId="7CBF5190" w14:textId="77777777" w:rsidR="00AE1198" w:rsidRDefault="00AE1198"/>
    <w:p w14:paraId="52A90C27" w14:textId="77777777" w:rsidR="00AE1198" w:rsidRDefault="00000000">
      <w:pPr>
        <w:spacing w:before="80" w:after="80"/>
        <w:jc w:val="center"/>
      </w:pPr>
      <w:r>
        <w:rPr>
          <w:b/>
          <w:bCs/>
          <w:color w:val="444444"/>
          <w:sz w:val="20"/>
          <w:szCs w:val="20"/>
        </w:rPr>
        <w:t>Instituto Politécnico Democracia e Desenvolvimento (IPDD)</w:t>
      </w:r>
    </w:p>
    <w:p w14:paraId="3A442456" w14:textId="77777777" w:rsidR="00AE1198" w:rsidRDefault="00000000">
      <w:pPr>
        <w:spacing w:before="80" w:after="80"/>
        <w:jc w:val="center"/>
      </w:pPr>
      <w:r>
        <w:rPr>
          <w:color w:val="555555"/>
          <w:sz w:val="20"/>
          <w:szCs w:val="20"/>
        </w:rPr>
        <w:t>Centro de Investigação Aplicada ao Desenvolvimento (CIAD)</w:t>
      </w:r>
    </w:p>
    <w:p w14:paraId="6332CDDC" w14:textId="77777777" w:rsidR="00AE1198" w:rsidRDefault="00000000">
      <w:pPr>
        <w:spacing w:before="80" w:after="80"/>
        <w:jc w:val="center"/>
      </w:pPr>
      <w:r>
        <w:rPr>
          <w:i/>
          <w:color w:val="777777"/>
          <w:sz w:val="18"/>
          <w:szCs w:val="18"/>
        </w:rPr>
        <w:t>Entidade Convidada :</w:t>
      </w:r>
    </w:p>
    <w:p w14:paraId="2F1049DD" w14:textId="77777777" w:rsidR="00AE1198" w:rsidRDefault="00000000">
      <w:pPr>
        <w:spacing w:before="60" w:after="60"/>
        <w:jc w:val="center"/>
      </w:pPr>
      <w:r>
        <w:rPr>
          <w:b/>
          <w:color w:val="333333"/>
          <w:sz w:val="20"/>
          <w:szCs w:val="20"/>
        </w:rPr>
        <w:t>Comissão Nacional dos Direitos Humanos e Cidadania (CNDHC)</w:t>
      </w:r>
    </w:p>
    <w:p w14:paraId="1EEE6E11" w14:textId="77777777" w:rsidR="00AE1198" w:rsidRDefault="00000000">
      <w:pPr>
        <w:spacing w:after="80"/>
        <w:jc w:val="center"/>
      </w:pPr>
      <w:r>
        <w:rPr>
          <w:color w:val="666666"/>
          <w:sz w:val="18"/>
          <w:szCs w:val="18"/>
        </w:rPr>
        <w:t>República de Cabo Verde</w:t>
      </w:r>
    </w:p>
    <w:p w14:paraId="3C01404B" w14:textId="77777777" w:rsidR="00AE1198" w:rsidRDefault="00AE1198"/>
    <w:p w14:paraId="170C46FA" w14:textId="77777777" w:rsidR="00AE1198" w:rsidRDefault="00AE1198"/>
    <w:p w14:paraId="4D0BB478" w14:textId="77777777" w:rsidR="00AE1198" w:rsidRDefault="00AE1198"/>
    <w:p w14:paraId="55173CA7" w14:textId="77777777" w:rsidR="00AE1198" w:rsidRDefault="00000000">
      <w:pPr>
        <w:spacing w:before="80" w:after="80"/>
        <w:jc w:val="center"/>
      </w:pPr>
      <w:r>
        <w:rPr>
          <w:b/>
          <w:bCs/>
          <w:color w:val="1A1A2E"/>
          <w:sz w:val="38"/>
          <w:szCs w:val="38"/>
        </w:rPr>
        <w:t>LA TORTURE AU CAP-VERT :</w:t>
      </w:r>
    </w:p>
    <w:p w14:paraId="777EC36F" w14:textId="77777777" w:rsidR="00AE1198" w:rsidRDefault="00000000">
      <w:pPr>
        <w:spacing w:before="80" w:after="80"/>
        <w:jc w:val="center"/>
      </w:pPr>
      <w:r>
        <w:rPr>
          <w:b/>
          <w:bCs/>
          <w:color w:val="1A1A2E"/>
          <w:sz w:val="30"/>
          <w:szCs w:val="30"/>
        </w:rPr>
        <w:t>Mémoire, Justice et Réparation</w:t>
      </w:r>
    </w:p>
    <w:p w14:paraId="551C6153" w14:textId="77777777" w:rsidR="00AE1198" w:rsidRDefault="00000000">
      <w:pPr>
        <w:spacing w:before="80" w:after="80"/>
        <w:jc w:val="center"/>
      </w:pPr>
      <w:r>
        <w:rPr>
          <w:i/>
          <w:iCs/>
          <w:color w:val="2E4057"/>
          <w:sz w:val="30"/>
          <w:szCs w:val="30"/>
        </w:rPr>
        <w:t>dans le Contexte Démocratique</w:t>
      </w:r>
    </w:p>
    <w:p w14:paraId="3CCE8B7D" w14:textId="77777777" w:rsidR="00AE1198" w:rsidRDefault="00AE1198"/>
    <w:p w14:paraId="5ACA082F" w14:textId="77777777" w:rsidR="00AE1198" w:rsidRDefault="00AE1198"/>
    <w:p w14:paraId="13A8E1BF" w14:textId="77777777" w:rsidR="00AE1198" w:rsidRDefault="00AE1198">
      <w:pPr>
        <w:pBdr>
          <w:bottom w:val="single" w:sz="6" w:space="1" w:color="2E4057"/>
        </w:pBdr>
        <w:spacing w:before="200" w:after="200"/>
      </w:pPr>
    </w:p>
    <w:p w14:paraId="50E91ABA" w14:textId="77777777" w:rsidR="00AE1198" w:rsidRDefault="00000000">
      <w:pPr>
        <w:spacing w:before="80" w:after="80"/>
        <w:jc w:val="center"/>
      </w:pPr>
      <w:r>
        <w:rPr>
          <w:b/>
          <w:bCs/>
        </w:rPr>
        <w:t>Milton Nascimento de Sena Paiva</w:t>
      </w:r>
    </w:p>
    <w:p w14:paraId="19B33035" w14:textId="77777777" w:rsidR="00AE1198" w:rsidRDefault="00000000">
      <w:pPr>
        <w:spacing w:before="80" w:after="80"/>
        <w:jc w:val="center"/>
      </w:pPr>
      <w:r>
        <w:rPr>
          <w:i/>
          <w:iCs/>
          <w:color w:val="666666"/>
          <w:sz w:val="20"/>
          <w:szCs w:val="20"/>
        </w:rPr>
        <w:t>Avocat &amp; Consultant — Administrateur</w:t>
      </w:r>
    </w:p>
    <w:p w14:paraId="0A4D248B" w14:textId="77777777" w:rsidR="00AE1198" w:rsidRDefault="00000000">
      <w:pPr>
        <w:spacing w:before="80" w:after="80"/>
        <w:jc w:val="center"/>
      </w:pPr>
      <w:r>
        <w:rPr>
          <w:color w:val="666666"/>
          <w:sz w:val="20"/>
          <w:szCs w:val="20"/>
        </w:rPr>
        <w:t>IPDD / CIAD — Cabo Verde</w:t>
      </w:r>
    </w:p>
    <w:p w14:paraId="4C7FA051" w14:textId="77777777" w:rsidR="00AE1198" w:rsidRDefault="00AE1198">
      <w:pPr>
        <w:pBdr>
          <w:bottom w:val="single" w:sz="6" w:space="1" w:color="2E4057"/>
        </w:pBdr>
        <w:spacing w:before="200" w:after="200"/>
      </w:pPr>
    </w:p>
    <w:p w14:paraId="573629A0" w14:textId="77777777" w:rsidR="00AE1198" w:rsidRDefault="00AE1198"/>
    <w:p w14:paraId="53E7D609" w14:textId="77777777" w:rsidR="00AE1198" w:rsidRDefault="00000000">
      <w:pPr>
        <w:pBdr>
          <w:top w:val="single" w:sz="4" w:space="6" w:color="AAAAAA"/>
          <w:left w:val="single" w:sz="4" w:space="6" w:color="AAAAAA"/>
          <w:bottom w:val="single" w:sz="4" w:space="6" w:color="AAAAAA"/>
          <w:right w:val="single" w:sz="4" w:space="6" w:color="AAAAAA"/>
        </w:pBdr>
        <w:spacing w:after="200" w:line="300" w:lineRule="auto"/>
        <w:ind w:left="500" w:right="500"/>
        <w:jc w:val="both"/>
      </w:pPr>
      <w:r>
        <w:rPr>
          <w:i/>
          <w:iCs/>
          <w:sz w:val="20"/>
          <w:szCs w:val="20"/>
        </w:rPr>
        <w:t>RÉSUMÉ — Le présent article analyse de manière critique le phénomène de la torture au Cap-Vert, en se concentrant sur son évolution historique, sur le cadre juridique national et international, et sur les mécanismes de réparation et de justice transitionnelle mis en œuvre, en particulier la Loi n° 67/IX/2019. Adoptant une approche juridico-analytique et comparée, l'étude cherche à comprendre comment l'État cap-verdien a géré l'héritage autoritaire du régime de parti unique (1975–1990), et de quelle manière les principes constitutionnels et internationaux en matière de droits de l'homme ont été appliqués pour consolider une culture démocratique de respect de la dignité humaine. L'article soutient que, malgré les avancées normatives et institutionnelles, des défis structurels et culturels persistent dans la prévention, la surveillance et la responsabilisation des pratiques pouvant constituer des traitements cruels, inhumains ou dégradants. La Loi de Réparation de 2019 constitue un jalon juridique et moral dans la reconnaissance des victimes, mais le processus de réconciliation historique nécessite encore des politiques publiques de mémoire, d'éducation civique et de renforcement institutionnel.</w:t>
      </w:r>
    </w:p>
    <w:p w14:paraId="000AFB3A" w14:textId="77777777" w:rsidR="00AE1198" w:rsidRDefault="00AE1198"/>
    <w:p w14:paraId="40549F63" w14:textId="77777777" w:rsidR="00AE1198" w:rsidRPr="005931E5" w:rsidRDefault="00000000">
      <w:pPr>
        <w:spacing w:after="240"/>
        <w:ind w:left="500"/>
        <w:rPr>
          <w:lang w:val="en-US"/>
        </w:rPr>
      </w:pPr>
      <w:r w:rsidRPr="005931E5">
        <w:rPr>
          <w:b/>
          <w:bCs/>
          <w:sz w:val="20"/>
          <w:szCs w:val="20"/>
          <w:lang w:val="en-US"/>
        </w:rPr>
        <w:t xml:space="preserve">Mots-clés : </w:t>
      </w:r>
      <w:r w:rsidRPr="005931E5">
        <w:rPr>
          <w:i/>
          <w:iCs/>
          <w:sz w:val="20"/>
          <w:szCs w:val="20"/>
          <w:lang w:val="en-US"/>
        </w:rPr>
        <w:t>Torture — Droits de l'Homme — Justice Transitionnelle — Cap-Vert — Réparation — Mémoire Historique</w:t>
      </w:r>
    </w:p>
    <w:p w14:paraId="09735F1A" w14:textId="77777777" w:rsidR="00AE1198" w:rsidRPr="005931E5" w:rsidRDefault="00AE1198">
      <w:pPr>
        <w:rPr>
          <w:lang w:val="en-US"/>
        </w:rPr>
      </w:pPr>
    </w:p>
    <w:p w14:paraId="2A142A29" w14:textId="77777777" w:rsidR="00AE1198" w:rsidRPr="005931E5" w:rsidRDefault="00AE1198">
      <w:pPr>
        <w:rPr>
          <w:lang w:val="en-US"/>
        </w:rPr>
      </w:pPr>
    </w:p>
    <w:p w14:paraId="62A225D5" w14:textId="77777777" w:rsidR="00AE1198" w:rsidRPr="005931E5" w:rsidRDefault="00000000">
      <w:pPr>
        <w:pStyle w:val="Ttulo1"/>
        <w:rPr>
          <w:lang w:val="en-US"/>
        </w:rPr>
      </w:pPr>
      <w:r w:rsidRPr="005931E5">
        <w:rPr>
          <w:caps/>
          <w:lang w:val="en-US"/>
        </w:rPr>
        <w:t>INTRODUCTION</w:t>
      </w:r>
    </w:p>
    <w:p w14:paraId="01924C67" w14:textId="77777777" w:rsidR="00AE1198" w:rsidRDefault="00000000">
      <w:pPr>
        <w:spacing w:after="200" w:line="360" w:lineRule="auto"/>
        <w:jc w:val="both"/>
      </w:pPr>
      <w:r w:rsidRPr="005931E5">
        <w:rPr>
          <w:lang w:val="en-US"/>
        </w:rPr>
        <w:t xml:space="preserve">La torture constitue l'une des violations les plus graves des droits de l'homme et représente, en tout contexte, une atteinte frontale à la dignité de la personne humaine. Son interdiction est absolue et indérogeable, tant en droit international que dans les constitutions nationales, y compris celle du Cap-Vert. </w:t>
      </w:r>
      <w:r>
        <w:t>Dans les sociétés sortant de régimes autoritaires, le débat sur la torture transcende la dimension pénale : il s'agit d'une question de mémoire, de justice et d'identité collective.</w:t>
      </w:r>
    </w:p>
    <w:p w14:paraId="6489ADBC" w14:textId="77777777" w:rsidR="00AE1198" w:rsidRDefault="00000000">
      <w:pPr>
        <w:spacing w:after="200" w:line="360" w:lineRule="auto"/>
        <w:jc w:val="both"/>
      </w:pPr>
      <w:r w:rsidRPr="005931E5">
        <w:rPr>
          <w:lang w:val="en-US"/>
        </w:rPr>
        <w:t xml:space="preserve">Au Cap-Vert, le thème revêt une importance historique et symbolique particulière. </w:t>
      </w:r>
      <w:r>
        <w:t>Après l'indépendance, en 1975, le pays a connu une période de monopartisme (1975–1990), au cours de laquelle des épisodes de répression politique, de détentions arbitraires et de mauvais traitements se sont produits, notamment lors des événements de São Vicente (1977) et de Santo Antão (1981). Malgré le progrès démocratique indéniable qui s'est ensuivi, des mémoires traumatiques et des lacunes dans la réparation intégrale des victimes de ces abus subsistent. L'objectif de cet article est d'analyser, dans une perspective juridico-formelle et critique, la manière dont le Cap-Vert a construit — et continue de construire — son régime de protection contre la torture, depuis le plan constitutionnel jusqu'à l'application pratique des normes.</w:t>
      </w:r>
    </w:p>
    <w:p w14:paraId="10DAE67C" w14:textId="77777777" w:rsidR="00AE1198" w:rsidRDefault="00AE1198">
      <w:pPr>
        <w:pBdr>
          <w:top w:val="single" w:sz="3" w:space="4" w:color="BBBBBB"/>
        </w:pBdr>
        <w:spacing w:before="320" w:after="100"/>
      </w:pPr>
    </w:p>
    <w:p w14:paraId="38C8D22D" w14:textId="77777777" w:rsidR="00AE1198" w:rsidRDefault="00000000">
      <w:pPr>
        <w:spacing w:after="100" w:line="270" w:lineRule="auto"/>
        <w:jc w:val="both"/>
      </w:pPr>
      <w:r>
        <w:rPr>
          <w:b/>
          <w:bCs/>
          <w:sz w:val="18"/>
          <w:szCs w:val="18"/>
          <w:vertAlign w:val="superscript"/>
        </w:rPr>
        <w:t xml:space="preserve">1 </w:t>
      </w:r>
      <w:r>
        <w:rPr>
          <w:sz w:val="18"/>
          <w:szCs w:val="18"/>
        </w:rPr>
        <w:t>Constitution de la République du Cap-Vert, art. 28 : « Nul ne peut être soumis à la torture, ni à des peines ou traitements cruels, dégradants ou inhumains. »</w:t>
      </w:r>
    </w:p>
    <w:p w14:paraId="0B33EBDB" w14:textId="77777777" w:rsidR="00AE1198" w:rsidRPr="005931E5" w:rsidRDefault="00000000">
      <w:pPr>
        <w:spacing w:after="100" w:line="270" w:lineRule="auto"/>
        <w:jc w:val="both"/>
        <w:rPr>
          <w:lang w:val="en-US"/>
        </w:rPr>
      </w:pPr>
      <w:r w:rsidRPr="005931E5">
        <w:rPr>
          <w:b/>
          <w:bCs/>
          <w:sz w:val="18"/>
          <w:szCs w:val="18"/>
          <w:vertAlign w:val="superscript"/>
          <w:lang w:val="en-US"/>
        </w:rPr>
        <w:t xml:space="preserve">2 </w:t>
      </w:r>
      <w:r w:rsidRPr="005931E5">
        <w:rPr>
          <w:sz w:val="18"/>
          <w:szCs w:val="18"/>
          <w:lang w:val="en-US"/>
        </w:rPr>
        <w:t>Rapport National sur les Droits de l'Homme (CNDHC, 2020) et Loi n° 67/IX/2019.</w:t>
      </w:r>
    </w:p>
    <w:p w14:paraId="61EBEC6D" w14:textId="77777777" w:rsidR="00AE1198" w:rsidRPr="005931E5" w:rsidRDefault="00AE1198">
      <w:pPr>
        <w:rPr>
          <w:lang w:val="en-US"/>
        </w:rPr>
      </w:pPr>
    </w:p>
    <w:p w14:paraId="32D9F075" w14:textId="77777777" w:rsidR="00AE1198" w:rsidRPr="005931E5" w:rsidRDefault="00AE1198">
      <w:pPr>
        <w:rPr>
          <w:lang w:val="en-US"/>
        </w:rPr>
      </w:pPr>
    </w:p>
    <w:p w14:paraId="6DEA90B1" w14:textId="77777777" w:rsidR="00AE1198" w:rsidRDefault="00000000">
      <w:pPr>
        <w:pStyle w:val="Ttulo1"/>
      </w:pPr>
      <w:r>
        <w:rPr>
          <w:caps/>
        </w:rPr>
        <w:t>I. — Contexte historique : de l'indépendance à la transition démocratique</w:t>
      </w:r>
    </w:p>
    <w:p w14:paraId="5ABDCE7C" w14:textId="77777777" w:rsidR="00AE1198" w:rsidRDefault="00000000">
      <w:pPr>
        <w:pStyle w:val="Ttulo2"/>
      </w:pPr>
      <w:r>
        <w:t>A. L'après-indépendance et le régime de parti unique</w:t>
      </w:r>
    </w:p>
    <w:p w14:paraId="3EA75260" w14:textId="77777777" w:rsidR="00AE1198" w:rsidRDefault="00000000">
      <w:pPr>
        <w:spacing w:after="200" w:line="360" w:lineRule="auto"/>
        <w:jc w:val="both"/>
      </w:pPr>
      <w:r>
        <w:t xml:space="preserve">Avec la proclamation de l'indépendance nationale le 5 juillet 1975, le Cap-Vert a assumé le défi de construire son propre État, avec ses institutions, son identité et sa souveraineté </w:t>
      </w:r>
      <w:r>
        <w:lastRenderedPageBreak/>
        <w:t>propres. Le Parti Africain pour l'Indépendance du Cap-Vert (PAICV), alors détenteur de la légitimité historique de la lutte anticoloniale, a pris le pouvoir dans un contexte de fragilité économique et de nécessité de cohésion nationale. Le modèle politique adopté fut celui du parti unique, inspiré de paradigmes d'« unité révolutionnaire », considérés à l'époque comme essentiels à la consolidation de l'État et à la défense de la jeune nation.</w:t>
      </w:r>
    </w:p>
    <w:p w14:paraId="340FF2DC" w14:textId="77777777" w:rsidR="00AE1198" w:rsidRPr="005931E5" w:rsidRDefault="00000000">
      <w:pPr>
        <w:spacing w:after="200" w:line="360" w:lineRule="auto"/>
        <w:jc w:val="both"/>
        <w:rPr>
          <w:lang w:val="en-US"/>
        </w:rPr>
      </w:pPr>
      <w:r>
        <w:t xml:space="preserve">Ce modèle de gouvernance concentrée a cependant créé les conditions d'émergence de pratiques répressives et de contrôle idéologique. La liberté d'expression et le pluralisme politique ont été sacrifiés au nom de la stabilité nationale. La méfiance et la peur sont devenues des éléments de socialisation politique, et l'État a pris, par moments, les contours d'un pouvoir disciplinaire. </w:t>
      </w:r>
      <w:r w:rsidRPr="005931E5">
        <w:rPr>
          <w:lang w:val="en-US"/>
        </w:rPr>
        <w:t>Dans ce cadre, toute divergence était fréquemment interprétée comme une trahison de l'idéal révolutionnaire.</w:t>
      </w:r>
    </w:p>
    <w:p w14:paraId="62E4AE6C" w14:textId="77777777" w:rsidR="00AE1198" w:rsidRPr="005931E5" w:rsidRDefault="00AE1198">
      <w:pPr>
        <w:pBdr>
          <w:top w:val="single" w:sz="3" w:space="4" w:color="BBBBBB"/>
        </w:pBdr>
        <w:spacing w:before="320" w:after="100"/>
        <w:rPr>
          <w:lang w:val="en-US"/>
        </w:rPr>
      </w:pPr>
    </w:p>
    <w:p w14:paraId="7A045087" w14:textId="77777777" w:rsidR="00AE1198" w:rsidRPr="005931E5" w:rsidRDefault="00000000">
      <w:pPr>
        <w:spacing w:after="100" w:line="270" w:lineRule="auto"/>
        <w:jc w:val="both"/>
        <w:rPr>
          <w:lang w:val="en-US"/>
        </w:rPr>
      </w:pPr>
      <w:r w:rsidRPr="005931E5">
        <w:rPr>
          <w:b/>
          <w:bCs/>
          <w:sz w:val="18"/>
          <w:szCs w:val="18"/>
          <w:vertAlign w:val="superscript"/>
          <w:lang w:val="en-US"/>
        </w:rPr>
        <w:t xml:space="preserve">3 </w:t>
      </w:r>
      <w:r w:rsidRPr="005931E5">
        <w:rPr>
          <w:sz w:val="18"/>
          <w:szCs w:val="18"/>
          <w:lang w:val="en-US"/>
        </w:rPr>
        <w:t>Constitution de la République du Cap-Vert (1975), préambule et art. 3.</w:t>
      </w:r>
    </w:p>
    <w:p w14:paraId="12924F72" w14:textId="77777777" w:rsidR="00AE1198" w:rsidRPr="005931E5" w:rsidRDefault="00000000">
      <w:pPr>
        <w:spacing w:after="100" w:line="270" w:lineRule="auto"/>
        <w:jc w:val="both"/>
        <w:rPr>
          <w:lang w:val="en-US"/>
        </w:rPr>
      </w:pPr>
      <w:r w:rsidRPr="005931E5">
        <w:rPr>
          <w:b/>
          <w:bCs/>
          <w:sz w:val="18"/>
          <w:szCs w:val="18"/>
          <w:vertAlign w:val="superscript"/>
          <w:lang w:val="en-US"/>
        </w:rPr>
        <w:t xml:space="preserve">4 </w:t>
      </w:r>
      <w:r w:rsidRPr="005931E5">
        <w:rPr>
          <w:sz w:val="18"/>
          <w:szCs w:val="18"/>
          <w:lang w:val="en-US"/>
        </w:rPr>
        <w:t>FOUCAULT, Michel. Surveiller et punir : Naissance de la prison. Paris : Gallimard, 1975.</w:t>
      </w:r>
    </w:p>
    <w:p w14:paraId="11FE7A65" w14:textId="77777777" w:rsidR="00AE1198" w:rsidRPr="005931E5" w:rsidRDefault="00AE1198">
      <w:pPr>
        <w:rPr>
          <w:lang w:val="en-US"/>
        </w:rPr>
      </w:pPr>
    </w:p>
    <w:p w14:paraId="6AAA2E16" w14:textId="77777777" w:rsidR="00AE1198" w:rsidRDefault="00000000">
      <w:pPr>
        <w:pStyle w:val="Ttulo2"/>
      </w:pPr>
      <w:r>
        <w:t>B. Les événements de 1977 et 1981</w:t>
      </w:r>
    </w:p>
    <w:p w14:paraId="1DB6E114" w14:textId="77777777" w:rsidR="00AE1198" w:rsidRDefault="00000000">
      <w:pPr>
        <w:spacing w:after="200" w:line="360" w:lineRule="auto"/>
        <w:jc w:val="both"/>
      </w:pPr>
      <w:r>
        <w:t>Les épisodes de São Vicente (1977) et de Santo Antão (1981) constituent les moments les plus marquants de l'histoire contemporaine cap-verdienne en ce qui concerne la violation des droits de l'homme. En 1977, un groupe de citoyens, accusés de « subversion » et d'« attentat contre la sécurité de l'État », a été détenu sans mandat judiciaire et soumis à des interrogatoires prolongés. Des témoignages recueillis dans des rapports et des entretiens historiques font état de tortures physiques et psychologiques, d'isolement et de privation sensorielle. Nombre des détenus ont été maintenus sans jugement pendant des mois.</w:t>
      </w:r>
    </w:p>
    <w:p w14:paraId="0BE58300" w14:textId="77777777" w:rsidR="00AE1198" w:rsidRDefault="00000000">
      <w:pPr>
        <w:spacing w:after="200" w:line="360" w:lineRule="auto"/>
        <w:jc w:val="both"/>
      </w:pPr>
      <w:r>
        <w:t xml:space="preserve">En 1981, dans l'île de Santo Antão, une nouvelle vague répressive a visé des individus suspectés d'activités contraires à l'idéologie dominante. La répression, bien que moins violente en termes d'ampleur, a maintenu les mêmes méthodes : détentions arbitraires, mauvais traitements et absence de défense effective. </w:t>
      </w:r>
      <w:r w:rsidRPr="005931E5">
        <w:rPr>
          <w:lang w:val="en-US"/>
        </w:rPr>
        <w:t xml:space="preserve">L'impact social et psychologique de ces épisodes a été profond, touchant des familles et des communautés entières. Pendant plus d'une décennie, les victimes et leurs familles ont vécu dans le silence et la </w:t>
      </w:r>
      <w:r w:rsidRPr="005931E5">
        <w:rPr>
          <w:lang w:val="en-US"/>
        </w:rPr>
        <w:lastRenderedPageBreak/>
        <w:t xml:space="preserve">stigmatisation. </w:t>
      </w:r>
      <w:r>
        <w:t>Le récit officiel de l'État niait ou minimisait les faits, et les mémoires ont été reléguées à la sphère privée, ne survivant que par transmission orale.</w:t>
      </w:r>
    </w:p>
    <w:p w14:paraId="7EDF5C74" w14:textId="77777777" w:rsidR="00AE1198" w:rsidRDefault="00AE1198">
      <w:pPr>
        <w:pBdr>
          <w:top w:val="single" w:sz="3" w:space="4" w:color="BBBBBB"/>
        </w:pBdr>
        <w:spacing w:before="320" w:after="100"/>
      </w:pPr>
    </w:p>
    <w:p w14:paraId="59EADCF4" w14:textId="77777777" w:rsidR="00AE1198" w:rsidRPr="005931E5" w:rsidRDefault="00000000">
      <w:pPr>
        <w:spacing w:after="100" w:line="270" w:lineRule="auto"/>
        <w:jc w:val="both"/>
        <w:rPr>
          <w:lang w:val="en-US"/>
        </w:rPr>
      </w:pPr>
      <w:r w:rsidRPr="005931E5">
        <w:rPr>
          <w:b/>
          <w:bCs/>
          <w:sz w:val="18"/>
          <w:szCs w:val="18"/>
          <w:vertAlign w:val="superscript"/>
          <w:lang w:val="en-US"/>
        </w:rPr>
        <w:t xml:space="preserve">5 </w:t>
      </w:r>
      <w:r w:rsidRPr="005931E5">
        <w:rPr>
          <w:sz w:val="18"/>
          <w:szCs w:val="18"/>
          <w:lang w:val="en-US"/>
        </w:rPr>
        <w:t>Rapport de la CNDHC sur les Droits de l'Homme 2010–2019, Praia, 2020.</w:t>
      </w:r>
    </w:p>
    <w:p w14:paraId="222B5E93" w14:textId="77777777" w:rsidR="00AE1198" w:rsidRPr="005931E5" w:rsidRDefault="00000000">
      <w:pPr>
        <w:spacing w:after="100" w:line="270" w:lineRule="auto"/>
        <w:jc w:val="both"/>
        <w:rPr>
          <w:lang w:val="en-US"/>
        </w:rPr>
      </w:pPr>
      <w:r w:rsidRPr="005931E5">
        <w:rPr>
          <w:b/>
          <w:bCs/>
          <w:sz w:val="18"/>
          <w:szCs w:val="18"/>
          <w:vertAlign w:val="superscript"/>
          <w:lang w:val="en-US"/>
        </w:rPr>
        <w:t xml:space="preserve">6 </w:t>
      </w:r>
      <w:r w:rsidRPr="005931E5">
        <w:rPr>
          <w:sz w:val="18"/>
          <w:szCs w:val="18"/>
          <w:lang w:val="en-US"/>
        </w:rPr>
        <w:t>Amnesty International — Cap-Vert : Rapport sur les Droits de l'Homme (1982).</w:t>
      </w:r>
    </w:p>
    <w:p w14:paraId="74D7F063" w14:textId="77777777" w:rsidR="00AE1198" w:rsidRPr="005931E5" w:rsidRDefault="00AE1198">
      <w:pPr>
        <w:rPr>
          <w:lang w:val="en-US"/>
        </w:rPr>
      </w:pPr>
    </w:p>
    <w:p w14:paraId="1B2DEEA4" w14:textId="77777777" w:rsidR="00AE1198" w:rsidRPr="005931E5" w:rsidRDefault="00000000">
      <w:pPr>
        <w:pStyle w:val="Ttulo2"/>
        <w:rPr>
          <w:lang w:val="en-US"/>
        </w:rPr>
      </w:pPr>
      <w:r w:rsidRPr="005931E5">
        <w:rPr>
          <w:lang w:val="en-US"/>
        </w:rPr>
        <w:t>C. Le silence institutionnel et la transition démocratique</w:t>
      </w:r>
    </w:p>
    <w:p w14:paraId="4C28D9FA" w14:textId="77777777" w:rsidR="00AE1198" w:rsidRDefault="00000000">
      <w:pPr>
        <w:spacing w:after="200" w:line="360" w:lineRule="auto"/>
        <w:jc w:val="both"/>
      </w:pPr>
      <w:r w:rsidRPr="005931E5">
        <w:rPr>
          <w:lang w:val="en-US"/>
        </w:rPr>
        <w:t xml:space="preserve">Avec la transition vers le pluralisme politique en 1990, une nouvelle phase de l'histoire cap-verdienne s'ouvre. </w:t>
      </w:r>
      <w:r>
        <w:t>La démocratie naissante a apporté avec elle l'impératif moral de confronter le passé. Cependant, le processus de réconciliation nationale a été prudent et contenu. Le nouveau régime a opté pour une stratégie de « silence politique utile », évitant les procès ou les commissions d'enquête au nom de la stabilité et de l'unité nationale.</w:t>
      </w:r>
    </w:p>
    <w:p w14:paraId="563F21D6" w14:textId="77777777" w:rsidR="00AE1198" w:rsidRDefault="00000000">
      <w:pPr>
        <w:spacing w:after="200" w:line="360" w:lineRule="auto"/>
        <w:jc w:val="both"/>
      </w:pPr>
      <w:r>
        <w:t>Malgré la compréhension que suscite cette position au regard du contexte politique de l'époque, ce silence a retardé la création de politiques de mémoire et de justice historique. Ce n'est qu'avec l'adoption de la Loi n° 67/IX/2019, quatre décennies après les événements, que l'État a formellement reconnu les violations commises et accordé une réparation financière aux victimes et à leurs héritiers. L'absence d'une Commission de Vérité ou d'un processus structuré de justice transitionnelle a laissé des lacunes dans l'éclaircissement public des faits et dans la reconstruction de la confiance entre le citoyen et l'État. Le Cap-Vert, à la différence de pays comme l'Afrique du Sud ou le Chili, a préféré un modèle de réconciliation silencieuse, fondé sur la maturité civique et la stabilité démocratique.</w:t>
      </w:r>
    </w:p>
    <w:p w14:paraId="4F01FCA9" w14:textId="77777777" w:rsidR="00AE1198" w:rsidRDefault="00AE1198">
      <w:pPr>
        <w:pBdr>
          <w:top w:val="single" w:sz="3" w:space="4" w:color="BBBBBB"/>
        </w:pBdr>
        <w:spacing w:before="320" w:after="100"/>
      </w:pPr>
    </w:p>
    <w:p w14:paraId="1A46CB25" w14:textId="77777777" w:rsidR="00AE1198" w:rsidRPr="005931E5" w:rsidRDefault="00000000">
      <w:pPr>
        <w:spacing w:after="100" w:line="270" w:lineRule="auto"/>
        <w:jc w:val="both"/>
        <w:rPr>
          <w:lang w:val="en-US"/>
        </w:rPr>
      </w:pPr>
      <w:r w:rsidRPr="005931E5">
        <w:rPr>
          <w:b/>
          <w:bCs/>
          <w:sz w:val="18"/>
          <w:szCs w:val="18"/>
          <w:vertAlign w:val="superscript"/>
          <w:lang w:val="en-US"/>
        </w:rPr>
        <w:t xml:space="preserve">7 </w:t>
      </w:r>
      <w:r w:rsidRPr="005931E5">
        <w:rPr>
          <w:sz w:val="18"/>
          <w:szCs w:val="18"/>
          <w:lang w:val="en-US"/>
        </w:rPr>
        <w:t>Constitution de la République du Cap-Vert (1992), arts. 1 et 28.</w:t>
      </w:r>
    </w:p>
    <w:p w14:paraId="28EC0590" w14:textId="77777777" w:rsidR="00AE1198" w:rsidRPr="005931E5" w:rsidRDefault="00000000">
      <w:pPr>
        <w:spacing w:after="100" w:line="270" w:lineRule="auto"/>
        <w:jc w:val="both"/>
        <w:rPr>
          <w:lang w:val="en-US"/>
        </w:rPr>
      </w:pPr>
      <w:r w:rsidRPr="005931E5">
        <w:rPr>
          <w:b/>
          <w:bCs/>
          <w:sz w:val="18"/>
          <w:szCs w:val="18"/>
          <w:vertAlign w:val="superscript"/>
          <w:lang w:val="en-US"/>
        </w:rPr>
        <w:t xml:space="preserve">8 </w:t>
      </w:r>
      <w:r w:rsidRPr="005931E5">
        <w:rPr>
          <w:sz w:val="18"/>
          <w:szCs w:val="18"/>
          <w:lang w:val="en-US"/>
        </w:rPr>
        <w:t>HAYNER, Priscilla. Unspeakable Truths : Transitional Justice and the Challenge of Truth Commissions. London : Routledge, 2011.</w:t>
      </w:r>
    </w:p>
    <w:p w14:paraId="019E24DB" w14:textId="77777777" w:rsidR="00AE1198" w:rsidRPr="005931E5" w:rsidRDefault="00AE1198">
      <w:pPr>
        <w:rPr>
          <w:lang w:val="en-US"/>
        </w:rPr>
      </w:pPr>
    </w:p>
    <w:p w14:paraId="2AF89A3C" w14:textId="77777777" w:rsidR="00AE1198" w:rsidRPr="005931E5" w:rsidRDefault="00AE1198">
      <w:pPr>
        <w:rPr>
          <w:lang w:val="en-US"/>
        </w:rPr>
      </w:pPr>
    </w:p>
    <w:p w14:paraId="1E41BDE0" w14:textId="77777777" w:rsidR="00AE1198" w:rsidRPr="005931E5" w:rsidRDefault="00000000">
      <w:pPr>
        <w:pStyle w:val="Ttulo1"/>
        <w:rPr>
          <w:lang w:val="en-US"/>
        </w:rPr>
      </w:pPr>
      <w:r w:rsidRPr="005931E5">
        <w:rPr>
          <w:caps/>
          <w:lang w:val="en-US"/>
        </w:rPr>
        <w:t>II. — Cadre juridique général : de la Constitution aux instruments internationaux</w:t>
      </w:r>
    </w:p>
    <w:p w14:paraId="5B1E03B1" w14:textId="77777777" w:rsidR="00AE1198" w:rsidRDefault="00000000">
      <w:pPr>
        <w:pStyle w:val="Ttulo2"/>
      </w:pPr>
      <w:r>
        <w:lastRenderedPageBreak/>
        <w:t>A. La Constitution de la République et l'interdiction absolue de la torture</w:t>
      </w:r>
    </w:p>
    <w:p w14:paraId="2980802C" w14:textId="77777777" w:rsidR="00AE1198" w:rsidRPr="005931E5" w:rsidRDefault="00000000">
      <w:pPr>
        <w:spacing w:after="200" w:line="360" w:lineRule="auto"/>
        <w:jc w:val="both"/>
        <w:rPr>
          <w:lang w:val="en-US"/>
        </w:rPr>
      </w:pPr>
      <w:r>
        <w:t xml:space="preserve">La Constitution de la République du Cap-Vert (CRC) établit, en son article 28, que « nul ne peut être soumis à la torture, ni à des peines ou traitements cruels, dégradants ou inhumains ». Il s'agit d'une norme à caractère absolu et indérogeable, qui n'admet aucune exception, même en temps de guerre, de calamité publique ou d'urgence constitutionnelle. </w:t>
      </w:r>
      <w:r w:rsidRPr="005931E5">
        <w:rPr>
          <w:lang w:val="en-US"/>
        </w:rPr>
        <w:t>Cette rédaction traduit l'engagement de l'État cap-verdien envers les valeurs universelles de la dignité humaine, pierre angulaire du constitutionnalisme moderne.</w:t>
      </w:r>
    </w:p>
    <w:p w14:paraId="41C1D221" w14:textId="77777777" w:rsidR="00AE1198" w:rsidRPr="005931E5" w:rsidRDefault="00000000">
      <w:pPr>
        <w:spacing w:after="200" w:line="360" w:lineRule="auto"/>
        <w:jc w:val="both"/>
        <w:rPr>
          <w:lang w:val="en-US"/>
        </w:rPr>
      </w:pPr>
      <w:r w:rsidRPr="005931E5">
        <w:rPr>
          <w:lang w:val="en-US"/>
        </w:rPr>
        <w:t>L'article 28 s'inscrit dans le Titre II — Droits, Libertés et Garanties Fondamentaux — et se trouve complété par l'article 24 (droit à la vie et à l'intégrité personnelle), l'article 27 (interdiction des peines cruelles) et l'article 29 (inviolabilité de la liberté). La conjugaison de ces dispositions confère à l'ordre juridique national une protection robuste contre la torture, en harmonie avec le droit international des droits de l'homme. La jurisprudence constitutionnelle cap-verdienne, bien qu'encore embryonnaire en la matière, reconnaît le caractère auto-exécutoire et contraignant des normes de droits fondamentaux. Ainsi, l'interdiction de la torture ne dépend pas d'une réglementation supplémentaire pour être exigible.</w:t>
      </w:r>
    </w:p>
    <w:p w14:paraId="43A71407" w14:textId="77777777" w:rsidR="00AE1198" w:rsidRPr="005931E5" w:rsidRDefault="00AE1198">
      <w:pPr>
        <w:pBdr>
          <w:top w:val="single" w:sz="3" w:space="4" w:color="BBBBBB"/>
        </w:pBdr>
        <w:spacing w:before="320" w:after="100"/>
        <w:rPr>
          <w:lang w:val="en-US"/>
        </w:rPr>
      </w:pPr>
    </w:p>
    <w:p w14:paraId="7BB83ACA" w14:textId="77777777" w:rsidR="00AE1198" w:rsidRDefault="00000000">
      <w:pPr>
        <w:spacing w:after="100" w:line="270" w:lineRule="auto"/>
        <w:jc w:val="both"/>
      </w:pPr>
      <w:r>
        <w:rPr>
          <w:b/>
          <w:bCs/>
          <w:sz w:val="18"/>
          <w:szCs w:val="18"/>
          <w:vertAlign w:val="superscript"/>
        </w:rPr>
        <w:t xml:space="preserve">9 </w:t>
      </w:r>
      <w:r>
        <w:rPr>
          <w:sz w:val="18"/>
          <w:szCs w:val="18"/>
        </w:rPr>
        <w:t>Constitution de la République du Cap-Vert, 2010, arts. 24–29.</w:t>
      </w:r>
    </w:p>
    <w:p w14:paraId="65B446F3" w14:textId="77777777" w:rsidR="00AE1198" w:rsidRDefault="00000000">
      <w:pPr>
        <w:spacing w:after="100" w:line="270" w:lineRule="auto"/>
        <w:jc w:val="both"/>
      </w:pPr>
      <w:r>
        <w:rPr>
          <w:b/>
          <w:bCs/>
          <w:sz w:val="18"/>
          <w:szCs w:val="18"/>
          <w:vertAlign w:val="superscript"/>
        </w:rPr>
        <w:t xml:space="preserve">10 </w:t>
      </w:r>
      <w:r>
        <w:rPr>
          <w:sz w:val="18"/>
          <w:szCs w:val="18"/>
        </w:rPr>
        <w:t>Acórdão du Tribunal Constitucional n° 3/2018, du 12 juillet 2018.</w:t>
      </w:r>
    </w:p>
    <w:p w14:paraId="5012C3F3" w14:textId="77777777" w:rsidR="00AE1198" w:rsidRDefault="00AE1198"/>
    <w:p w14:paraId="7AF41BCA" w14:textId="77777777" w:rsidR="00AE1198" w:rsidRDefault="00000000">
      <w:pPr>
        <w:pStyle w:val="Ttulo2"/>
      </w:pPr>
      <w:r>
        <w:t>B. Le Code pénal et l'incrimination de la torture</w:t>
      </w:r>
    </w:p>
    <w:p w14:paraId="01DAFE69" w14:textId="77777777" w:rsidR="00AE1198" w:rsidRDefault="00000000">
      <w:pPr>
        <w:spacing w:after="200" w:line="360" w:lineRule="auto"/>
        <w:jc w:val="both"/>
      </w:pPr>
      <w:r>
        <w:t>Le Code pénal du Cap-Vert, approuvé par le Décret-loi n° 4/2003 du 18 novembre, consacre en son article 162 le crime de torture. La norme définit le crime comme le comportement de quiconque, dans l'intention d'obtenir des aveux, des informations ou à titre de châtiment, inflige une douleur ou une souffrance physique ou mentale à autrui. La peine est aggravée lorsque l'auteur est un fonctionnaire public, un militaire ou agit sur ordres supérieurs. Cette incrimination est conforme à l'article premier de la Convention des Nations Unies contre la Torture (1984), qui définit le même concept et impose aux États le devoir de criminaliser, d'enquêter et de punir de tels actes.</w:t>
      </w:r>
    </w:p>
    <w:p w14:paraId="495EB685" w14:textId="77777777" w:rsidR="00AE1198" w:rsidRDefault="00000000">
      <w:pPr>
        <w:spacing w:after="200" w:line="360" w:lineRule="auto"/>
        <w:jc w:val="both"/>
      </w:pPr>
      <w:r>
        <w:lastRenderedPageBreak/>
        <w:t>Des critiques doctrinales ont toutefois été formulées quant à l'absence de mécanismes procéduraux rapides et à la fragilité des enquêtes pénales dans les affaires impliquant des agents publics.</w:t>
      </w:r>
    </w:p>
    <w:p w14:paraId="518CE4E2" w14:textId="77777777" w:rsidR="00AE1198" w:rsidRDefault="00AE1198">
      <w:pPr>
        <w:pBdr>
          <w:top w:val="single" w:sz="3" w:space="4" w:color="BBBBBB"/>
        </w:pBdr>
        <w:spacing w:before="320" w:after="100"/>
      </w:pPr>
    </w:p>
    <w:p w14:paraId="25359768" w14:textId="77777777" w:rsidR="00AE1198" w:rsidRDefault="00000000">
      <w:pPr>
        <w:spacing w:after="100" w:line="270" w:lineRule="auto"/>
        <w:jc w:val="both"/>
      </w:pPr>
      <w:r>
        <w:rPr>
          <w:b/>
          <w:bCs/>
          <w:sz w:val="18"/>
          <w:szCs w:val="18"/>
          <w:vertAlign w:val="superscript"/>
        </w:rPr>
        <w:t xml:space="preserve">11 </w:t>
      </w:r>
      <w:r>
        <w:rPr>
          <w:sz w:val="18"/>
          <w:szCs w:val="18"/>
        </w:rPr>
        <w:t>Code pénal du Cap-Vert, Décret-loi n° 4/2003 du 18 novembre, art. 162.</w:t>
      </w:r>
    </w:p>
    <w:p w14:paraId="13FE3A70" w14:textId="77777777" w:rsidR="00AE1198" w:rsidRPr="005931E5" w:rsidRDefault="00000000">
      <w:pPr>
        <w:spacing w:after="100" w:line="270" w:lineRule="auto"/>
        <w:jc w:val="both"/>
        <w:rPr>
          <w:lang w:val="en-US"/>
        </w:rPr>
      </w:pPr>
      <w:r w:rsidRPr="005931E5">
        <w:rPr>
          <w:b/>
          <w:bCs/>
          <w:sz w:val="18"/>
          <w:szCs w:val="18"/>
          <w:vertAlign w:val="superscript"/>
          <w:lang w:val="en-US"/>
        </w:rPr>
        <w:t xml:space="preserve">12 </w:t>
      </w:r>
      <w:r w:rsidRPr="005931E5">
        <w:rPr>
          <w:sz w:val="18"/>
          <w:szCs w:val="18"/>
          <w:lang w:val="en-US"/>
        </w:rPr>
        <w:t>Convention contre la Torture, ONU, 1984, art. 1.</w:t>
      </w:r>
    </w:p>
    <w:p w14:paraId="1B14A35F" w14:textId="77777777" w:rsidR="00AE1198" w:rsidRPr="005931E5" w:rsidRDefault="00000000">
      <w:pPr>
        <w:spacing w:after="100" w:line="270" w:lineRule="auto"/>
        <w:jc w:val="both"/>
        <w:rPr>
          <w:lang w:val="en-US"/>
        </w:rPr>
      </w:pPr>
      <w:r w:rsidRPr="005931E5">
        <w:rPr>
          <w:b/>
          <w:bCs/>
          <w:sz w:val="18"/>
          <w:szCs w:val="18"/>
          <w:vertAlign w:val="superscript"/>
          <w:lang w:val="en-US"/>
        </w:rPr>
        <w:t xml:space="preserve">13 </w:t>
      </w:r>
      <w:r w:rsidRPr="005931E5">
        <w:rPr>
          <w:sz w:val="18"/>
          <w:szCs w:val="18"/>
          <w:lang w:val="en-US"/>
        </w:rPr>
        <w:t>Amnesty International — Cap-Vert : Droits de l'Homme et Justice Pénale (2019).</w:t>
      </w:r>
    </w:p>
    <w:p w14:paraId="01CC2E56" w14:textId="77777777" w:rsidR="00AE1198" w:rsidRPr="005931E5" w:rsidRDefault="00AE1198">
      <w:pPr>
        <w:rPr>
          <w:lang w:val="en-US"/>
        </w:rPr>
      </w:pPr>
    </w:p>
    <w:p w14:paraId="111A3CE9" w14:textId="77777777" w:rsidR="00AE1198" w:rsidRPr="005931E5" w:rsidRDefault="00000000">
      <w:pPr>
        <w:pStyle w:val="Ttulo2"/>
        <w:rPr>
          <w:lang w:val="en-US"/>
        </w:rPr>
      </w:pPr>
      <w:r w:rsidRPr="005931E5">
        <w:rPr>
          <w:lang w:val="en-US"/>
        </w:rPr>
        <w:t>C. Le cadre international et les obligations conventionnelles</w:t>
      </w:r>
    </w:p>
    <w:p w14:paraId="369F7BCE" w14:textId="77777777" w:rsidR="00AE1198" w:rsidRDefault="00000000">
      <w:pPr>
        <w:spacing w:after="200" w:line="360" w:lineRule="auto"/>
        <w:jc w:val="both"/>
      </w:pPr>
      <w:r w:rsidRPr="005931E5">
        <w:rPr>
          <w:lang w:val="en-US"/>
        </w:rPr>
        <w:t xml:space="preserve">Le Cap-Vert est partie à plusieurs instruments internationaux de protection des droits de l'homme. Le plus important est la Convention contre la Torture et autres Peines ou Traitements Cruels, Inhumains ou Dégradants (CAT), adoptée par l'Assemblée Générale des Nations Unies en 1984 et ratifiée par le Cap-Vert en 1992. </w:t>
      </w:r>
      <w:r>
        <w:t>Le pays a également adhéré au Protocole Facultatif à la Convention contre la Torture (OPCAT) en 2016, s'engageant à créer un Mécanisme National de Prévention de la Torture (MNPT), conformément à l'article 3 du Protocole.</w:t>
      </w:r>
    </w:p>
    <w:p w14:paraId="1F5D716B" w14:textId="77777777" w:rsidR="00AE1198" w:rsidRDefault="00000000">
      <w:pPr>
        <w:spacing w:after="200" w:line="360" w:lineRule="auto"/>
        <w:jc w:val="both"/>
      </w:pPr>
      <w:r>
        <w:t>Parmi les autres instruments ratifiés figurent : le Pacte International relatif aux Droits Civils et Politiques (PIDCP), de 1966 (ratifié en 1993) ; la Charte Africaine des Droits de l'Homme et des Peuples, de 1981 (ratifiée en 1987) ; et la Déclaration Universelle des Droits de l'Homme (DUDH) de 1948, d'application interprétative et complémentaire.</w:t>
      </w:r>
    </w:p>
    <w:p w14:paraId="5ED4D8B5" w14:textId="77777777" w:rsidR="00AE1198" w:rsidRDefault="00000000">
      <w:pPr>
        <w:spacing w:after="200" w:line="360" w:lineRule="auto"/>
        <w:jc w:val="both"/>
      </w:pPr>
      <w:r>
        <w:t>Aux termes de l'article 12 de la Constitution, les conventions internationales ratifiées font partie intégrante de l'ordre juridique cap-verdien et prévalent sur la loi ordinaire. L'interdiction de la torture acquiert ainsi une valeur supralégale, obligeant l'État à harmoniser ses politiques, ses lois et ses pratiques administratives.</w:t>
      </w:r>
    </w:p>
    <w:p w14:paraId="268A727E" w14:textId="77777777" w:rsidR="00AE1198" w:rsidRDefault="00AE1198">
      <w:pPr>
        <w:pBdr>
          <w:top w:val="single" w:sz="3" w:space="4" w:color="BBBBBB"/>
        </w:pBdr>
        <w:spacing w:before="320" w:after="100"/>
      </w:pPr>
    </w:p>
    <w:p w14:paraId="28572457" w14:textId="77777777" w:rsidR="00AE1198" w:rsidRDefault="00000000">
      <w:pPr>
        <w:spacing w:after="100" w:line="270" w:lineRule="auto"/>
        <w:jc w:val="both"/>
      </w:pPr>
      <w:r>
        <w:rPr>
          <w:b/>
          <w:bCs/>
          <w:sz w:val="18"/>
          <w:szCs w:val="18"/>
          <w:vertAlign w:val="superscript"/>
        </w:rPr>
        <w:t xml:space="preserve">14 </w:t>
      </w:r>
      <w:r>
        <w:rPr>
          <w:sz w:val="18"/>
          <w:szCs w:val="18"/>
        </w:rPr>
        <w:t>Convention contre la Torture, ONU, 1984 ; ratification : Boletim Oficial n° 10/1992.</w:t>
      </w:r>
    </w:p>
    <w:p w14:paraId="3219EBE8" w14:textId="77777777" w:rsidR="00AE1198" w:rsidRDefault="00000000">
      <w:pPr>
        <w:spacing w:after="100" w:line="270" w:lineRule="auto"/>
        <w:jc w:val="both"/>
      </w:pPr>
      <w:r>
        <w:rPr>
          <w:b/>
          <w:bCs/>
          <w:sz w:val="18"/>
          <w:szCs w:val="18"/>
          <w:vertAlign w:val="superscript"/>
        </w:rPr>
        <w:t xml:space="preserve">15 </w:t>
      </w:r>
      <w:r>
        <w:rPr>
          <w:sz w:val="18"/>
          <w:szCs w:val="18"/>
        </w:rPr>
        <w:t>Constitution de la République du Cap-Vert, art. 12, § 4.</w:t>
      </w:r>
    </w:p>
    <w:p w14:paraId="277BF601" w14:textId="77777777" w:rsidR="00AE1198" w:rsidRDefault="00AE1198"/>
    <w:p w14:paraId="59994C38" w14:textId="77777777" w:rsidR="00AE1198" w:rsidRDefault="00000000">
      <w:pPr>
        <w:pStyle w:val="Ttulo2"/>
      </w:pPr>
      <w:r>
        <w:t>D. La Commission Nationale pour les Droits de l'Homme et la Citoyenneté (CNDHC)</w:t>
      </w:r>
    </w:p>
    <w:p w14:paraId="690DE199" w14:textId="77777777" w:rsidR="00AE1198" w:rsidRPr="005931E5" w:rsidRDefault="00000000">
      <w:pPr>
        <w:spacing w:after="200" w:line="360" w:lineRule="auto"/>
        <w:jc w:val="both"/>
        <w:rPr>
          <w:lang w:val="en-US"/>
        </w:rPr>
      </w:pPr>
      <w:r>
        <w:lastRenderedPageBreak/>
        <w:t xml:space="preserve">En application de l'OPCAT, le Cap-Vert a créé en 2018 la Commission Nationale pour les Droits de l'Homme et la Citoyenneté (CNDHC), habilitée à exercer les fonctions de Mécanisme National de Prévention de la Torture. </w:t>
      </w:r>
      <w:r w:rsidRPr="005931E5">
        <w:rPr>
          <w:lang w:val="en-US"/>
        </w:rPr>
        <w:t>Ses attributions principales comprennent : les visites des lieux de détention, l'élaboration de rapports, la formulation de recommandations et la sensibilisation des agents publics. Des rapports internationaux soulignent cependant des limitations significatives, notamment la pénurie de ressources humaines, le manque d'autonomie financière et la diffusion insuffisante des rapports annuels.</w:t>
      </w:r>
    </w:p>
    <w:p w14:paraId="5494A1F1" w14:textId="77777777" w:rsidR="00AE1198" w:rsidRPr="005931E5" w:rsidRDefault="00AE1198">
      <w:pPr>
        <w:pBdr>
          <w:top w:val="single" w:sz="3" w:space="4" w:color="BBBBBB"/>
        </w:pBdr>
        <w:spacing w:before="320" w:after="100"/>
        <w:rPr>
          <w:lang w:val="en-US"/>
        </w:rPr>
      </w:pPr>
    </w:p>
    <w:p w14:paraId="651581F3" w14:textId="77777777" w:rsidR="00AE1198" w:rsidRPr="005931E5" w:rsidRDefault="00000000">
      <w:pPr>
        <w:spacing w:after="100" w:line="270" w:lineRule="auto"/>
        <w:jc w:val="both"/>
        <w:rPr>
          <w:lang w:val="en-US"/>
        </w:rPr>
      </w:pPr>
      <w:r w:rsidRPr="005931E5">
        <w:rPr>
          <w:b/>
          <w:bCs/>
          <w:sz w:val="18"/>
          <w:szCs w:val="18"/>
          <w:vertAlign w:val="superscript"/>
          <w:lang w:val="en-US"/>
        </w:rPr>
        <w:t xml:space="preserve">16 </w:t>
      </w:r>
      <w:r w:rsidRPr="005931E5">
        <w:rPr>
          <w:sz w:val="18"/>
          <w:szCs w:val="18"/>
          <w:lang w:val="en-US"/>
        </w:rPr>
        <w:t>Décret-loi n° 38/2018 du 22 juin, portant création de la CNDHC.</w:t>
      </w:r>
    </w:p>
    <w:p w14:paraId="05273A99" w14:textId="77777777" w:rsidR="00AE1198" w:rsidRPr="005931E5" w:rsidRDefault="00000000">
      <w:pPr>
        <w:spacing w:after="100" w:line="270" w:lineRule="auto"/>
        <w:jc w:val="both"/>
        <w:rPr>
          <w:lang w:val="en-US"/>
        </w:rPr>
      </w:pPr>
      <w:r w:rsidRPr="005931E5">
        <w:rPr>
          <w:b/>
          <w:bCs/>
          <w:sz w:val="18"/>
          <w:szCs w:val="18"/>
          <w:vertAlign w:val="superscript"/>
          <w:lang w:val="en-US"/>
        </w:rPr>
        <w:t xml:space="preserve">17 </w:t>
      </w:r>
      <w:r w:rsidRPr="005931E5">
        <w:rPr>
          <w:sz w:val="18"/>
          <w:szCs w:val="18"/>
          <w:lang w:val="en-US"/>
        </w:rPr>
        <w:t>Rapport du Sous-Comité des Nations Unies pour la Prévention de la Torture — Cap-Vert, 2020.</w:t>
      </w:r>
    </w:p>
    <w:p w14:paraId="4CFFA199" w14:textId="77777777" w:rsidR="00AE1198" w:rsidRPr="005931E5" w:rsidRDefault="00AE1198">
      <w:pPr>
        <w:rPr>
          <w:lang w:val="en-US"/>
        </w:rPr>
      </w:pPr>
    </w:p>
    <w:p w14:paraId="05E75642" w14:textId="77777777" w:rsidR="00AE1198" w:rsidRPr="005931E5" w:rsidRDefault="00AE1198">
      <w:pPr>
        <w:rPr>
          <w:lang w:val="en-US"/>
        </w:rPr>
      </w:pPr>
    </w:p>
    <w:p w14:paraId="16E4D621" w14:textId="77777777" w:rsidR="00AE1198" w:rsidRDefault="00000000">
      <w:pPr>
        <w:pStyle w:val="Ttulo1"/>
      </w:pPr>
      <w:r>
        <w:rPr>
          <w:caps/>
        </w:rPr>
        <w:t>III. — La Loi de réparation financière de 2019 (Loi n° 67/IX/2019) : jalon juridique et moral</w:t>
      </w:r>
    </w:p>
    <w:p w14:paraId="63F773A6" w14:textId="77777777" w:rsidR="00AE1198" w:rsidRDefault="00000000">
      <w:pPr>
        <w:pStyle w:val="Ttulo2"/>
      </w:pPr>
      <w:r>
        <w:t>A. Contexte et finalité de la loi</w:t>
      </w:r>
    </w:p>
    <w:p w14:paraId="271C81F8" w14:textId="77777777" w:rsidR="00AE1198" w:rsidRDefault="00000000">
      <w:pPr>
        <w:spacing w:after="200" w:line="360" w:lineRule="auto"/>
        <w:jc w:val="both"/>
      </w:pPr>
      <w:r>
        <w:t>La promulgation de la Loi n° 67/IX/2019, publiée au Boletim Oficial n° 94, I Série, du 6 septembre 2019, a constitué un jalon juridique et moral dans l'histoire démocratique du Cap-Vert. Le texte reconnaît officiellement les victimes de torture et de mauvais traitements commis dans les îles de São Vicente (1977) et de Santo Antão (1981), épisodes qui ont marqué la phase de plus grande répression politique du régime de parti unique. L'objectif central de la loi est de réparer financièrement et symboliquement les victimes directes et leurs héritiers, en leur garantissant une pension mensuelle viagère de 75 000 escudos cap-verdiens, soit environ 678 euros à la date de son adoption.</w:t>
      </w:r>
    </w:p>
    <w:p w14:paraId="0BB2D8B2" w14:textId="77777777" w:rsidR="00AE1198" w:rsidRDefault="00000000">
      <w:pPr>
        <w:spacing w:after="200" w:line="360" w:lineRule="auto"/>
        <w:jc w:val="both"/>
      </w:pPr>
      <w:r>
        <w:t xml:space="preserve">Plus qu'un simple avantage pécuniaire, il s'agit d'une déclaration publique de reconnaissance de la souffrance, d'un geste de réconciliation et d'une tentative de restaurer la confiance entre l'État et les citoyens. Le préambule du texte souligne que « la présente loi vise à corriger une injustice historique et à renforcer la culture des droits de l'homme et de la réconciliation nationale ». Cette formulation confère au texte une nature hybride </w:t>
      </w:r>
      <w:r>
        <w:lastRenderedPageBreak/>
        <w:t>— à la fois compensatoire et symbolique, combinant des éléments de justice administrative, morale et historique.</w:t>
      </w:r>
    </w:p>
    <w:p w14:paraId="672FD0B8" w14:textId="77777777" w:rsidR="00AE1198" w:rsidRDefault="00AE1198">
      <w:pPr>
        <w:pBdr>
          <w:top w:val="single" w:sz="3" w:space="4" w:color="BBBBBB"/>
        </w:pBdr>
        <w:spacing w:before="320" w:after="100"/>
      </w:pPr>
    </w:p>
    <w:p w14:paraId="30671B8E" w14:textId="77777777" w:rsidR="00AE1198" w:rsidRDefault="00000000">
      <w:pPr>
        <w:spacing w:after="100" w:line="270" w:lineRule="auto"/>
        <w:jc w:val="both"/>
      </w:pPr>
      <w:r>
        <w:rPr>
          <w:b/>
          <w:bCs/>
          <w:sz w:val="18"/>
          <w:szCs w:val="18"/>
          <w:vertAlign w:val="superscript"/>
        </w:rPr>
        <w:t xml:space="preserve">18 </w:t>
      </w:r>
      <w:r>
        <w:rPr>
          <w:sz w:val="18"/>
          <w:szCs w:val="18"/>
        </w:rPr>
        <w:t>Loi n° 67/IX/2019, Boletim Oficial n° 94, I Série, 6 septembre 2019.</w:t>
      </w:r>
    </w:p>
    <w:p w14:paraId="7E98E1F6" w14:textId="77777777" w:rsidR="00AE1198" w:rsidRPr="005931E5" w:rsidRDefault="00000000">
      <w:pPr>
        <w:spacing w:after="100" w:line="270" w:lineRule="auto"/>
        <w:jc w:val="both"/>
        <w:rPr>
          <w:lang w:val="en-US"/>
        </w:rPr>
      </w:pPr>
      <w:r w:rsidRPr="005931E5">
        <w:rPr>
          <w:b/>
          <w:bCs/>
          <w:sz w:val="18"/>
          <w:szCs w:val="18"/>
          <w:vertAlign w:val="superscript"/>
          <w:lang w:val="en-US"/>
        </w:rPr>
        <w:t xml:space="preserve">19 </w:t>
      </w:r>
      <w:r w:rsidRPr="005931E5">
        <w:rPr>
          <w:sz w:val="18"/>
          <w:szCs w:val="18"/>
          <w:lang w:val="en-US"/>
        </w:rPr>
        <w:t>Ibid., art. 2.</w:t>
      </w:r>
    </w:p>
    <w:p w14:paraId="4A21903B" w14:textId="77777777" w:rsidR="00AE1198" w:rsidRPr="005931E5" w:rsidRDefault="00000000">
      <w:pPr>
        <w:spacing w:after="100" w:line="270" w:lineRule="auto"/>
        <w:jc w:val="both"/>
        <w:rPr>
          <w:lang w:val="en-US"/>
        </w:rPr>
      </w:pPr>
      <w:r w:rsidRPr="005931E5">
        <w:rPr>
          <w:b/>
          <w:bCs/>
          <w:sz w:val="18"/>
          <w:szCs w:val="18"/>
          <w:vertAlign w:val="superscript"/>
          <w:lang w:val="en-US"/>
        </w:rPr>
        <w:t xml:space="preserve">20 </w:t>
      </w:r>
      <w:r w:rsidRPr="005931E5">
        <w:rPr>
          <w:sz w:val="18"/>
          <w:szCs w:val="18"/>
          <w:lang w:val="en-US"/>
        </w:rPr>
        <w:t>Ibid., préambule.</w:t>
      </w:r>
    </w:p>
    <w:p w14:paraId="04A6F6A3" w14:textId="77777777" w:rsidR="00AE1198" w:rsidRPr="005931E5" w:rsidRDefault="00AE1198">
      <w:pPr>
        <w:rPr>
          <w:lang w:val="en-US"/>
        </w:rPr>
      </w:pPr>
    </w:p>
    <w:p w14:paraId="14507E78" w14:textId="77777777" w:rsidR="00AE1198" w:rsidRPr="005931E5" w:rsidRDefault="00000000">
      <w:pPr>
        <w:pStyle w:val="Ttulo2"/>
        <w:rPr>
          <w:lang w:val="en-US"/>
        </w:rPr>
      </w:pPr>
      <w:r w:rsidRPr="005931E5">
        <w:rPr>
          <w:lang w:val="en-US"/>
        </w:rPr>
        <w:t>B. Structure et contenu normatif</w:t>
      </w:r>
    </w:p>
    <w:p w14:paraId="6F107E5C" w14:textId="77777777" w:rsidR="00AE1198" w:rsidRDefault="00000000">
      <w:pPr>
        <w:spacing w:after="200" w:line="360" w:lineRule="auto"/>
        <w:jc w:val="both"/>
      </w:pPr>
      <w:r w:rsidRPr="005931E5">
        <w:rPr>
          <w:lang w:val="en-US"/>
        </w:rPr>
        <w:t xml:space="preserve">La Loi n° 67/IX/2019 est composée de huit articles, articulés autour de trois axes fondamentaux : (i) reconnaissance et champ d'application en faveur des victimes ; (ii) modalités et conditions de la réparation ; (iii) procédures administratives d'attribution et d'exécution. </w:t>
      </w:r>
      <w:r>
        <w:t>L'article premier définit l'objet de la loi, désignant comme bénéficiaires « les citoyens ayant subi la torture, des mauvais traitements ou d'autres formes de privation illégale de liberté lors des événements de São Vicente (1977) et de Santo Antão (1981) ». L'article 2 fixe la valeur de la pension mensuelle viagère et sa transmissibilité aux héritiers légaux. L'article 5 autorise la revalorisation périodique du montant de la pension en fonction de l'indice des prix à la consommation.</w:t>
      </w:r>
    </w:p>
    <w:p w14:paraId="66CC752C" w14:textId="77777777" w:rsidR="00AE1198" w:rsidRDefault="00000000">
      <w:pPr>
        <w:spacing w:after="100" w:line="270" w:lineRule="auto"/>
        <w:jc w:val="both"/>
      </w:pPr>
      <w:r>
        <w:rPr>
          <w:b/>
          <w:bCs/>
          <w:sz w:val="18"/>
          <w:szCs w:val="18"/>
          <w:vertAlign w:val="superscript"/>
        </w:rPr>
        <w:t xml:space="preserve">21 </w:t>
      </w:r>
      <w:r>
        <w:rPr>
          <w:sz w:val="18"/>
          <w:szCs w:val="18"/>
        </w:rPr>
        <w:t>Ibid., art. 1.</w:t>
      </w:r>
    </w:p>
    <w:p w14:paraId="4CB80C99" w14:textId="77777777" w:rsidR="00AE1198" w:rsidRDefault="00AE1198"/>
    <w:p w14:paraId="4BC82DD6" w14:textId="77777777" w:rsidR="00AE1198" w:rsidRDefault="00000000">
      <w:pPr>
        <w:pStyle w:val="Ttulo2"/>
      </w:pPr>
      <w:r>
        <w:t>C. Débat parlementaire et nature juridique de la réparation</w:t>
      </w:r>
    </w:p>
    <w:p w14:paraId="599345EE" w14:textId="77777777" w:rsidR="00AE1198" w:rsidRPr="005931E5" w:rsidRDefault="00000000">
      <w:pPr>
        <w:spacing w:after="200" w:line="360" w:lineRule="auto"/>
        <w:jc w:val="both"/>
        <w:rPr>
          <w:lang w:val="en-US"/>
        </w:rPr>
      </w:pPr>
      <w:r>
        <w:t xml:space="preserve">Lors du débat parlementaire, des divergences significatives sont apparues quant à l'étendue temporelle et territoriale de la réparation. Certains députés ont proposé d'étendre le bénéfice à toutes les victimes de persécutions politiques entre 1975 et 1990, faisant valoir que limiter la réparation à deux seuls épisodes spécifiques pourrait renforcer des inégalités de traitement. D'autres parlementaires ont soutenu que la loi devait rester restreinte, sous peine d'ouvrir des précédents difficilement gérables sur le plan budgétaire. </w:t>
      </w:r>
      <w:r w:rsidRPr="005931E5">
        <w:rPr>
          <w:lang w:val="en-US"/>
        </w:rPr>
        <w:t>La proposition finale a reflété une solution de compromis, optant pour un champ d'application restreint mais juridiquement sûr.</w:t>
      </w:r>
    </w:p>
    <w:p w14:paraId="01EE977A" w14:textId="77777777" w:rsidR="00AE1198" w:rsidRDefault="00000000">
      <w:pPr>
        <w:spacing w:after="200" w:line="360" w:lineRule="auto"/>
        <w:jc w:val="both"/>
      </w:pPr>
      <w:r w:rsidRPr="005931E5">
        <w:rPr>
          <w:lang w:val="en-US"/>
        </w:rPr>
        <w:t xml:space="preserve">Du point de vue technique, la Loi n° 67/IX/2019 configure une réparation administrative à caractère indemnitaire et moral, fondée sur la responsabilité objective de l'État pour les </w:t>
      </w:r>
      <w:r w:rsidRPr="005931E5">
        <w:rPr>
          <w:lang w:val="en-US"/>
        </w:rPr>
        <w:lastRenderedPageBreak/>
        <w:t xml:space="preserve">actes accomplis dans l'exercice de ses fonctions souveraines. </w:t>
      </w:r>
      <w:r>
        <w:t>Le fondement juridique trouve appui à l'article 25 de la Constitution, qui consacre le droit de tous à réparation pour les dommages causés par des actes illicites de l'administration publique. La doctrine distingue entre réparation financière (axée sur le rétablissement matériel) et réparation morale (de nature symbolique et reconstructive). Le Cap-Vert a opté pour une voie intermédiaire : reconnaître l'injustice historique et accorder une compensation, sans instituer pour autant un mécanisme judiciaire ou de vérité formelle.</w:t>
      </w:r>
    </w:p>
    <w:p w14:paraId="3935D8E5" w14:textId="77777777" w:rsidR="00AE1198" w:rsidRDefault="00AE1198">
      <w:pPr>
        <w:pBdr>
          <w:top w:val="single" w:sz="3" w:space="4" w:color="BBBBBB"/>
        </w:pBdr>
        <w:spacing w:before="320" w:after="100"/>
      </w:pPr>
    </w:p>
    <w:p w14:paraId="61CE9E29" w14:textId="77777777" w:rsidR="00AE1198" w:rsidRPr="005931E5" w:rsidRDefault="00000000">
      <w:pPr>
        <w:spacing w:after="100" w:line="270" w:lineRule="auto"/>
        <w:jc w:val="both"/>
        <w:rPr>
          <w:lang w:val="en-US"/>
        </w:rPr>
      </w:pPr>
      <w:r w:rsidRPr="005931E5">
        <w:rPr>
          <w:b/>
          <w:bCs/>
          <w:sz w:val="18"/>
          <w:szCs w:val="18"/>
          <w:vertAlign w:val="superscript"/>
          <w:lang w:val="en-US"/>
        </w:rPr>
        <w:t xml:space="preserve">22 </w:t>
      </w:r>
      <w:r w:rsidRPr="005931E5">
        <w:rPr>
          <w:sz w:val="18"/>
          <w:szCs w:val="18"/>
          <w:lang w:val="en-US"/>
        </w:rPr>
        <w:t>Constitution de la République du Cap-Vert, art. 25.</w:t>
      </w:r>
    </w:p>
    <w:p w14:paraId="4E967AFD" w14:textId="77777777" w:rsidR="00AE1198" w:rsidRPr="005931E5" w:rsidRDefault="00000000">
      <w:pPr>
        <w:spacing w:after="100" w:line="270" w:lineRule="auto"/>
        <w:jc w:val="both"/>
        <w:rPr>
          <w:lang w:val="en-US"/>
        </w:rPr>
      </w:pPr>
      <w:r w:rsidRPr="005931E5">
        <w:rPr>
          <w:b/>
          <w:bCs/>
          <w:sz w:val="18"/>
          <w:szCs w:val="18"/>
          <w:vertAlign w:val="superscript"/>
          <w:lang w:val="en-US"/>
        </w:rPr>
        <w:t xml:space="preserve">23 </w:t>
      </w:r>
      <w:r w:rsidRPr="005931E5">
        <w:rPr>
          <w:sz w:val="18"/>
          <w:szCs w:val="18"/>
          <w:lang w:val="en-US"/>
        </w:rPr>
        <w:t>DE GREIFF, Pablo. The Handbook of Reparations. Oxford : Oxford University Press, 2006.</w:t>
      </w:r>
    </w:p>
    <w:p w14:paraId="7DF90B8E" w14:textId="77777777" w:rsidR="00AE1198" w:rsidRPr="005931E5" w:rsidRDefault="00AE1198">
      <w:pPr>
        <w:rPr>
          <w:lang w:val="en-US"/>
        </w:rPr>
      </w:pPr>
    </w:p>
    <w:p w14:paraId="563D4A02" w14:textId="77777777" w:rsidR="00AE1198" w:rsidRPr="005931E5" w:rsidRDefault="00000000">
      <w:pPr>
        <w:pStyle w:val="Ttulo2"/>
        <w:rPr>
          <w:lang w:val="en-US"/>
        </w:rPr>
      </w:pPr>
      <w:r w:rsidRPr="005931E5">
        <w:rPr>
          <w:lang w:val="en-US"/>
        </w:rPr>
        <w:t>D. Limites et défis de mise en œuvre</w:t>
      </w:r>
    </w:p>
    <w:p w14:paraId="084D1FA6" w14:textId="77777777" w:rsidR="00AE1198" w:rsidRDefault="00000000">
      <w:pPr>
        <w:spacing w:after="200" w:line="360" w:lineRule="auto"/>
        <w:jc w:val="both"/>
      </w:pPr>
      <w:r w:rsidRPr="005931E5">
        <w:rPr>
          <w:lang w:val="en-US"/>
        </w:rPr>
        <w:t xml:space="preserve">La mise en œuvre de la Loi n° 67/IX/2019 s'est heurtée à des contraintes administratives, notamment dans la collecte des preuves et l'identification des victimes. Nombre des événements se sont produits il y a plus de quatre décennies, et l'absence de registres officiels, ainsi que le décès de témoins, compliquent l'instruction des dossiers. </w:t>
      </w:r>
      <w:r>
        <w:t>Des organisations de la société civile plaident pour la création d'un Registre National des Victimes de Torture, servant à la fois à des fins administratives et à la mémoire historique. Par ailleurs, la dimension pédagogique de la loi — son potentiel de promouvoir la réflexion et la non-répétition — n'a pas encore été pleinement exploitée.</w:t>
      </w:r>
    </w:p>
    <w:p w14:paraId="11C3CC85" w14:textId="77777777" w:rsidR="00AE1198" w:rsidRDefault="00AE1198">
      <w:pPr>
        <w:pBdr>
          <w:top w:val="single" w:sz="3" w:space="4" w:color="BBBBBB"/>
        </w:pBdr>
        <w:spacing w:before="320" w:after="100"/>
      </w:pPr>
    </w:p>
    <w:p w14:paraId="1F89BA0C" w14:textId="77777777" w:rsidR="00AE1198" w:rsidRPr="005931E5" w:rsidRDefault="00000000">
      <w:pPr>
        <w:spacing w:after="100" w:line="270" w:lineRule="auto"/>
        <w:jc w:val="both"/>
        <w:rPr>
          <w:lang w:val="en-US"/>
        </w:rPr>
      </w:pPr>
      <w:r w:rsidRPr="005931E5">
        <w:rPr>
          <w:b/>
          <w:bCs/>
          <w:sz w:val="18"/>
          <w:szCs w:val="18"/>
          <w:vertAlign w:val="superscript"/>
          <w:lang w:val="en-US"/>
        </w:rPr>
        <w:t xml:space="preserve">24 </w:t>
      </w:r>
      <w:r w:rsidRPr="005931E5">
        <w:rPr>
          <w:sz w:val="18"/>
          <w:szCs w:val="18"/>
          <w:lang w:val="en-US"/>
        </w:rPr>
        <w:t>CNDHC — Rapport Annuel sur les Droits de l'Homme 2021, Praia, 2022.</w:t>
      </w:r>
    </w:p>
    <w:p w14:paraId="01B32CE3" w14:textId="77777777" w:rsidR="00AE1198" w:rsidRPr="005931E5" w:rsidRDefault="00000000">
      <w:pPr>
        <w:spacing w:after="100" w:line="270" w:lineRule="auto"/>
        <w:jc w:val="both"/>
        <w:rPr>
          <w:lang w:val="en-US"/>
        </w:rPr>
      </w:pPr>
      <w:r w:rsidRPr="005931E5">
        <w:rPr>
          <w:b/>
          <w:bCs/>
          <w:sz w:val="18"/>
          <w:szCs w:val="18"/>
          <w:vertAlign w:val="superscript"/>
          <w:lang w:val="en-US"/>
        </w:rPr>
        <w:t xml:space="preserve">25 </w:t>
      </w:r>
      <w:r w:rsidRPr="005931E5">
        <w:rPr>
          <w:sz w:val="18"/>
          <w:szCs w:val="18"/>
          <w:lang w:val="en-US"/>
        </w:rPr>
        <w:t>Association des Victimes des Événements de Santo Antão, Communiqué Public, 2021.</w:t>
      </w:r>
    </w:p>
    <w:p w14:paraId="51CDC1BA" w14:textId="77777777" w:rsidR="00AE1198" w:rsidRPr="005931E5" w:rsidRDefault="00AE1198">
      <w:pPr>
        <w:rPr>
          <w:lang w:val="en-US"/>
        </w:rPr>
      </w:pPr>
    </w:p>
    <w:p w14:paraId="5D8DDE6D" w14:textId="77777777" w:rsidR="00AE1198" w:rsidRPr="005931E5" w:rsidRDefault="00AE1198">
      <w:pPr>
        <w:rPr>
          <w:lang w:val="en-US"/>
        </w:rPr>
      </w:pPr>
    </w:p>
    <w:p w14:paraId="269AF4FC" w14:textId="77777777" w:rsidR="00AE1198" w:rsidRPr="005931E5" w:rsidRDefault="00000000">
      <w:pPr>
        <w:pStyle w:val="Ttulo1"/>
        <w:rPr>
          <w:lang w:val="en-US"/>
        </w:rPr>
      </w:pPr>
      <w:r w:rsidRPr="005931E5">
        <w:rPr>
          <w:caps/>
          <w:lang w:val="en-US"/>
        </w:rPr>
        <w:t>IV. — Justice transitionnelle et mémoire collective au Cap-Vert</w:t>
      </w:r>
    </w:p>
    <w:p w14:paraId="21B524EA" w14:textId="77777777" w:rsidR="00AE1198" w:rsidRPr="005931E5" w:rsidRDefault="00000000">
      <w:pPr>
        <w:pStyle w:val="Ttulo2"/>
        <w:rPr>
          <w:lang w:val="en-US"/>
        </w:rPr>
      </w:pPr>
      <w:r w:rsidRPr="005931E5">
        <w:rPr>
          <w:lang w:val="en-US"/>
        </w:rPr>
        <w:t>A. La notion de justice transitionnelle</w:t>
      </w:r>
    </w:p>
    <w:p w14:paraId="3D55F5C8" w14:textId="77777777" w:rsidR="00AE1198" w:rsidRDefault="00000000">
      <w:pPr>
        <w:spacing w:after="200" w:line="360" w:lineRule="auto"/>
        <w:jc w:val="both"/>
      </w:pPr>
      <w:r w:rsidRPr="005931E5">
        <w:rPr>
          <w:lang w:val="en-US"/>
        </w:rPr>
        <w:t xml:space="preserve">Le concept de justice transitionnelle a émergé dans l'après-Seconde Guerre mondiale et s'est développé à partir des années 1980 et 1990, avec les transitions démocratiques en </w:t>
      </w:r>
      <w:r w:rsidRPr="005931E5">
        <w:rPr>
          <w:lang w:val="en-US"/>
        </w:rPr>
        <w:lastRenderedPageBreak/>
        <w:t xml:space="preserve">Amérique latine et en Afrique. </w:t>
      </w:r>
      <w:r>
        <w:t>Il se définit comme l'ensemble des mécanismes judiciaires et extrajudiciaires adoptés par des sociétés cherchant à gérer les legs de violations massives des droits de l'homme, afin de garantir la vérité, la justice, la réparation et les garanties de non-répétition.</w:t>
      </w:r>
    </w:p>
    <w:p w14:paraId="25C2CC27" w14:textId="77777777" w:rsidR="00AE1198" w:rsidRPr="005931E5" w:rsidRDefault="00000000">
      <w:pPr>
        <w:spacing w:after="200" w:line="360" w:lineRule="auto"/>
        <w:jc w:val="both"/>
        <w:rPr>
          <w:lang w:val="en-US"/>
        </w:rPr>
      </w:pPr>
      <w:r>
        <w:t xml:space="preserve">Comme le soutient Ruti Teitel, la justice transitionnelle est « un processus normatif qui émerge lors de moments de changement politique, où l'État cherche à équilibrer justice et stabilité ». </w:t>
      </w:r>
      <w:r w:rsidRPr="005931E5">
        <w:rPr>
          <w:lang w:val="en-US"/>
        </w:rPr>
        <w:t>Il s'agit donc d'une justice de transition, orientée non vers la punition, mais vers la reconstruction morale et institutionnelle de la société. Au Cap-Vert, bien qu'il n'y ait eu ni conflit armé ni transition violente, le passage d'un régime de parti unique à une démocratie pluraliste a également impliqué la nécessité d'une réconciliation symbolique avec le passé autoritaire.</w:t>
      </w:r>
    </w:p>
    <w:p w14:paraId="3D1ECD7C" w14:textId="77777777" w:rsidR="00AE1198" w:rsidRPr="005931E5" w:rsidRDefault="00AE1198">
      <w:pPr>
        <w:pBdr>
          <w:top w:val="single" w:sz="3" w:space="4" w:color="BBBBBB"/>
        </w:pBdr>
        <w:spacing w:before="320" w:after="100"/>
        <w:rPr>
          <w:lang w:val="en-US"/>
        </w:rPr>
      </w:pPr>
    </w:p>
    <w:p w14:paraId="61BDD54D" w14:textId="77777777" w:rsidR="00AE1198" w:rsidRPr="005931E5" w:rsidRDefault="00000000">
      <w:pPr>
        <w:spacing w:after="100" w:line="270" w:lineRule="auto"/>
        <w:jc w:val="both"/>
        <w:rPr>
          <w:lang w:val="en-US"/>
        </w:rPr>
      </w:pPr>
      <w:r w:rsidRPr="005931E5">
        <w:rPr>
          <w:b/>
          <w:bCs/>
          <w:sz w:val="18"/>
          <w:szCs w:val="18"/>
          <w:vertAlign w:val="superscript"/>
          <w:lang w:val="en-US"/>
        </w:rPr>
        <w:t xml:space="preserve">26 </w:t>
      </w:r>
      <w:r w:rsidRPr="005931E5">
        <w:rPr>
          <w:sz w:val="18"/>
          <w:szCs w:val="18"/>
          <w:lang w:val="en-US"/>
        </w:rPr>
        <w:t>TEITEL, Ruti. Transitional Justice. Oxford : Oxford University Press, 2000.</w:t>
      </w:r>
    </w:p>
    <w:p w14:paraId="4AACE136" w14:textId="77777777" w:rsidR="00AE1198" w:rsidRDefault="00000000">
      <w:pPr>
        <w:spacing w:after="100" w:line="270" w:lineRule="auto"/>
        <w:jc w:val="both"/>
      </w:pPr>
      <w:r>
        <w:rPr>
          <w:b/>
          <w:bCs/>
          <w:sz w:val="18"/>
          <w:szCs w:val="18"/>
          <w:vertAlign w:val="superscript"/>
        </w:rPr>
        <w:t xml:space="preserve">27 </w:t>
      </w:r>
      <w:r>
        <w:rPr>
          <w:sz w:val="18"/>
          <w:szCs w:val="18"/>
        </w:rPr>
        <w:t>ONU. Ensemble de principes pour la protection et la promotion des droits de l'homme par la lutte contre l'impunité, 2005.</w:t>
      </w:r>
    </w:p>
    <w:p w14:paraId="6548A038" w14:textId="77777777" w:rsidR="00AE1198" w:rsidRPr="005931E5" w:rsidRDefault="00000000">
      <w:pPr>
        <w:spacing w:after="100" w:line="270" w:lineRule="auto"/>
        <w:jc w:val="both"/>
        <w:rPr>
          <w:lang w:val="en-US"/>
        </w:rPr>
      </w:pPr>
      <w:r w:rsidRPr="005931E5">
        <w:rPr>
          <w:b/>
          <w:bCs/>
          <w:sz w:val="18"/>
          <w:szCs w:val="18"/>
          <w:vertAlign w:val="superscript"/>
          <w:lang w:val="en-US"/>
        </w:rPr>
        <w:t xml:space="preserve">28 </w:t>
      </w:r>
      <w:r w:rsidRPr="005931E5">
        <w:rPr>
          <w:sz w:val="18"/>
          <w:szCs w:val="18"/>
          <w:lang w:val="en-US"/>
        </w:rPr>
        <w:t>TEITEL, Ruti. Humanity's Law. Oxford : Oxford University Press, 2011.</w:t>
      </w:r>
    </w:p>
    <w:p w14:paraId="2E3768C0" w14:textId="77777777" w:rsidR="00AE1198" w:rsidRPr="005931E5" w:rsidRDefault="00AE1198">
      <w:pPr>
        <w:rPr>
          <w:lang w:val="en-US"/>
        </w:rPr>
      </w:pPr>
    </w:p>
    <w:p w14:paraId="1EBA5083" w14:textId="77777777" w:rsidR="00AE1198" w:rsidRPr="005931E5" w:rsidRDefault="00000000">
      <w:pPr>
        <w:pStyle w:val="Ttulo2"/>
        <w:rPr>
          <w:lang w:val="en-US"/>
        </w:rPr>
      </w:pPr>
      <w:r w:rsidRPr="005931E5">
        <w:rPr>
          <w:lang w:val="en-US"/>
        </w:rPr>
        <w:t>B. Les quatre piliers de la justice transitionnelle appliqués au cas cap-verdien</w:t>
      </w:r>
    </w:p>
    <w:p w14:paraId="6CAF855B" w14:textId="77777777" w:rsidR="00AE1198" w:rsidRPr="005931E5" w:rsidRDefault="00000000">
      <w:pPr>
        <w:spacing w:after="200" w:line="360" w:lineRule="auto"/>
        <w:jc w:val="both"/>
        <w:rPr>
          <w:lang w:val="en-US"/>
        </w:rPr>
      </w:pPr>
      <w:r w:rsidRPr="005931E5">
        <w:rPr>
          <w:lang w:val="en-US"/>
        </w:rPr>
        <w:t>Selon Pablo de Greiff, Rapporteur Spécial des Nations Unies pour la promotion de la vérité, de la justice, de la réparation et des garanties de non-répétition, la justice transitionnelle repose sur quatre piliers fondamentaux : (i) le Droit à la Vérité, (ii) le Droit à la Justice, (iii) le Droit à la Réparation, et (iv) les Garanties de Non-Répétition.</w:t>
      </w:r>
    </w:p>
    <w:p w14:paraId="249BF71C" w14:textId="77777777" w:rsidR="00AE1198" w:rsidRPr="005931E5" w:rsidRDefault="00000000">
      <w:pPr>
        <w:spacing w:after="200" w:line="360" w:lineRule="auto"/>
        <w:jc w:val="both"/>
        <w:rPr>
          <w:lang w:val="en-US"/>
        </w:rPr>
      </w:pPr>
      <w:r w:rsidRPr="005931E5">
        <w:rPr>
          <w:lang w:val="en-US"/>
        </w:rPr>
        <w:t>S'agissant du droit à la vérité, l'État doit reconnaître officiellement les faits et assurer aux victimes et à la société une connaissance pleine des violations commises. Au Cap-Vert, ce droit demeure partiellement satisfait, puisque la Loi n° 67/IX/2019 reconnaît les violations, mais n'établit pas de mécanismes d'établissement historique ou de publicisation des événements de 1977 et 1981. L'absence d'une Commission de Vérité, comme celles qui ont existé en Afrique du Sud (1995) et au Mozambique (2000), limite la dimension restaurative de la justice cap-verdienne.</w:t>
      </w:r>
    </w:p>
    <w:p w14:paraId="0E63BB2D" w14:textId="77777777" w:rsidR="00AE1198" w:rsidRPr="005931E5" w:rsidRDefault="00000000">
      <w:pPr>
        <w:spacing w:after="200" w:line="360" w:lineRule="auto"/>
        <w:jc w:val="both"/>
        <w:rPr>
          <w:lang w:val="en-US"/>
        </w:rPr>
      </w:pPr>
      <w:r w:rsidRPr="005931E5">
        <w:rPr>
          <w:lang w:val="en-US"/>
        </w:rPr>
        <w:lastRenderedPageBreak/>
        <w:t>S'agissant du droit à la justice, il implique la responsabilisation institutionnelle et individuelle pour les actes commis. Au Cap-Vert, aucune poursuite pénale n'a été engagée contre les auteurs présumés des violations de 1977 et 1981, en raison notamment de la prescription et de l'absence de volonté politique. Cette lacune constitue un point de fragilité du modèle cap-verdien de justice transitionnelle.</w:t>
      </w:r>
    </w:p>
    <w:p w14:paraId="23106432" w14:textId="77777777" w:rsidR="00AE1198" w:rsidRPr="005931E5" w:rsidRDefault="00000000">
      <w:pPr>
        <w:spacing w:after="200" w:line="360" w:lineRule="auto"/>
        <w:jc w:val="both"/>
        <w:rPr>
          <w:lang w:val="en-US"/>
        </w:rPr>
      </w:pPr>
      <w:r w:rsidRPr="005931E5">
        <w:rPr>
          <w:lang w:val="en-US"/>
        </w:rPr>
        <w:t>La dimension de la réparation est la mieux accomplie, grâce à la Loi n° 67/IX/2019. Quant aux garanties de non-répétition, elles sont assurées par le cadre constitutionnel et législatif analysé dans les parties précédentes, même si des défis institutionnels persistent.</w:t>
      </w:r>
    </w:p>
    <w:p w14:paraId="46E0AA81" w14:textId="77777777" w:rsidR="00AE1198" w:rsidRPr="005931E5" w:rsidRDefault="00AE1198">
      <w:pPr>
        <w:pBdr>
          <w:top w:val="single" w:sz="3" w:space="4" w:color="BBBBBB"/>
        </w:pBdr>
        <w:spacing w:before="320" w:after="100"/>
        <w:rPr>
          <w:lang w:val="en-US"/>
        </w:rPr>
      </w:pPr>
    </w:p>
    <w:p w14:paraId="33F9F69F" w14:textId="77777777" w:rsidR="00AE1198" w:rsidRPr="005931E5" w:rsidRDefault="00000000">
      <w:pPr>
        <w:spacing w:after="100" w:line="270" w:lineRule="auto"/>
        <w:jc w:val="both"/>
        <w:rPr>
          <w:lang w:val="en-US"/>
        </w:rPr>
      </w:pPr>
      <w:r w:rsidRPr="005931E5">
        <w:rPr>
          <w:b/>
          <w:bCs/>
          <w:sz w:val="18"/>
          <w:szCs w:val="18"/>
          <w:vertAlign w:val="superscript"/>
          <w:lang w:val="en-US"/>
        </w:rPr>
        <w:t xml:space="preserve">29 </w:t>
      </w:r>
      <w:r w:rsidRPr="005931E5">
        <w:rPr>
          <w:sz w:val="18"/>
          <w:szCs w:val="18"/>
          <w:lang w:val="en-US"/>
        </w:rPr>
        <w:t>DE GREIFF, Pablo. Report of the Special Rapporteur on the promotion of truth, justice, reparation and guarantees of non-recurrence, ONU, A/HRC/21/46, 2012.</w:t>
      </w:r>
    </w:p>
    <w:p w14:paraId="177710D9" w14:textId="77777777" w:rsidR="00AE1198" w:rsidRPr="005931E5" w:rsidRDefault="00AE1198">
      <w:pPr>
        <w:rPr>
          <w:lang w:val="en-US"/>
        </w:rPr>
      </w:pPr>
    </w:p>
    <w:p w14:paraId="4DCE1B90" w14:textId="77777777" w:rsidR="00AE1198" w:rsidRDefault="00000000">
      <w:pPr>
        <w:pStyle w:val="Ttulo2"/>
      </w:pPr>
      <w:r>
        <w:t>C. La mémoire comme dimension de la justice</w:t>
      </w:r>
    </w:p>
    <w:p w14:paraId="77044F22" w14:textId="77777777" w:rsidR="00AE1198" w:rsidRDefault="00000000">
      <w:pPr>
        <w:spacing w:after="200" w:line="360" w:lineRule="auto"/>
        <w:jc w:val="both"/>
      </w:pPr>
      <w:r>
        <w:t>La mémoire historique constitue un élément essentiel de la justice transitionnelle. Sans mémoire, il n'y a pas de vérité ; et sans vérité, il n'y a pas de réconciliation. Au Cap-Vert, la mémoire de la torture et de la répression politique demeure fragmentée. Il n'existe pas encore d'archives publiques ou de centre national de mémoire dédié aux victimes du régime de parti unique. Des associations civiques ont plaidé pour la création d'un Musée de la Mémoire et de la Liberté, permettant de documenter les événements et de donner voix aux témoins survivants.</w:t>
      </w:r>
    </w:p>
    <w:p w14:paraId="7B5CB3CC" w14:textId="77777777" w:rsidR="00AE1198" w:rsidRDefault="00000000">
      <w:pPr>
        <w:spacing w:after="200" w:line="360" w:lineRule="auto"/>
        <w:jc w:val="both"/>
      </w:pPr>
      <w:r>
        <w:t>Comme le défend Paul Ricœur, « se souvenir est un acte de justice ; oublier est une forme de complicité ». Préserver la mémoire des victimes de la torture est ainsi une obligation morale de l'État démocratique, qui doit transmettre aux nouvelles générations l'importance du respect des droits de l'homme comme fondement de la citoyenneté.</w:t>
      </w:r>
    </w:p>
    <w:p w14:paraId="2E6AA168" w14:textId="77777777" w:rsidR="00AE1198" w:rsidRDefault="00AE1198">
      <w:pPr>
        <w:pBdr>
          <w:top w:val="single" w:sz="3" w:space="4" w:color="BBBBBB"/>
        </w:pBdr>
        <w:spacing w:before="320" w:after="100"/>
      </w:pPr>
    </w:p>
    <w:p w14:paraId="4BBED5D7" w14:textId="77777777" w:rsidR="00AE1198" w:rsidRDefault="00000000">
      <w:pPr>
        <w:spacing w:after="100" w:line="270" w:lineRule="auto"/>
        <w:jc w:val="both"/>
      </w:pPr>
      <w:r>
        <w:rPr>
          <w:b/>
          <w:bCs/>
          <w:sz w:val="18"/>
          <w:szCs w:val="18"/>
          <w:vertAlign w:val="superscript"/>
        </w:rPr>
        <w:t xml:space="preserve">30 </w:t>
      </w:r>
      <w:r>
        <w:rPr>
          <w:sz w:val="18"/>
          <w:szCs w:val="18"/>
        </w:rPr>
        <w:t>RICOEUR, Paul. La mémoire, l'histoire, l'oubli. Paris : Seuil, 2000.</w:t>
      </w:r>
    </w:p>
    <w:p w14:paraId="731E88BF" w14:textId="77777777" w:rsidR="00AE1198" w:rsidRDefault="00000000">
      <w:pPr>
        <w:spacing w:after="100" w:line="270" w:lineRule="auto"/>
        <w:jc w:val="both"/>
      </w:pPr>
      <w:r>
        <w:rPr>
          <w:b/>
          <w:bCs/>
          <w:sz w:val="18"/>
          <w:szCs w:val="18"/>
          <w:vertAlign w:val="superscript"/>
        </w:rPr>
        <w:t xml:space="preserve">31 </w:t>
      </w:r>
      <w:r>
        <w:rPr>
          <w:sz w:val="18"/>
          <w:szCs w:val="18"/>
        </w:rPr>
        <w:t>Association des Victimes des Événements de Santo Antão, Rapport Interne, 2022.</w:t>
      </w:r>
    </w:p>
    <w:p w14:paraId="7570F9F3" w14:textId="77777777" w:rsidR="00AE1198" w:rsidRDefault="00000000">
      <w:pPr>
        <w:spacing w:after="100" w:line="270" w:lineRule="auto"/>
        <w:jc w:val="both"/>
      </w:pPr>
      <w:r>
        <w:rPr>
          <w:b/>
          <w:bCs/>
          <w:sz w:val="18"/>
          <w:szCs w:val="18"/>
          <w:vertAlign w:val="superscript"/>
        </w:rPr>
        <w:t xml:space="preserve">32 </w:t>
      </w:r>
      <w:r>
        <w:rPr>
          <w:sz w:val="18"/>
          <w:szCs w:val="18"/>
        </w:rPr>
        <w:t>RICOEUR, Paul. La mémoire, l'histoire, l'oubli, op. cit., p. 85.</w:t>
      </w:r>
    </w:p>
    <w:p w14:paraId="0A31D525" w14:textId="77777777" w:rsidR="00AE1198" w:rsidRDefault="00AE1198"/>
    <w:p w14:paraId="34CA9547" w14:textId="77777777" w:rsidR="00AE1198" w:rsidRPr="005931E5" w:rsidRDefault="00000000">
      <w:pPr>
        <w:pStyle w:val="Ttulo2"/>
        <w:rPr>
          <w:lang w:val="en-US"/>
        </w:rPr>
      </w:pPr>
      <w:r w:rsidRPr="005931E5">
        <w:rPr>
          <w:lang w:val="en-US"/>
        </w:rPr>
        <w:lastRenderedPageBreak/>
        <w:t>D. Modèles comparatifs et enseignements pertinents</w:t>
      </w:r>
    </w:p>
    <w:p w14:paraId="5ACD9E68" w14:textId="77777777" w:rsidR="00AE1198" w:rsidRDefault="00000000">
      <w:pPr>
        <w:spacing w:after="200" w:line="360" w:lineRule="auto"/>
        <w:jc w:val="both"/>
      </w:pPr>
      <w:r w:rsidRPr="005931E5">
        <w:rPr>
          <w:lang w:val="en-US"/>
        </w:rPr>
        <w:t xml:space="preserve">Plusieurs pays africains et lusophones ont dû affronter des défis similaires. En Afrique du Sud, la Commission Vérité et Réconciliation (1995) a combiné témoignages publics et pardon conditionnel, engendrant un modèle de justice restaurative d'une portée mondiale. </w:t>
      </w:r>
      <w:r>
        <w:t xml:space="preserve">Au Mozambique et en Angola, la réconciliation nationale après les conflits civils a été conduite davantage par l'amnistie et l'oubli que par la vérité judiciaire. Au Timor-Leste, la Commission d'Accueil, Vérité et Réconciliation (CAVR, 2001–2005) a produit un rapport — </w:t>
      </w:r>
      <w:r>
        <w:rPr>
          <w:i/>
          <w:iCs/>
        </w:rPr>
        <w:t>Chega!</w:t>
      </w:r>
      <w:r>
        <w:t xml:space="preserve"> — devenu une référence de politique de mémoire dans le monde lusophone.</w:t>
      </w:r>
    </w:p>
    <w:p w14:paraId="1D42DEEA" w14:textId="77777777" w:rsidR="00AE1198" w:rsidRDefault="00000000">
      <w:pPr>
        <w:spacing w:after="200" w:line="360" w:lineRule="auto"/>
        <w:jc w:val="both"/>
      </w:pPr>
      <w:r>
        <w:t>Le Cap-Vert, par sa nature pacifique et stable, dispose de conditions uniques pour adopter un modèle de justice transitionnelle non conflictuel, centré sur la vérité historique, la réparation morale et l'éducation civique. La Loi n° 67/IX/2019 peut ainsi être vue comme le premier pas d'un processus plus large de construction de la vérité et de la réconciliation démocratique.</w:t>
      </w:r>
    </w:p>
    <w:p w14:paraId="296E7666" w14:textId="77777777" w:rsidR="00AE1198" w:rsidRDefault="00AE1198">
      <w:pPr>
        <w:pBdr>
          <w:top w:val="single" w:sz="3" w:space="4" w:color="BBBBBB"/>
        </w:pBdr>
        <w:spacing w:before="320" w:after="100"/>
      </w:pPr>
    </w:p>
    <w:p w14:paraId="0DC0F429" w14:textId="77777777" w:rsidR="00AE1198" w:rsidRDefault="00000000">
      <w:pPr>
        <w:spacing w:after="100" w:line="270" w:lineRule="auto"/>
        <w:jc w:val="both"/>
      </w:pPr>
      <w:r w:rsidRPr="005931E5">
        <w:rPr>
          <w:b/>
          <w:bCs/>
          <w:sz w:val="18"/>
          <w:szCs w:val="18"/>
          <w:vertAlign w:val="superscript"/>
          <w:lang w:val="en-US"/>
        </w:rPr>
        <w:t xml:space="preserve">33 </w:t>
      </w:r>
      <w:r w:rsidRPr="005931E5">
        <w:rPr>
          <w:sz w:val="18"/>
          <w:szCs w:val="18"/>
          <w:lang w:val="en-US"/>
        </w:rPr>
        <w:t xml:space="preserve">TRUTH AND RECONCILIATION COMMISSION OF SOUTH AFRICA. </w:t>
      </w:r>
      <w:r>
        <w:rPr>
          <w:sz w:val="18"/>
          <w:szCs w:val="18"/>
        </w:rPr>
        <w:t>Final Report. Cape Town, 1998.</w:t>
      </w:r>
    </w:p>
    <w:p w14:paraId="3E6378D9" w14:textId="77777777" w:rsidR="00AE1198" w:rsidRPr="005931E5" w:rsidRDefault="00000000">
      <w:pPr>
        <w:spacing w:after="100" w:line="270" w:lineRule="auto"/>
        <w:jc w:val="both"/>
        <w:rPr>
          <w:lang w:val="en-US"/>
        </w:rPr>
      </w:pPr>
      <w:r w:rsidRPr="005931E5">
        <w:rPr>
          <w:b/>
          <w:bCs/>
          <w:sz w:val="18"/>
          <w:szCs w:val="18"/>
          <w:vertAlign w:val="superscript"/>
          <w:lang w:val="en-US"/>
        </w:rPr>
        <w:t xml:space="preserve">34 </w:t>
      </w:r>
      <w:r w:rsidRPr="005931E5">
        <w:rPr>
          <w:sz w:val="18"/>
          <w:szCs w:val="18"/>
          <w:lang w:val="en-US"/>
        </w:rPr>
        <w:t>PNUD. Justice et Réconciliation au Mozambique et en Angola, Rapport de Développement Humain, 2012.</w:t>
      </w:r>
    </w:p>
    <w:p w14:paraId="09200044" w14:textId="77777777" w:rsidR="00AE1198" w:rsidRDefault="00000000">
      <w:pPr>
        <w:spacing w:after="100" w:line="270" w:lineRule="auto"/>
        <w:jc w:val="both"/>
      </w:pPr>
      <w:r>
        <w:rPr>
          <w:b/>
          <w:bCs/>
          <w:sz w:val="18"/>
          <w:szCs w:val="18"/>
          <w:vertAlign w:val="superscript"/>
        </w:rPr>
        <w:t xml:space="preserve">35 </w:t>
      </w:r>
      <w:r>
        <w:rPr>
          <w:sz w:val="18"/>
          <w:szCs w:val="18"/>
        </w:rPr>
        <w:t>CAVR. Chega ! Rapport Final de la Commission d'Accueil, Vérité et Réconciliation au Timor-Leste. Dili, 2005.</w:t>
      </w:r>
    </w:p>
    <w:p w14:paraId="2BB6E59B" w14:textId="77777777" w:rsidR="00AE1198" w:rsidRDefault="00AE1198"/>
    <w:p w14:paraId="229327ED" w14:textId="77777777" w:rsidR="00AE1198" w:rsidRDefault="00AE1198"/>
    <w:p w14:paraId="026F86EB" w14:textId="77777777" w:rsidR="00AE1198" w:rsidRPr="005931E5" w:rsidRDefault="00000000">
      <w:pPr>
        <w:pStyle w:val="Ttulo1"/>
        <w:rPr>
          <w:lang w:val="en-US"/>
        </w:rPr>
      </w:pPr>
      <w:r w:rsidRPr="005931E5">
        <w:rPr>
          <w:caps/>
          <w:lang w:val="en-US"/>
        </w:rPr>
        <w:t>V. — Situation actuelle et défis contemporains</w:t>
      </w:r>
    </w:p>
    <w:p w14:paraId="0B97945B" w14:textId="77777777" w:rsidR="00AE1198" w:rsidRPr="005931E5" w:rsidRDefault="00000000">
      <w:pPr>
        <w:pStyle w:val="Ttulo2"/>
        <w:rPr>
          <w:lang w:val="en-US"/>
        </w:rPr>
      </w:pPr>
      <w:r w:rsidRPr="005931E5">
        <w:rPr>
          <w:lang w:val="en-US"/>
        </w:rPr>
        <w:t>A. Le cadre institutionnel des droits de l'homme au Cap-Vert</w:t>
      </w:r>
    </w:p>
    <w:p w14:paraId="51231644" w14:textId="77777777" w:rsidR="00AE1198" w:rsidRPr="005931E5" w:rsidRDefault="00000000">
      <w:pPr>
        <w:spacing w:after="200" w:line="360" w:lineRule="auto"/>
        <w:jc w:val="both"/>
        <w:rPr>
          <w:lang w:val="en-US"/>
        </w:rPr>
      </w:pPr>
      <w:r w:rsidRPr="005931E5">
        <w:rPr>
          <w:lang w:val="en-US"/>
        </w:rPr>
        <w:t>Le Cap-Vert est largement reconnu comme l'une des démocraties les plus stables d'Afrique. Depuis l'adoption de la Constitution de 1992, le pays a maintenu des élections libres et régulières, la liberté de la presse et la séparation effective des pouvoirs. Malgré des signaux d'alerte ponctuels — des cas de mauvais traitements et d'usage excessif de la force policière figurent encore dans les rapports d'Amnesty International et d'organisations locales —, aucun indice de torture systématique dans les institutions de l'État n'a été relevé.</w:t>
      </w:r>
    </w:p>
    <w:p w14:paraId="4A1A09CE" w14:textId="77777777" w:rsidR="00AE1198" w:rsidRPr="005931E5" w:rsidRDefault="00AE1198">
      <w:pPr>
        <w:pBdr>
          <w:top w:val="single" w:sz="3" w:space="4" w:color="BBBBBB"/>
        </w:pBdr>
        <w:spacing w:before="320" w:after="100"/>
        <w:rPr>
          <w:lang w:val="en-US"/>
        </w:rPr>
      </w:pPr>
    </w:p>
    <w:p w14:paraId="63F70FF5" w14:textId="77777777" w:rsidR="00AE1198" w:rsidRPr="005931E5" w:rsidRDefault="00000000">
      <w:pPr>
        <w:spacing w:after="100" w:line="270" w:lineRule="auto"/>
        <w:jc w:val="both"/>
        <w:rPr>
          <w:lang w:val="en-US"/>
        </w:rPr>
      </w:pPr>
      <w:r w:rsidRPr="005931E5">
        <w:rPr>
          <w:b/>
          <w:bCs/>
          <w:sz w:val="18"/>
          <w:szCs w:val="18"/>
          <w:vertAlign w:val="superscript"/>
          <w:lang w:val="en-US"/>
        </w:rPr>
        <w:t xml:space="preserve">36 </w:t>
      </w:r>
      <w:r w:rsidRPr="005931E5">
        <w:rPr>
          <w:sz w:val="18"/>
          <w:szCs w:val="18"/>
          <w:lang w:val="en-US"/>
        </w:rPr>
        <w:t>Constitution de la République du Cap-Vert, 1992, préambule.</w:t>
      </w:r>
    </w:p>
    <w:p w14:paraId="182C07F7" w14:textId="77777777" w:rsidR="00AE1198" w:rsidRPr="005931E5" w:rsidRDefault="00000000">
      <w:pPr>
        <w:spacing w:after="100" w:line="270" w:lineRule="auto"/>
        <w:jc w:val="both"/>
        <w:rPr>
          <w:lang w:val="en-US"/>
        </w:rPr>
      </w:pPr>
      <w:r w:rsidRPr="005931E5">
        <w:rPr>
          <w:b/>
          <w:bCs/>
          <w:sz w:val="18"/>
          <w:szCs w:val="18"/>
          <w:vertAlign w:val="superscript"/>
          <w:lang w:val="en-US"/>
        </w:rPr>
        <w:t xml:space="preserve">37 </w:t>
      </w:r>
      <w:r w:rsidRPr="005931E5">
        <w:rPr>
          <w:sz w:val="18"/>
          <w:szCs w:val="18"/>
          <w:lang w:val="en-US"/>
        </w:rPr>
        <w:t>Amnesty International — Cap-Vert : Rapport 2022.</w:t>
      </w:r>
    </w:p>
    <w:p w14:paraId="6C3A6006" w14:textId="77777777" w:rsidR="00AE1198" w:rsidRPr="005931E5" w:rsidRDefault="00AE1198">
      <w:pPr>
        <w:rPr>
          <w:lang w:val="en-US"/>
        </w:rPr>
      </w:pPr>
    </w:p>
    <w:p w14:paraId="1682C975" w14:textId="77777777" w:rsidR="00AE1198" w:rsidRPr="005931E5" w:rsidRDefault="00000000">
      <w:pPr>
        <w:pStyle w:val="Ttulo2"/>
        <w:rPr>
          <w:lang w:val="en-US"/>
        </w:rPr>
      </w:pPr>
      <w:r w:rsidRPr="005931E5">
        <w:rPr>
          <w:lang w:val="en-US"/>
        </w:rPr>
        <w:t>B. Le système pénitentiaire et les conditions de détention</w:t>
      </w:r>
    </w:p>
    <w:p w14:paraId="327749F9" w14:textId="77777777" w:rsidR="00AE1198" w:rsidRPr="005931E5" w:rsidRDefault="00000000">
      <w:pPr>
        <w:spacing w:after="200" w:line="360" w:lineRule="auto"/>
        <w:jc w:val="both"/>
        <w:rPr>
          <w:lang w:val="en-US"/>
        </w:rPr>
      </w:pPr>
      <w:r w:rsidRPr="005931E5">
        <w:rPr>
          <w:lang w:val="en-US"/>
        </w:rPr>
        <w:t>Le système pénitentiaire cap-verdien fait face à des problèmes structurels persistants : surpopulation, conditions sanitaires précaires et insuffisance des programmes de réinsertion sociale. Le recensement pénitentiaire de 2018, conduit par l'Institut National de Statistique, faisait état d'un taux moyen d'occupation de 130 %. Les Règles Minima des Nations Unies pour le Traitement des Détenus (Règles Nelson Mandela, 2015) imposent aux États l'obligation d'assurer des conditions compatibles avec la dignité humaine. En Cap-Vert, si le cadre juridique est aligné sur ces normes, la mise en pratique reste tributaire d'investissements structurels.</w:t>
      </w:r>
    </w:p>
    <w:p w14:paraId="255D9F57" w14:textId="77777777" w:rsidR="00AE1198" w:rsidRPr="005931E5" w:rsidRDefault="00AE1198">
      <w:pPr>
        <w:pBdr>
          <w:top w:val="single" w:sz="3" w:space="4" w:color="BBBBBB"/>
        </w:pBdr>
        <w:spacing w:before="320" w:after="100"/>
        <w:rPr>
          <w:lang w:val="en-US"/>
        </w:rPr>
      </w:pPr>
    </w:p>
    <w:p w14:paraId="13B683D5" w14:textId="77777777" w:rsidR="00AE1198" w:rsidRPr="005931E5" w:rsidRDefault="00000000">
      <w:pPr>
        <w:spacing w:after="100" w:line="270" w:lineRule="auto"/>
        <w:jc w:val="both"/>
        <w:rPr>
          <w:lang w:val="en-US"/>
        </w:rPr>
      </w:pPr>
      <w:r w:rsidRPr="005931E5">
        <w:rPr>
          <w:b/>
          <w:bCs/>
          <w:sz w:val="18"/>
          <w:szCs w:val="18"/>
          <w:vertAlign w:val="superscript"/>
          <w:lang w:val="en-US"/>
        </w:rPr>
        <w:t xml:space="preserve">38 </w:t>
      </w:r>
      <w:r w:rsidRPr="005931E5">
        <w:rPr>
          <w:sz w:val="18"/>
          <w:szCs w:val="18"/>
          <w:lang w:val="en-US"/>
        </w:rPr>
        <w:t>Institut National de Statistique (INE) — Recensement Pénitentiaire 2018, Praia, 2019.</w:t>
      </w:r>
    </w:p>
    <w:p w14:paraId="5BEC30D5" w14:textId="77777777" w:rsidR="00AE1198" w:rsidRPr="005931E5" w:rsidRDefault="00000000">
      <w:pPr>
        <w:spacing w:after="100" w:line="270" w:lineRule="auto"/>
        <w:jc w:val="both"/>
        <w:rPr>
          <w:lang w:val="en-US"/>
        </w:rPr>
      </w:pPr>
      <w:r w:rsidRPr="005931E5">
        <w:rPr>
          <w:b/>
          <w:bCs/>
          <w:sz w:val="18"/>
          <w:szCs w:val="18"/>
          <w:vertAlign w:val="superscript"/>
          <w:lang w:val="en-US"/>
        </w:rPr>
        <w:t xml:space="preserve">39 </w:t>
      </w:r>
      <w:r w:rsidRPr="005931E5">
        <w:rPr>
          <w:sz w:val="18"/>
          <w:szCs w:val="18"/>
          <w:lang w:val="en-US"/>
        </w:rPr>
        <w:t>Règles Minima des Nations Unies pour le Traitement des Détenus (Règles Nelson Mandela), Résolution ONU A/RES/70/175, 2015.</w:t>
      </w:r>
    </w:p>
    <w:p w14:paraId="0F1A4CE6" w14:textId="77777777" w:rsidR="00AE1198" w:rsidRPr="005931E5" w:rsidRDefault="00AE1198">
      <w:pPr>
        <w:rPr>
          <w:lang w:val="en-US"/>
        </w:rPr>
      </w:pPr>
    </w:p>
    <w:p w14:paraId="7F04CE25" w14:textId="77777777" w:rsidR="00AE1198" w:rsidRPr="005931E5" w:rsidRDefault="00000000">
      <w:pPr>
        <w:pStyle w:val="Ttulo2"/>
        <w:rPr>
          <w:lang w:val="en-US"/>
        </w:rPr>
      </w:pPr>
      <w:r w:rsidRPr="005931E5">
        <w:rPr>
          <w:lang w:val="en-US"/>
        </w:rPr>
        <w:t>C. Formation des forces de sécurité et coopération internationale</w:t>
      </w:r>
    </w:p>
    <w:p w14:paraId="7665634A" w14:textId="77777777" w:rsidR="00AE1198" w:rsidRPr="005931E5" w:rsidRDefault="00000000">
      <w:pPr>
        <w:spacing w:after="200" w:line="360" w:lineRule="auto"/>
        <w:jc w:val="both"/>
        <w:rPr>
          <w:lang w:val="en-US"/>
        </w:rPr>
      </w:pPr>
      <w:r w:rsidRPr="005931E5">
        <w:rPr>
          <w:lang w:val="en-US"/>
        </w:rPr>
        <w:t>Depuis 2016, le Cap-Vert a mis en œuvre des programmes de renforcement des capacités techniques et éthiques en collaboration avec l'Union Européenne, l'Union Africaine et le Programme des Nations Unies pour le Développement (PNUD). Ces programmes portent sur les droits fondamentaux, les techniques d'interrogatoire, la médiation des conflits et l'usage proportionné de la force. L'objectif doit être de transformer l'obéissance hiérarchique en obéissance constitutionnelle, renforçant l'idée que le devoir d'exécuter des ordres ne justifie pas la violation de la dignité humaine, conformément aux principes du Code de Conduite des Nations Unies pour les Responsables de l'Application des Lois (1979).</w:t>
      </w:r>
    </w:p>
    <w:p w14:paraId="2A9F05D8" w14:textId="77777777" w:rsidR="00AE1198" w:rsidRPr="005931E5" w:rsidRDefault="00AE1198">
      <w:pPr>
        <w:pBdr>
          <w:top w:val="single" w:sz="3" w:space="4" w:color="BBBBBB"/>
        </w:pBdr>
        <w:spacing w:before="320" w:after="100"/>
        <w:rPr>
          <w:lang w:val="en-US"/>
        </w:rPr>
      </w:pPr>
    </w:p>
    <w:p w14:paraId="31B001F7" w14:textId="77777777" w:rsidR="00AE1198" w:rsidRPr="005931E5" w:rsidRDefault="00000000">
      <w:pPr>
        <w:spacing w:after="100" w:line="270" w:lineRule="auto"/>
        <w:jc w:val="both"/>
        <w:rPr>
          <w:lang w:val="en-US"/>
        </w:rPr>
      </w:pPr>
      <w:r w:rsidRPr="005931E5">
        <w:rPr>
          <w:b/>
          <w:bCs/>
          <w:sz w:val="18"/>
          <w:szCs w:val="18"/>
          <w:vertAlign w:val="superscript"/>
          <w:lang w:val="en-US"/>
        </w:rPr>
        <w:t xml:space="preserve">40 </w:t>
      </w:r>
      <w:r w:rsidRPr="005931E5">
        <w:rPr>
          <w:sz w:val="18"/>
          <w:szCs w:val="18"/>
          <w:lang w:val="en-US"/>
        </w:rPr>
        <w:t>PNUD — Programme de Renforcement des Capacités Policières en Droits de l'Homme, Praia, 2018.</w:t>
      </w:r>
    </w:p>
    <w:p w14:paraId="48483A0B" w14:textId="77777777" w:rsidR="00AE1198" w:rsidRPr="005931E5" w:rsidRDefault="00000000">
      <w:pPr>
        <w:spacing w:after="100" w:line="270" w:lineRule="auto"/>
        <w:jc w:val="both"/>
        <w:rPr>
          <w:lang w:val="en-US"/>
        </w:rPr>
      </w:pPr>
      <w:r w:rsidRPr="005931E5">
        <w:rPr>
          <w:b/>
          <w:bCs/>
          <w:sz w:val="18"/>
          <w:szCs w:val="18"/>
          <w:vertAlign w:val="superscript"/>
          <w:lang w:val="en-US"/>
        </w:rPr>
        <w:t xml:space="preserve">41 </w:t>
      </w:r>
      <w:r w:rsidRPr="005931E5">
        <w:rPr>
          <w:sz w:val="18"/>
          <w:szCs w:val="18"/>
          <w:lang w:val="en-US"/>
        </w:rPr>
        <w:t>Constitution de la République du Cap-Vert, art. 243 (principe de légalité et de hiérarchie).</w:t>
      </w:r>
    </w:p>
    <w:p w14:paraId="15E7A59E" w14:textId="77777777" w:rsidR="00AE1198" w:rsidRPr="005931E5" w:rsidRDefault="00000000">
      <w:pPr>
        <w:spacing w:after="100" w:line="270" w:lineRule="auto"/>
        <w:jc w:val="both"/>
        <w:rPr>
          <w:lang w:val="en-US"/>
        </w:rPr>
      </w:pPr>
      <w:r w:rsidRPr="005931E5">
        <w:rPr>
          <w:b/>
          <w:bCs/>
          <w:sz w:val="18"/>
          <w:szCs w:val="18"/>
          <w:vertAlign w:val="superscript"/>
          <w:lang w:val="en-US"/>
        </w:rPr>
        <w:lastRenderedPageBreak/>
        <w:t xml:space="preserve">42 </w:t>
      </w:r>
      <w:r w:rsidRPr="005931E5">
        <w:rPr>
          <w:sz w:val="18"/>
          <w:szCs w:val="18"/>
          <w:lang w:val="en-US"/>
        </w:rPr>
        <w:t>ONU — Code of Conduct for Law Enforcement Officials, Rés. 34/169, 1979.</w:t>
      </w:r>
    </w:p>
    <w:p w14:paraId="72C96E45" w14:textId="77777777" w:rsidR="00AE1198" w:rsidRPr="005931E5" w:rsidRDefault="00AE1198">
      <w:pPr>
        <w:rPr>
          <w:lang w:val="en-US"/>
        </w:rPr>
      </w:pPr>
    </w:p>
    <w:p w14:paraId="34983F09" w14:textId="77777777" w:rsidR="00AE1198" w:rsidRDefault="00000000">
      <w:pPr>
        <w:pStyle w:val="Ttulo2"/>
      </w:pPr>
      <w:r>
        <w:t>D. Défis contemporains et horizons</w:t>
      </w:r>
    </w:p>
    <w:p w14:paraId="4FB6FA62" w14:textId="77777777" w:rsidR="00AE1198" w:rsidRDefault="00000000">
      <w:pPr>
        <w:spacing w:after="200" w:line="360" w:lineRule="auto"/>
        <w:jc w:val="both"/>
      </w:pPr>
      <w:r>
        <w:t>Malgré les progrès institutionnels, des défis persistants appellent une réponse stratégique : fragilité des mécanismes de responsabilisation disciplinaire ; insuffisance budgétaire de la CNDHC et manque de capacité technique pour couvrir l'ensemble du territoire national ; absence de politiques publiques de mémoire et de réparation morale ; dépendance excessive à la coopération internationale ; et déficit d'éducation civique sur les droits de l'homme dans les programmes scolaires. Comme l'observe Boaventura de Sousa Santos, « la démocratie ne se mesure pas seulement à l'existence de lois, mais à la manière dont les citoyens ressentent la justice au quotidien ».</w:t>
      </w:r>
    </w:p>
    <w:p w14:paraId="39B071B2" w14:textId="77777777" w:rsidR="00AE1198" w:rsidRDefault="00AE1198">
      <w:pPr>
        <w:pBdr>
          <w:top w:val="single" w:sz="3" w:space="4" w:color="BBBBBB"/>
        </w:pBdr>
        <w:spacing w:before="320" w:after="100"/>
      </w:pPr>
    </w:p>
    <w:p w14:paraId="41068950" w14:textId="77777777" w:rsidR="00AE1198" w:rsidRDefault="00000000">
      <w:pPr>
        <w:spacing w:after="100" w:line="270" w:lineRule="auto"/>
        <w:jc w:val="both"/>
      </w:pPr>
      <w:r>
        <w:rPr>
          <w:b/>
          <w:bCs/>
          <w:sz w:val="18"/>
          <w:szCs w:val="18"/>
          <w:vertAlign w:val="superscript"/>
        </w:rPr>
        <w:t xml:space="preserve">43 </w:t>
      </w:r>
      <w:r>
        <w:rPr>
          <w:sz w:val="18"/>
          <w:szCs w:val="18"/>
        </w:rPr>
        <w:t>SANTOS, Boaventura de Sousa. Se Deus fosse um ativista dos direitos humanos. Coimbra : Almedina, 2014, p. 97.</w:t>
      </w:r>
    </w:p>
    <w:p w14:paraId="32CE9F20" w14:textId="77777777" w:rsidR="00AE1198" w:rsidRDefault="00AE1198"/>
    <w:p w14:paraId="3BBB5908" w14:textId="77777777" w:rsidR="00AE1198" w:rsidRDefault="00AE1198"/>
    <w:p w14:paraId="1D53498C" w14:textId="77777777" w:rsidR="00AE1198" w:rsidRDefault="00000000">
      <w:pPr>
        <w:pStyle w:val="Ttulo1"/>
      </w:pPr>
      <w:r>
        <w:rPr>
          <w:caps/>
        </w:rPr>
        <w:t>CONCLUSION</w:t>
      </w:r>
    </w:p>
    <w:p w14:paraId="1F3937D5" w14:textId="77777777" w:rsidR="00AE1198" w:rsidRDefault="00000000">
      <w:pPr>
        <w:spacing w:after="200" w:line="360" w:lineRule="auto"/>
        <w:jc w:val="both"/>
      </w:pPr>
      <w:r>
        <w:t>Le parcours historique et juridique ici analysé démontre que le Cap-Vert a consolidé un modèle démocratique singulier en Afrique, caractérisé par la stabilité politique, la maturité civique et la progressive institutionnalisation des droits de l'homme. La transition pacifique de 1990 n'a cependant pas effacé intégralement les traces du passé autoritaire. La torture, en tant que pratique et en tant que mémoire, demeure une blessure éthique qui ne peut être pleinement guérie que par la vérité, la réparation et la justice.</w:t>
      </w:r>
    </w:p>
    <w:p w14:paraId="711FB427" w14:textId="77777777" w:rsidR="00AE1198" w:rsidRDefault="00000000">
      <w:pPr>
        <w:spacing w:after="200" w:line="360" w:lineRule="auto"/>
        <w:jc w:val="both"/>
      </w:pPr>
      <w:r>
        <w:t>La Loi n° 67/IX/2019 a constitué un pas décisif en ce sens. Pour la première fois, l'État a formellement reconnu les victimes de torture et de mauvais traitements et a assumé la responsabilité morale de les indemniser. Il s'agit d'un acte de justice historique, qui réaffirme la centralité de la dignité humaine dans l'ordre constitutionnel cap-verdien. Cette loi est cependant insuffisante pour clore le processus de réconciliation nationale. La reconnaissance financière, si nécessaire soit-elle, ne saurait se substituer au droit collectif à la mémoire et à la vérité.</w:t>
      </w:r>
    </w:p>
    <w:p w14:paraId="684F2AD6" w14:textId="77777777" w:rsidR="00AE1198" w:rsidRPr="005931E5" w:rsidRDefault="00000000">
      <w:pPr>
        <w:spacing w:after="200" w:line="360" w:lineRule="auto"/>
        <w:jc w:val="both"/>
        <w:rPr>
          <w:lang w:val="en-US"/>
        </w:rPr>
      </w:pPr>
      <w:r w:rsidRPr="005931E5">
        <w:rPr>
          <w:lang w:val="en-US"/>
        </w:rPr>
        <w:lastRenderedPageBreak/>
        <w:t>L'article a également mis en lumière que la justice transitionnelle au Cap-Vert est partielle et incomplète. Il lui fait défaut la dimension publique de la vérité, l'espace symbolique du pardon, et une politique de mémoire nationale structurée. Le Cap-Vert a les conditions uniques — stabilité démocratique, maturité civique, rayonnement international — pour franchir cette étape supplémentaire vers une réconciliation historique pleine et entière, en faisant de la dignité humaine non seulement un impératif juridique, mais une marque culturelle de son identité nationale.</w:t>
      </w:r>
    </w:p>
    <w:p w14:paraId="402B3885" w14:textId="77777777" w:rsidR="00AE1198" w:rsidRPr="005931E5" w:rsidRDefault="00AE1198">
      <w:pPr>
        <w:rPr>
          <w:lang w:val="en-US"/>
        </w:rPr>
      </w:pPr>
    </w:p>
    <w:p w14:paraId="55242BEB" w14:textId="77777777" w:rsidR="00AE1198" w:rsidRPr="005931E5" w:rsidRDefault="00AE1198">
      <w:pPr>
        <w:pBdr>
          <w:bottom w:val="single" w:sz="6" w:space="1" w:color="2E4057"/>
        </w:pBdr>
        <w:spacing w:before="200" w:after="200"/>
        <w:rPr>
          <w:lang w:val="en-US"/>
        </w:rPr>
      </w:pPr>
    </w:p>
    <w:p w14:paraId="67B5BBE6" w14:textId="77777777" w:rsidR="00AE1198" w:rsidRPr="005931E5" w:rsidRDefault="00AE1198">
      <w:pPr>
        <w:rPr>
          <w:lang w:val="en-US"/>
        </w:rPr>
      </w:pPr>
    </w:p>
    <w:p w14:paraId="41F6451D" w14:textId="77777777" w:rsidR="00AE1198" w:rsidRDefault="00000000">
      <w:pPr>
        <w:pStyle w:val="Ttulo1"/>
      </w:pPr>
      <w:r>
        <w:rPr>
          <w:caps/>
        </w:rPr>
        <w:t>BIBLIOGRAPHIE</w:t>
      </w:r>
    </w:p>
    <w:p w14:paraId="1FC64C38" w14:textId="77777777" w:rsidR="00AE1198" w:rsidRDefault="00000000">
      <w:pPr>
        <w:pStyle w:val="Ttulo2"/>
      </w:pPr>
      <w:r>
        <w:t>I. Textes juridiques</w:t>
      </w:r>
    </w:p>
    <w:p w14:paraId="1566BC4A" w14:textId="77777777" w:rsidR="00AE1198" w:rsidRDefault="00000000">
      <w:pPr>
        <w:spacing w:after="200" w:line="360" w:lineRule="auto"/>
        <w:jc w:val="both"/>
      </w:pPr>
      <w:r>
        <w:t>Constitution de la République du Cap-Vert (1992, révisée 2010).</w:t>
      </w:r>
    </w:p>
    <w:p w14:paraId="21522259" w14:textId="77777777" w:rsidR="00AE1198" w:rsidRDefault="00000000">
      <w:pPr>
        <w:spacing w:after="200" w:line="360" w:lineRule="auto"/>
        <w:jc w:val="both"/>
      </w:pPr>
      <w:r>
        <w:t>Code pénal du Cap-Vert, Décret-loi n° 4/2003 du 18 novembre 2003.</w:t>
      </w:r>
    </w:p>
    <w:p w14:paraId="66FC8466" w14:textId="77777777" w:rsidR="00AE1198" w:rsidRDefault="00000000">
      <w:pPr>
        <w:spacing w:after="200" w:line="360" w:lineRule="auto"/>
        <w:jc w:val="both"/>
      </w:pPr>
      <w:r>
        <w:t>Loi n° 67/IX/2019, Boletim Oficial n° 94, I Série, 6 septembre 2019.</w:t>
      </w:r>
    </w:p>
    <w:p w14:paraId="0070359E" w14:textId="77777777" w:rsidR="00AE1198" w:rsidRDefault="00000000">
      <w:pPr>
        <w:spacing w:after="200" w:line="360" w:lineRule="auto"/>
        <w:jc w:val="both"/>
      </w:pPr>
      <w:r>
        <w:t>Décret-loi n° 38/2018 du 22 juin 2018 (création de la CNDHC).</w:t>
      </w:r>
    </w:p>
    <w:p w14:paraId="6BC5ABD6" w14:textId="77777777" w:rsidR="00AE1198" w:rsidRDefault="00000000">
      <w:pPr>
        <w:spacing w:after="200" w:line="360" w:lineRule="auto"/>
        <w:jc w:val="both"/>
      </w:pPr>
      <w:r>
        <w:t>Convention contre la Torture et autres Peines ou Traitements Cruels, Inhumains ou Dégradants, ONU, 1984.</w:t>
      </w:r>
    </w:p>
    <w:p w14:paraId="195E2EDA" w14:textId="77777777" w:rsidR="00AE1198" w:rsidRDefault="00000000">
      <w:pPr>
        <w:spacing w:after="200" w:line="360" w:lineRule="auto"/>
        <w:jc w:val="both"/>
      </w:pPr>
      <w:r>
        <w:t>Protocole Facultatif à la Convention contre la Torture (OPCAT), 2002.</w:t>
      </w:r>
    </w:p>
    <w:p w14:paraId="4D3814D2" w14:textId="77777777" w:rsidR="00AE1198" w:rsidRDefault="00000000">
      <w:pPr>
        <w:spacing w:after="200" w:line="360" w:lineRule="auto"/>
        <w:jc w:val="both"/>
      </w:pPr>
      <w:r>
        <w:t>Pacte International relatif aux Droits Civils et Politiques (PIDCP), ONU, 1966.</w:t>
      </w:r>
    </w:p>
    <w:p w14:paraId="7B839BE5" w14:textId="77777777" w:rsidR="00AE1198" w:rsidRDefault="00000000">
      <w:pPr>
        <w:spacing w:after="200" w:line="360" w:lineRule="auto"/>
        <w:jc w:val="both"/>
      </w:pPr>
      <w:r>
        <w:t>Charte Africaine des Droits de l'Homme et des Peuples, UA, 1981.</w:t>
      </w:r>
    </w:p>
    <w:p w14:paraId="030097B5" w14:textId="77777777" w:rsidR="00AE1198" w:rsidRDefault="00000000">
      <w:pPr>
        <w:spacing w:after="200" w:line="360" w:lineRule="auto"/>
        <w:jc w:val="both"/>
      </w:pPr>
      <w:r>
        <w:t>Règles Minima des Nations Unies pour le Traitement des Détenus (Règles Nelson Mandela), Rés. ONU A/RES/70/175, 2015.</w:t>
      </w:r>
    </w:p>
    <w:p w14:paraId="48C8A371" w14:textId="77777777" w:rsidR="00AE1198" w:rsidRDefault="00000000">
      <w:pPr>
        <w:spacing w:after="200" w:line="360" w:lineRule="auto"/>
        <w:jc w:val="both"/>
      </w:pPr>
      <w:r>
        <w:t>ONU. Code of Conduct for Law Enforcement Officials, Rés. 34/169, 1979.</w:t>
      </w:r>
    </w:p>
    <w:p w14:paraId="5432F1BB" w14:textId="77777777" w:rsidR="00AE1198" w:rsidRDefault="00000000">
      <w:pPr>
        <w:pStyle w:val="Ttulo2"/>
      </w:pPr>
      <w:r>
        <w:t>II. Doctrine</w:t>
      </w:r>
    </w:p>
    <w:p w14:paraId="41706EF2" w14:textId="77777777" w:rsidR="00AE1198" w:rsidRDefault="00000000">
      <w:pPr>
        <w:spacing w:after="200" w:line="360" w:lineRule="auto"/>
        <w:jc w:val="both"/>
      </w:pPr>
      <w:r>
        <w:lastRenderedPageBreak/>
        <w:t>CAVR. Chega ! Rapport Final de la Commission d'Accueil, Vérité et Réconciliation au Timor-Leste. Dili, 2005.</w:t>
      </w:r>
    </w:p>
    <w:p w14:paraId="115D15DB" w14:textId="77777777" w:rsidR="00AE1198" w:rsidRDefault="00000000">
      <w:pPr>
        <w:spacing w:after="200" w:line="360" w:lineRule="auto"/>
        <w:jc w:val="both"/>
      </w:pPr>
      <w:r>
        <w:t>DE GREIFF, Pablo. The Handbook of Reparations. Oxford : Oxford University Press, 2006.</w:t>
      </w:r>
    </w:p>
    <w:p w14:paraId="3B1C212A" w14:textId="77777777" w:rsidR="00AE1198" w:rsidRDefault="00000000">
      <w:pPr>
        <w:spacing w:after="200" w:line="360" w:lineRule="auto"/>
        <w:jc w:val="both"/>
      </w:pPr>
      <w:r>
        <w:t>DE GREIFF, Pablo. Report of the Special Rapporteur on the promotion of truth, justice, reparation and guarantees of non-recurrence. ONU, A/HRC/21/46, 2012.</w:t>
      </w:r>
    </w:p>
    <w:p w14:paraId="41312159" w14:textId="77777777" w:rsidR="00AE1198" w:rsidRDefault="00000000">
      <w:pPr>
        <w:spacing w:after="200" w:line="360" w:lineRule="auto"/>
        <w:jc w:val="both"/>
      </w:pPr>
      <w:r>
        <w:t>FOUCAULT, Michel. Surveiller et punir : Naissance de la prison. Paris : Gallimard, 1975.</w:t>
      </w:r>
    </w:p>
    <w:p w14:paraId="14D92C0D" w14:textId="77777777" w:rsidR="00AE1198" w:rsidRDefault="00000000">
      <w:pPr>
        <w:spacing w:after="200" w:line="360" w:lineRule="auto"/>
        <w:jc w:val="both"/>
      </w:pPr>
      <w:r>
        <w:t>HAYNER, Priscilla. Unspeakable Truths : Transitional Justice and the Challenge of Truth Commissions. London : Routledge, 2011.</w:t>
      </w:r>
    </w:p>
    <w:p w14:paraId="6A7BA498" w14:textId="77777777" w:rsidR="00AE1198" w:rsidRDefault="00000000">
      <w:pPr>
        <w:spacing w:after="200" w:line="360" w:lineRule="auto"/>
        <w:jc w:val="both"/>
      </w:pPr>
      <w:r>
        <w:t>ONU. Ensemble de principes pour la protection et la promotion des droits de l'homme par la lutte contre l'impunité. E/CN.4/2005/102/Add.1, 2005.</w:t>
      </w:r>
    </w:p>
    <w:p w14:paraId="24664C10" w14:textId="77777777" w:rsidR="00AE1198" w:rsidRDefault="00000000">
      <w:pPr>
        <w:spacing w:after="200" w:line="360" w:lineRule="auto"/>
        <w:jc w:val="both"/>
      </w:pPr>
      <w:r>
        <w:t>ONU. Principes fondamentaux et directives concernant le droit à un recours et à réparation des victimes de violations flagrantes du droit international des droits de l'homme. Rés. ONU 60/147, 2005.</w:t>
      </w:r>
    </w:p>
    <w:p w14:paraId="0380CA6C" w14:textId="77777777" w:rsidR="00AE1198" w:rsidRDefault="00000000">
      <w:pPr>
        <w:spacing w:after="200" w:line="360" w:lineRule="auto"/>
        <w:jc w:val="both"/>
      </w:pPr>
      <w:r>
        <w:t>RICOEUR, Paul. La mémoire, l'histoire, l'oubli. Paris : Seuil, 2000.</w:t>
      </w:r>
    </w:p>
    <w:p w14:paraId="7EE24515" w14:textId="77777777" w:rsidR="00AE1198" w:rsidRDefault="00000000">
      <w:pPr>
        <w:spacing w:after="200" w:line="360" w:lineRule="auto"/>
        <w:jc w:val="both"/>
      </w:pPr>
      <w:r>
        <w:t>SANTOS, Boaventura de Sousa. Se Deus fosse um ativista dos direitos humanos. Coimbra : Almedina, 2014.</w:t>
      </w:r>
    </w:p>
    <w:p w14:paraId="49812B24" w14:textId="77777777" w:rsidR="00AE1198" w:rsidRDefault="00000000">
      <w:pPr>
        <w:spacing w:after="200" w:line="360" w:lineRule="auto"/>
        <w:jc w:val="both"/>
      </w:pPr>
      <w:r>
        <w:t>SIKKINK, Kathryn. The Justice Cascade : How Human Rights Prosecutions Are Changing World Politics. New York : W.W. Norton, 2011.</w:t>
      </w:r>
    </w:p>
    <w:p w14:paraId="7B60EF4C" w14:textId="77777777" w:rsidR="00AE1198" w:rsidRDefault="00000000">
      <w:pPr>
        <w:spacing w:after="200" w:line="360" w:lineRule="auto"/>
        <w:jc w:val="both"/>
      </w:pPr>
      <w:r>
        <w:t>TEITEL, Ruti. Transitional Justice. Oxford : Oxford University Press, 2000.</w:t>
      </w:r>
    </w:p>
    <w:p w14:paraId="50C9340A" w14:textId="77777777" w:rsidR="00AE1198" w:rsidRDefault="00000000">
      <w:pPr>
        <w:spacing w:after="200" w:line="360" w:lineRule="auto"/>
        <w:jc w:val="both"/>
      </w:pPr>
      <w:r>
        <w:t>TEITEL, Ruti. Humanity's Law. Oxford : Oxford University Press, 2011.</w:t>
      </w:r>
    </w:p>
    <w:p w14:paraId="51DE402B" w14:textId="77777777" w:rsidR="00AE1198" w:rsidRDefault="00000000">
      <w:pPr>
        <w:spacing w:after="200" w:line="360" w:lineRule="auto"/>
        <w:jc w:val="both"/>
      </w:pPr>
      <w:r>
        <w:t>TRUTH AND RECONCILIATION COMMISSION OF SOUTH AFRICA. Final Report. Cape Town, 1998.</w:t>
      </w:r>
    </w:p>
    <w:p w14:paraId="565097F9" w14:textId="77777777" w:rsidR="00AE1198" w:rsidRDefault="00000000">
      <w:pPr>
        <w:pStyle w:val="Ttulo2"/>
      </w:pPr>
      <w:r>
        <w:t>III. Rapports institutionnels</w:t>
      </w:r>
    </w:p>
    <w:p w14:paraId="6CE309F0" w14:textId="77777777" w:rsidR="00AE1198" w:rsidRDefault="00000000">
      <w:pPr>
        <w:spacing w:after="200" w:line="360" w:lineRule="auto"/>
        <w:jc w:val="both"/>
      </w:pPr>
      <w:r>
        <w:lastRenderedPageBreak/>
        <w:t>Amnesty International — Cap-Vert : Rapports sur les Droits de l'Homme (1982, 2019, 2020, 2022).</w:t>
      </w:r>
    </w:p>
    <w:p w14:paraId="5D013E43" w14:textId="77777777" w:rsidR="00AE1198" w:rsidRDefault="00000000">
      <w:pPr>
        <w:spacing w:after="200" w:line="360" w:lineRule="auto"/>
        <w:jc w:val="both"/>
      </w:pPr>
      <w:r>
        <w:t>CNDHC — Rapport National sur les Droits de l'Homme 2010–2019. Praia, 2020.</w:t>
      </w:r>
    </w:p>
    <w:p w14:paraId="13BE76C5" w14:textId="77777777" w:rsidR="00AE1198" w:rsidRDefault="00000000">
      <w:pPr>
        <w:spacing w:after="200" w:line="360" w:lineRule="auto"/>
        <w:jc w:val="both"/>
      </w:pPr>
      <w:r>
        <w:t>CNDHC — Rapport Annuel sur les Droits de l'Homme 2021. Praia, 2022.</w:t>
      </w:r>
    </w:p>
    <w:p w14:paraId="0CDF22A9" w14:textId="77777777" w:rsidR="00AE1198" w:rsidRDefault="00000000">
      <w:pPr>
        <w:spacing w:after="200" w:line="360" w:lineRule="auto"/>
        <w:jc w:val="both"/>
      </w:pPr>
      <w:r>
        <w:t>CNDHC — Rapport de Surveillance Pénitentiaire 2020. Praia, 2020.</w:t>
      </w:r>
    </w:p>
    <w:p w14:paraId="67415E9F" w14:textId="77777777" w:rsidR="00AE1198" w:rsidRDefault="00000000">
      <w:pPr>
        <w:spacing w:after="200" w:line="360" w:lineRule="auto"/>
        <w:jc w:val="both"/>
      </w:pPr>
      <w:r>
        <w:t>Institut National de Statistique (INE) — Recensement Pénitentiaire 2018. Praia, 2019.</w:t>
      </w:r>
    </w:p>
    <w:p w14:paraId="51D7E090" w14:textId="77777777" w:rsidR="00AE1198" w:rsidRDefault="00000000">
      <w:pPr>
        <w:spacing w:after="200" w:line="360" w:lineRule="auto"/>
        <w:jc w:val="both"/>
      </w:pPr>
      <w:r>
        <w:t>PNUD — Programme de Renforcement des Capacités Policières en Droits de l'Homme. Praia, 2018.</w:t>
      </w:r>
    </w:p>
    <w:p w14:paraId="61CED63E" w14:textId="77777777" w:rsidR="00AE1198" w:rsidRDefault="00000000">
      <w:pPr>
        <w:spacing w:after="200" w:line="360" w:lineRule="auto"/>
        <w:jc w:val="both"/>
      </w:pPr>
      <w:r>
        <w:t>Rapport du Sous-Comité des Nations Unies pour la Prévention de la Torture — Cap-Vert. Genève, 2020.</w:t>
      </w:r>
    </w:p>
    <w:p w14:paraId="56FDF1DF" w14:textId="77777777" w:rsidR="00AE1198" w:rsidRDefault="00000000">
      <w:pPr>
        <w:spacing w:after="200" w:line="360" w:lineRule="auto"/>
        <w:jc w:val="both"/>
      </w:pPr>
      <w:r>
        <w:t>Union Africaine — Commission Africaine des Droits de l'Homme et des Peuples : Rapport sur la Prévention de la Torture en Afrique. Addis-Abeba, 2022.</w:t>
      </w:r>
    </w:p>
    <w:p w14:paraId="6734E0AF" w14:textId="77777777" w:rsidR="00AE1198" w:rsidRDefault="00AE1198"/>
    <w:p w14:paraId="729C9042" w14:textId="77777777" w:rsidR="00AE1198" w:rsidRDefault="00AE1198">
      <w:pPr>
        <w:pBdr>
          <w:bottom w:val="single" w:sz="6" w:space="1" w:color="2E4057"/>
        </w:pBdr>
        <w:spacing w:before="200" w:after="200"/>
      </w:pPr>
    </w:p>
    <w:p w14:paraId="7B572963" w14:textId="77777777" w:rsidR="00AE1198" w:rsidRDefault="00AE1198"/>
    <w:p w14:paraId="59DBAD14" w14:textId="77777777" w:rsidR="00AE1198" w:rsidRDefault="00000000">
      <w:pPr>
        <w:spacing w:before="80" w:after="80"/>
        <w:jc w:val="center"/>
      </w:pPr>
      <w:r>
        <w:rPr>
          <w:i/>
          <w:iCs/>
          <w:color w:val="999999"/>
          <w:sz w:val="20"/>
          <w:szCs w:val="20"/>
        </w:rPr>
        <w:t>— Fin de l'article —</w:t>
      </w:r>
    </w:p>
    <w:sectPr w:rsidR="00AE1198">
      <w:headerReference w:type="default" r:id="rId7"/>
      <w:footerReference w:type="default" r:id="rId8"/>
      <w:pgSz w:w="11906" w:h="16838"/>
      <w:pgMar w:top="1701" w:right="1701" w:bottom="1701"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E2C40" w14:textId="77777777" w:rsidR="00D81E70" w:rsidRDefault="00D81E70">
      <w:r>
        <w:separator/>
      </w:r>
    </w:p>
  </w:endnote>
  <w:endnote w:type="continuationSeparator" w:id="0">
    <w:p w14:paraId="0A0BA930" w14:textId="77777777" w:rsidR="00D81E70" w:rsidRDefault="00D81E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A1251" w14:textId="77777777" w:rsidR="00AE1198" w:rsidRDefault="00000000">
    <w:pPr>
      <w:pBdr>
        <w:top w:val="single" w:sz="3" w:space="4" w:color="CCCCCC"/>
      </w:pBdr>
      <w:jc w:val="center"/>
    </w:pPr>
    <w:r>
      <w:rPr>
        <w:color w:val="999999"/>
        <w:sz w:val="18"/>
        <w:szCs w:val="18"/>
      </w:rPr>
      <w:t xml:space="preserve">— </w:t>
    </w:r>
    <w:r>
      <w:rPr>
        <w:color w:val="999999"/>
        <w:sz w:val="18"/>
        <w:szCs w:val="18"/>
      </w:rPr>
      <w:fldChar w:fldCharType="begin"/>
    </w:r>
    <w:r>
      <w:rPr>
        <w:color w:val="999999"/>
        <w:sz w:val="18"/>
        <w:szCs w:val="18"/>
      </w:rPr>
      <w:instrText>PAGE</w:instrText>
    </w:r>
    <w:r>
      <w:rPr>
        <w:color w:val="999999"/>
        <w:sz w:val="18"/>
        <w:szCs w:val="18"/>
      </w:rPr>
      <w:fldChar w:fldCharType="separate"/>
    </w:r>
    <w:r w:rsidR="005931E5">
      <w:rPr>
        <w:noProof/>
        <w:color w:val="999999"/>
        <w:sz w:val="18"/>
        <w:szCs w:val="18"/>
      </w:rPr>
      <w:t>1</w:t>
    </w:r>
    <w:r>
      <w:rPr>
        <w:color w:val="999999"/>
        <w:sz w:val="18"/>
        <w:szCs w:val="18"/>
      </w:rPr>
      <w:fldChar w:fldCharType="end"/>
    </w:r>
    <w:r>
      <w:rPr>
        <w:color w:val="999999"/>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E8E74" w14:textId="77777777" w:rsidR="00D81E70" w:rsidRDefault="00D81E70">
      <w:r>
        <w:separator/>
      </w:r>
    </w:p>
  </w:footnote>
  <w:footnote w:type="continuationSeparator" w:id="0">
    <w:p w14:paraId="5A21898C" w14:textId="77777777" w:rsidR="00D81E70" w:rsidRDefault="00D81E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B4FCC" w14:textId="77777777" w:rsidR="00AE1198" w:rsidRDefault="00000000">
    <w:pPr>
      <w:pBdr>
        <w:bottom w:val="single" w:sz="3" w:space="4" w:color="CCCCCC"/>
      </w:pBdr>
      <w:jc w:val="right"/>
    </w:pPr>
    <w:r>
      <w:rPr>
        <w:i/>
        <w:iCs/>
        <w:color w:val="777777"/>
        <w:sz w:val="18"/>
        <w:szCs w:val="18"/>
      </w:rPr>
      <w:t>M. N. de Sena Paiva — La torture au Cap-Vert : Mémoire, Justice et Réparation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9B674C"/>
    <w:multiLevelType w:val="hybridMultilevel"/>
    <w:tmpl w:val="C6820D9A"/>
    <w:lvl w:ilvl="0" w:tplc="2F2AC9CA">
      <w:start w:val="1"/>
      <w:numFmt w:val="bullet"/>
      <w:lvlText w:val="●"/>
      <w:lvlJc w:val="left"/>
      <w:pPr>
        <w:ind w:left="720" w:hanging="360"/>
      </w:pPr>
    </w:lvl>
    <w:lvl w:ilvl="1" w:tplc="C0F2A01A">
      <w:start w:val="1"/>
      <w:numFmt w:val="bullet"/>
      <w:lvlText w:val="○"/>
      <w:lvlJc w:val="left"/>
      <w:pPr>
        <w:ind w:left="1440" w:hanging="360"/>
      </w:pPr>
    </w:lvl>
    <w:lvl w:ilvl="2" w:tplc="8890961A">
      <w:start w:val="1"/>
      <w:numFmt w:val="bullet"/>
      <w:lvlText w:val="■"/>
      <w:lvlJc w:val="left"/>
      <w:pPr>
        <w:ind w:left="2160" w:hanging="360"/>
      </w:pPr>
    </w:lvl>
    <w:lvl w:ilvl="3" w:tplc="F07ECACC">
      <w:start w:val="1"/>
      <w:numFmt w:val="bullet"/>
      <w:lvlText w:val="●"/>
      <w:lvlJc w:val="left"/>
      <w:pPr>
        <w:ind w:left="2880" w:hanging="360"/>
      </w:pPr>
    </w:lvl>
    <w:lvl w:ilvl="4" w:tplc="98BC0598">
      <w:start w:val="1"/>
      <w:numFmt w:val="bullet"/>
      <w:lvlText w:val="○"/>
      <w:lvlJc w:val="left"/>
      <w:pPr>
        <w:ind w:left="3600" w:hanging="360"/>
      </w:pPr>
    </w:lvl>
    <w:lvl w:ilvl="5" w:tplc="F82C78F6">
      <w:start w:val="1"/>
      <w:numFmt w:val="bullet"/>
      <w:lvlText w:val="■"/>
      <w:lvlJc w:val="left"/>
      <w:pPr>
        <w:ind w:left="4320" w:hanging="360"/>
      </w:pPr>
    </w:lvl>
    <w:lvl w:ilvl="6" w:tplc="F0A6D13C">
      <w:start w:val="1"/>
      <w:numFmt w:val="bullet"/>
      <w:lvlText w:val="●"/>
      <w:lvlJc w:val="left"/>
      <w:pPr>
        <w:ind w:left="5040" w:hanging="360"/>
      </w:pPr>
    </w:lvl>
    <w:lvl w:ilvl="7" w:tplc="AB14AFE6">
      <w:start w:val="1"/>
      <w:numFmt w:val="bullet"/>
      <w:lvlText w:val="●"/>
      <w:lvlJc w:val="left"/>
      <w:pPr>
        <w:ind w:left="5760" w:hanging="360"/>
      </w:pPr>
    </w:lvl>
    <w:lvl w:ilvl="8" w:tplc="AA1A58A4">
      <w:start w:val="1"/>
      <w:numFmt w:val="bullet"/>
      <w:lvlText w:val="●"/>
      <w:lvlJc w:val="left"/>
      <w:pPr>
        <w:ind w:left="6480" w:hanging="360"/>
      </w:pPr>
    </w:lvl>
  </w:abstractNum>
  <w:num w:numId="1" w16cid:durableId="117148224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198"/>
    <w:rsid w:val="001047DD"/>
    <w:rsid w:val="005931E5"/>
    <w:rsid w:val="00AE1198"/>
    <w:rsid w:val="00D81E70"/>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552FF"/>
  <w15:docId w15:val="{664D46E2-92CD-4B42-841D-D771F9A61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pt-PT" w:eastAsia="pt-P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spacing w:before="480" w:after="240"/>
      <w:outlineLvl w:val="0"/>
    </w:pPr>
    <w:rPr>
      <w:b/>
      <w:bCs/>
      <w:color w:val="1A1A2E"/>
      <w:sz w:val="28"/>
      <w:szCs w:val="28"/>
    </w:rPr>
  </w:style>
  <w:style w:type="paragraph" w:styleId="Ttulo2">
    <w:name w:val="heading 2"/>
    <w:uiPriority w:val="9"/>
    <w:unhideWhenUsed/>
    <w:qFormat/>
    <w:pPr>
      <w:spacing w:before="360" w:after="180"/>
      <w:outlineLvl w:val="1"/>
    </w:pPr>
    <w:rPr>
      <w:b/>
      <w:bCs/>
      <w:color w:val="16213E"/>
      <w:sz w:val="26"/>
      <w:szCs w:val="26"/>
    </w:rPr>
  </w:style>
  <w:style w:type="paragraph" w:styleId="Ttulo3">
    <w:name w:val="heading 3"/>
    <w:uiPriority w:val="9"/>
    <w:semiHidden/>
    <w:unhideWhenUsed/>
    <w:qFormat/>
    <w:pPr>
      <w:spacing w:before="260" w:after="130"/>
      <w:outlineLvl w:val="2"/>
    </w:pPr>
    <w:rPr>
      <w:b/>
      <w:bCs/>
      <w:i/>
      <w:iCs/>
      <w:color w:val="0F3460"/>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uiPriority w:val="10"/>
    <w:qFormat/>
    <w:rPr>
      <w:sz w:val="56"/>
      <w:szCs w:val="56"/>
    </w:rPr>
  </w:style>
  <w:style w:type="paragraph" w:customStyle="1" w:styleId="Forte1">
    <w:name w:val="Forte1"/>
    <w:qFormat/>
    <w:rPr>
      <w:b/>
      <w:bCs/>
    </w:rPr>
  </w:style>
  <w:style w:type="paragraph" w:styleId="PargrafodaLista">
    <w:name w:val="List Paragraph"/>
    <w:qFormat/>
  </w:style>
  <w:style w:type="character" w:styleId="Hiperligao">
    <w:name w:val="Hyperlink"/>
    <w:uiPriority w:val="99"/>
    <w:unhideWhenUsed/>
    <w:rPr>
      <w:color w:val="0563C1"/>
      <w:u w:val="single"/>
    </w:rPr>
  </w:style>
  <w:style w:type="character" w:styleId="Refdenotaderodap">
    <w:name w:val="footnote reference"/>
    <w:uiPriority w:val="99"/>
    <w:semiHidden/>
    <w:unhideWhenUsed/>
    <w:rPr>
      <w:vertAlign w:val="superscript"/>
    </w:rPr>
  </w:style>
  <w:style w:type="paragraph" w:styleId="Textodenotaderodap">
    <w:name w:val="footnote text"/>
    <w:link w:val="TextodenotaderodapCarter"/>
    <w:uiPriority w:val="99"/>
    <w:semiHidden/>
    <w:unhideWhenUsed/>
    <w:rPr>
      <w:sz w:val="20"/>
      <w:szCs w:val="20"/>
    </w:rPr>
  </w:style>
  <w:style w:type="character" w:customStyle="1" w:styleId="TextodenotaderodapCarter">
    <w:name w:val="Texto de nota de rodapé Caráter"/>
    <w:link w:val="Textodenotaderodap"/>
    <w:uiPriority w:val="99"/>
    <w:semiHidden/>
    <w:unhideWhenUsed/>
    <w:rPr>
      <w:sz w:val="20"/>
      <w:szCs w:val="20"/>
    </w:rPr>
  </w:style>
  <w:style w:type="character" w:styleId="Refdenotadefim">
    <w:name w:val="endnote reference"/>
    <w:uiPriority w:val="99"/>
    <w:semiHidden/>
    <w:unhideWhenUsed/>
    <w:rPr>
      <w:vertAlign w:val="superscript"/>
    </w:rPr>
  </w:style>
  <w:style w:type="paragraph" w:styleId="Textodenotadefim">
    <w:name w:val="endnote text"/>
    <w:link w:val="TextodenotadefimCarter"/>
    <w:uiPriority w:val="99"/>
    <w:semiHidden/>
    <w:unhideWhenUsed/>
    <w:rPr>
      <w:sz w:val="20"/>
      <w:szCs w:val="20"/>
    </w:rPr>
  </w:style>
  <w:style w:type="character" w:customStyle="1" w:styleId="TextodenotadefimCarter">
    <w:name w:val="Texto de nota de fim Caráter"/>
    <w:link w:val="Textodenotadefim"/>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4941</Words>
  <Characters>26687</Characters>
  <Application>Microsoft Office Word</Application>
  <DocSecurity>0</DocSecurity>
  <Lines>222</Lines>
  <Paragraphs>63</Paragraphs>
  <ScaleCrop>false</ScaleCrop>
  <Company/>
  <LinksUpToDate>false</LinksUpToDate>
  <CharactersWithSpaces>31565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Milton Paiva</cp:lastModifiedBy>
  <cp:revision>2</cp:revision>
  <dcterms:created xsi:type="dcterms:W3CDTF">2026-04-22T13:54:00Z</dcterms:created>
  <dcterms:modified xsi:type="dcterms:W3CDTF">2026-04-22T13:54:00Z</dcterms:modified>
</cp:coreProperties>
</file>