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59C0A" w14:textId="325A366E" w:rsidR="0082415D" w:rsidRPr="00E9644F" w:rsidRDefault="002E4D22" w:rsidP="0068293A">
      <w:pPr>
        <w:spacing w:line="480" w:lineRule="auto"/>
        <w:jc w:val="center"/>
        <w:rPr>
          <w:rFonts w:ascii="Times New Roman" w:hAnsi="Times New Roman" w:cs="Times New Roman"/>
          <w:b/>
          <w:sz w:val="24"/>
          <w:szCs w:val="24"/>
        </w:rPr>
      </w:pPr>
      <w:bookmarkStart w:id="0" w:name="_Hlk208575658"/>
      <w:bookmarkEnd w:id="0"/>
      <w:r w:rsidRPr="00E9644F">
        <w:rPr>
          <w:rFonts w:ascii="Times New Roman" w:hAnsi="Times New Roman" w:cs="Times New Roman"/>
          <w:b/>
          <w:sz w:val="24"/>
          <w:szCs w:val="24"/>
        </w:rPr>
        <w:t xml:space="preserve">Insecticide resistance dynamics in </w:t>
      </w:r>
      <w:r w:rsidRPr="00E9644F">
        <w:rPr>
          <w:rFonts w:ascii="Times New Roman" w:hAnsi="Times New Roman" w:cs="Times New Roman"/>
          <w:b/>
          <w:i/>
          <w:iCs/>
          <w:sz w:val="24"/>
          <w:szCs w:val="24"/>
        </w:rPr>
        <w:t>Aedes</w:t>
      </w:r>
      <w:r w:rsidRPr="00E9644F">
        <w:rPr>
          <w:rFonts w:ascii="Times New Roman" w:hAnsi="Times New Roman" w:cs="Times New Roman"/>
          <w:b/>
          <w:sz w:val="24"/>
          <w:szCs w:val="24"/>
        </w:rPr>
        <w:t xml:space="preserve"> mosquitoes in Ghana</w:t>
      </w:r>
    </w:p>
    <w:p w14:paraId="493A9B6A" w14:textId="77777777" w:rsidR="003D2D81" w:rsidRPr="00E9644F" w:rsidRDefault="003D2D81" w:rsidP="003D2D81">
      <w:pPr>
        <w:spacing w:line="480" w:lineRule="auto"/>
        <w:jc w:val="both"/>
        <w:rPr>
          <w:rFonts w:ascii="Times New Roman" w:eastAsia="Calibri" w:hAnsi="Times New Roman" w:cs="Times New Roman"/>
          <w:bCs/>
          <w:sz w:val="24"/>
          <w:szCs w:val="24"/>
        </w:rPr>
      </w:pPr>
      <w:r w:rsidRPr="00E9644F">
        <w:rPr>
          <w:rFonts w:ascii="Times New Roman" w:eastAsia="Calibri" w:hAnsi="Times New Roman" w:cs="Times New Roman"/>
          <w:bCs/>
          <w:sz w:val="24"/>
          <w:szCs w:val="24"/>
        </w:rPr>
        <w:t>Isaac Kwame Sraku</w:t>
      </w:r>
      <w:r w:rsidRPr="00E9644F">
        <w:rPr>
          <w:rFonts w:ascii="Times New Roman" w:eastAsia="Calibri" w:hAnsi="Times New Roman" w:cs="Times New Roman"/>
          <w:bCs/>
          <w:sz w:val="24"/>
          <w:szCs w:val="24"/>
          <w:vertAlign w:val="superscript"/>
        </w:rPr>
        <w:t>1</w:t>
      </w:r>
      <w:r w:rsidRPr="00E9644F">
        <w:rPr>
          <w:rFonts w:ascii="Times New Roman" w:eastAsia="Calibri" w:hAnsi="Times New Roman" w:cs="Times New Roman"/>
          <w:bCs/>
          <w:sz w:val="24"/>
          <w:szCs w:val="24"/>
        </w:rPr>
        <w:t>, Christopher Mfum Owusu-Asenso</w:t>
      </w:r>
      <w:r w:rsidRPr="00E9644F">
        <w:rPr>
          <w:rFonts w:ascii="Times New Roman" w:eastAsia="Calibri" w:hAnsi="Times New Roman" w:cs="Times New Roman"/>
          <w:bCs/>
          <w:sz w:val="24"/>
          <w:szCs w:val="24"/>
          <w:vertAlign w:val="superscript"/>
        </w:rPr>
        <w:t>1</w:t>
      </w:r>
      <w:r w:rsidRPr="00E9644F">
        <w:rPr>
          <w:rFonts w:ascii="Times New Roman" w:eastAsia="Calibri" w:hAnsi="Times New Roman" w:cs="Times New Roman"/>
          <w:bCs/>
          <w:sz w:val="24"/>
          <w:szCs w:val="24"/>
        </w:rPr>
        <w:t>, Anisa Abdulai</w:t>
      </w:r>
      <w:r w:rsidRPr="00E9644F">
        <w:rPr>
          <w:rFonts w:ascii="Times New Roman" w:eastAsia="Calibri" w:hAnsi="Times New Roman" w:cs="Times New Roman"/>
          <w:bCs/>
          <w:sz w:val="24"/>
          <w:szCs w:val="24"/>
          <w:vertAlign w:val="superscript"/>
        </w:rPr>
        <w:t>1</w:t>
      </w:r>
      <w:r w:rsidRPr="00E9644F">
        <w:rPr>
          <w:rFonts w:ascii="Times New Roman" w:eastAsia="Calibri" w:hAnsi="Times New Roman" w:cs="Times New Roman"/>
          <w:bCs/>
          <w:sz w:val="24"/>
          <w:szCs w:val="24"/>
        </w:rPr>
        <w:t>, Margaret Addo</w:t>
      </w:r>
      <w:r w:rsidRPr="00E9644F">
        <w:rPr>
          <w:rFonts w:ascii="Times New Roman" w:hAnsi="Times New Roman" w:cs="Times New Roman"/>
          <w:vertAlign w:val="superscript"/>
        </w:rPr>
        <w:t>1</w:t>
      </w:r>
      <w:r w:rsidRPr="00E9644F">
        <w:rPr>
          <w:rFonts w:ascii="Times New Roman" w:hAnsi="Times New Roman" w:cs="Times New Roman"/>
        </w:rPr>
        <w:t xml:space="preserve">, </w:t>
      </w:r>
      <w:r w:rsidRPr="00E9644F">
        <w:rPr>
          <w:rFonts w:ascii="Times New Roman" w:eastAsia="Calibri" w:hAnsi="Times New Roman" w:cs="Times New Roman"/>
          <w:bCs/>
          <w:sz w:val="24"/>
          <w:szCs w:val="24"/>
        </w:rPr>
        <w:t>Sebastian Kow Egyin Mensah</w:t>
      </w:r>
      <w:r w:rsidRPr="00E9644F">
        <w:rPr>
          <w:rFonts w:ascii="Times New Roman" w:eastAsia="Calibri" w:hAnsi="Times New Roman" w:cs="Times New Roman"/>
          <w:bCs/>
          <w:sz w:val="24"/>
          <w:szCs w:val="24"/>
          <w:vertAlign w:val="superscript"/>
        </w:rPr>
        <w:t>1</w:t>
      </w:r>
      <w:r w:rsidRPr="00E9644F">
        <w:rPr>
          <w:rFonts w:ascii="Times New Roman" w:eastAsia="Calibri" w:hAnsi="Times New Roman" w:cs="Times New Roman"/>
          <w:bCs/>
          <w:sz w:val="24"/>
          <w:szCs w:val="24"/>
        </w:rPr>
        <w:t>, Faustina Adobea Owusu</w:t>
      </w:r>
      <w:r w:rsidRPr="00E9644F">
        <w:rPr>
          <w:rFonts w:ascii="Times New Roman" w:eastAsia="Calibri" w:hAnsi="Times New Roman" w:cs="Times New Roman"/>
          <w:bCs/>
          <w:sz w:val="24"/>
          <w:szCs w:val="24"/>
          <w:vertAlign w:val="superscript"/>
        </w:rPr>
        <w:t>1</w:t>
      </w:r>
      <w:r w:rsidRPr="00E9644F">
        <w:rPr>
          <w:rFonts w:ascii="Times New Roman" w:eastAsia="Calibri" w:hAnsi="Times New Roman" w:cs="Times New Roman"/>
          <w:bCs/>
          <w:sz w:val="24"/>
          <w:szCs w:val="24"/>
        </w:rPr>
        <w:t>, Yaw Akuamoah-Boateng</w:t>
      </w:r>
      <w:r w:rsidRPr="00E9644F">
        <w:rPr>
          <w:rFonts w:ascii="Times New Roman" w:eastAsia="Calibri" w:hAnsi="Times New Roman" w:cs="Times New Roman"/>
          <w:bCs/>
          <w:sz w:val="24"/>
          <w:szCs w:val="24"/>
          <w:vertAlign w:val="superscript"/>
        </w:rPr>
        <w:t>1</w:t>
      </w:r>
      <w:r w:rsidRPr="00E9644F">
        <w:rPr>
          <w:rFonts w:ascii="Times New Roman" w:eastAsia="Calibri" w:hAnsi="Times New Roman" w:cs="Times New Roman"/>
          <w:bCs/>
          <w:sz w:val="24"/>
          <w:szCs w:val="24"/>
        </w:rPr>
        <w:t>, Abdul Rahim Mohammed Sabtiu</w:t>
      </w:r>
      <w:r w:rsidRPr="00E9644F">
        <w:rPr>
          <w:rFonts w:ascii="Times New Roman" w:eastAsia="Calibri" w:hAnsi="Times New Roman" w:cs="Times New Roman"/>
          <w:bCs/>
          <w:sz w:val="24"/>
          <w:szCs w:val="24"/>
          <w:vertAlign w:val="superscript"/>
        </w:rPr>
        <w:t>1</w:t>
      </w:r>
      <w:r w:rsidRPr="00E9644F">
        <w:rPr>
          <w:rFonts w:ascii="Times New Roman" w:eastAsia="Calibri" w:hAnsi="Times New Roman" w:cs="Times New Roman"/>
          <w:bCs/>
          <w:sz w:val="24"/>
          <w:szCs w:val="24"/>
        </w:rPr>
        <w:t xml:space="preserve">, </w:t>
      </w:r>
      <w:r w:rsidRPr="00E9644F">
        <w:rPr>
          <w:rFonts w:ascii="Times New Roman" w:hAnsi="Times New Roman" w:cs="Times New Roman"/>
          <w:sz w:val="24"/>
          <w:szCs w:val="24"/>
        </w:rPr>
        <w:t>Emmanuel Nana Boadu</w:t>
      </w:r>
      <w:r w:rsidRPr="00E9644F">
        <w:rPr>
          <w:rFonts w:ascii="Times New Roman" w:hAnsi="Times New Roman" w:cs="Times New Roman"/>
          <w:sz w:val="24"/>
          <w:szCs w:val="24"/>
          <w:vertAlign w:val="superscript"/>
        </w:rPr>
        <w:t>1</w:t>
      </w:r>
      <w:r w:rsidRPr="00E9644F">
        <w:rPr>
          <w:rFonts w:ascii="Times New Roman" w:hAnsi="Times New Roman" w:cs="Times New Roman"/>
          <w:sz w:val="24"/>
          <w:szCs w:val="24"/>
        </w:rPr>
        <w:t xml:space="preserve">, </w:t>
      </w:r>
      <w:r w:rsidRPr="00E9644F">
        <w:rPr>
          <w:rFonts w:ascii="Times New Roman" w:eastAsia="Calibri" w:hAnsi="Times New Roman" w:cs="Times New Roman"/>
          <w:bCs/>
          <w:sz w:val="24"/>
          <w:szCs w:val="24"/>
        </w:rPr>
        <w:t>Grace Danquah Arhin</w:t>
      </w:r>
      <w:r w:rsidRPr="00E9644F">
        <w:rPr>
          <w:rFonts w:ascii="Times New Roman" w:eastAsia="Calibri" w:hAnsi="Times New Roman" w:cs="Times New Roman"/>
          <w:bCs/>
          <w:sz w:val="24"/>
          <w:szCs w:val="24"/>
          <w:vertAlign w:val="superscript"/>
        </w:rPr>
        <w:t>1</w:t>
      </w:r>
      <w:r w:rsidRPr="00E9644F">
        <w:rPr>
          <w:rFonts w:ascii="Times New Roman" w:eastAsia="Calibri" w:hAnsi="Times New Roman" w:cs="Times New Roman"/>
          <w:bCs/>
          <w:sz w:val="24"/>
          <w:szCs w:val="24"/>
        </w:rPr>
        <w:t>, Cornelia Appiah-Kwarteng</w:t>
      </w:r>
      <w:r w:rsidRPr="00E9644F">
        <w:rPr>
          <w:rFonts w:ascii="Times New Roman" w:eastAsia="Calibri" w:hAnsi="Times New Roman" w:cs="Times New Roman"/>
          <w:bCs/>
          <w:sz w:val="24"/>
          <w:szCs w:val="24"/>
          <w:vertAlign w:val="superscript"/>
        </w:rPr>
        <w:t>3</w:t>
      </w:r>
      <w:r w:rsidRPr="00E9644F">
        <w:rPr>
          <w:rFonts w:ascii="Times New Roman" w:eastAsia="Calibri" w:hAnsi="Times New Roman" w:cs="Times New Roman"/>
          <w:bCs/>
          <w:sz w:val="24"/>
          <w:szCs w:val="24"/>
        </w:rPr>
        <w:t>, Akua Obeng Forson</w:t>
      </w:r>
      <w:r w:rsidRPr="00E9644F">
        <w:rPr>
          <w:rFonts w:ascii="Times New Roman" w:eastAsia="Calibri" w:hAnsi="Times New Roman" w:cs="Times New Roman"/>
          <w:bCs/>
          <w:sz w:val="24"/>
          <w:szCs w:val="24"/>
          <w:vertAlign w:val="superscript"/>
        </w:rPr>
        <w:t>2</w:t>
      </w:r>
      <w:r w:rsidRPr="00E9644F">
        <w:rPr>
          <w:rFonts w:ascii="Times New Roman" w:eastAsia="Calibri" w:hAnsi="Times New Roman" w:cs="Times New Roman"/>
          <w:bCs/>
          <w:sz w:val="24"/>
          <w:szCs w:val="24"/>
        </w:rPr>
        <w:t>, Simon Kwaku Attah</w:t>
      </w:r>
      <w:r w:rsidRPr="00E9644F">
        <w:rPr>
          <w:rFonts w:ascii="Times New Roman" w:eastAsia="Calibri" w:hAnsi="Times New Roman" w:cs="Times New Roman"/>
          <w:bCs/>
          <w:sz w:val="24"/>
          <w:szCs w:val="24"/>
          <w:vertAlign w:val="superscript"/>
        </w:rPr>
        <w:t>1</w:t>
      </w:r>
      <w:r w:rsidRPr="00E9644F">
        <w:rPr>
          <w:rFonts w:ascii="Times New Roman" w:eastAsia="Calibri" w:hAnsi="Times New Roman" w:cs="Times New Roman"/>
          <w:bCs/>
          <w:sz w:val="24"/>
          <w:szCs w:val="24"/>
        </w:rPr>
        <w:t>, Yaw Asare Afrane</w:t>
      </w:r>
      <w:r w:rsidRPr="00E9644F">
        <w:rPr>
          <w:rFonts w:ascii="Times New Roman" w:eastAsia="Calibri" w:hAnsi="Times New Roman" w:cs="Times New Roman"/>
          <w:bCs/>
          <w:sz w:val="24"/>
          <w:szCs w:val="24"/>
          <w:vertAlign w:val="superscript"/>
        </w:rPr>
        <w:t>1</w:t>
      </w:r>
    </w:p>
    <w:p w14:paraId="575C68CE" w14:textId="77777777" w:rsidR="00B8210A" w:rsidRPr="00E9644F" w:rsidRDefault="00B8210A" w:rsidP="00AB3BA0">
      <w:pPr>
        <w:spacing w:before="240" w:line="480" w:lineRule="auto"/>
        <w:contextualSpacing/>
        <w:jc w:val="both"/>
        <w:rPr>
          <w:rFonts w:ascii="Times New Roman" w:eastAsia="Calibri" w:hAnsi="Times New Roman" w:cs="Times New Roman"/>
          <w:sz w:val="24"/>
          <w:szCs w:val="24"/>
        </w:rPr>
      </w:pPr>
      <w:r w:rsidRPr="00E9644F">
        <w:rPr>
          <w:rFonts w:ascii="Times New Roman" w:eastAsia="Calibri" w:hAnsi="Times New Roman" w:cs="Times New Roman"/>
          <w:sz w:val="24"/>
          <w:szCs w:val="24"/>
          <w:vertAlign w:val="superscript"/>
        </w:rPr>
        <w:t>1</w:t>
      </w:r>
      <w:r w:rsidRPr="00E9644F">
        <w:rPr>
          <w:rFonts w:ascii="Times New Roman" w:eastAsia="Calibri" w:hAnsi="Times New Roman" w:cs="Times New Roman"/>
          <w:sz w:val="24"/>
          <w:szCs w:val="24"/>
        </w:rPr>
        <w:t>Centre for Vector-Borne Disease Research, Department of Medical Microbiology, University of Ghana Medical School, Korle-Bu, Accra, Ghana.</w:t>
      </w:r>
    </w:p>
    <w:p w14:paraId="413D6A6A" w14:textId="77777777" w:rsidR="0068293A" w:rsidRPr="00E9644F" w:rsidRDefault="0068293A" w:rsidP="00AB3BA0">
      <w:pPr>
        <w:spacing w:line="480" w:lineRule="auto"/>
        <w:contextualSpacing/>
        <w:jc w:val="both"/>
        <w:rPr>
          <w:rFonts w:ascii="Times New Roman" w:eastAsia="Calibri" w:hAnsi="Times New Roman" w:cs="Times New Roman"/>
          <w:sz w:val="24"/>
          <w:szCs w:val="24"/>
        </w:rPr>
      </w:pPr>
      <w:r w:rsidRPr="00E9644F">
        <w:rPr>
          <w:rFonts w:ascii="Times New Roman" w:eastAsia="Calibri" w:hAnsi="Times New Roman" w:cs="Times New Roman"/>
          <w:sz w:val="24"/>
          <w:szCs w:val="24"/>
          <w:vertAlign w:val="superscript"/>
        </w:rPr>
        <w:t>2</w:t>
      </w:r>
      <w:r w:rsidRPr="00E9644F">
        <w:rPr>
          <w:rFonts w:ascii="Times New Roman" w:eastAsia="Calibri" w:hAnsi="Times New Roman" w:cs="Times New Roman"/>
          <w:sz w:val="24"/>
          <w:szCs w:val="24"/>
        </w:rPr>
        <w:t>Department of Medical Laboratory Science, School of Biomedical and Allied Health Sciences, University of Ghana, Korle-Bu, Accra, Ghana</w:t>
      </w:r>
    </w:p>
    <w:p w14:paraId="6C2848D6" w14:textId="77777777" w:rsidR="0068293A" w:rsidRPr="00E9644F" w:rsidRDefault="0068293A" w:rsidP="00AB3BA0">
      <w:pPr>
        <w:spacing w:line="480" w:lineRule="auto"/>
        <w:contextualSpacing/>
        <w:jc w:val="both"/>
        <w:rPr>
          <w:rFonts w:ascii="Times New Roman" w:eastAsia="Calibri" w:hAnsi="Times New Roman" w:cs="Times New Roman"/>
          <w:sz w:val="24"/>
          <w:szCs w:val="24"/>
        </w:rPr>
      </w:pPr>
      <w:r w:rsidRPr="00E9644F">
        <w:rPr>
          <w:rFonts w:ascii="Times New Roman" w:eastAsia="Calibri" w:hAnsi="Times New Roman" w:cs="Times New Roman"/>
          <w:sz w:val="24"/>
          <w:szCs w:val="24"/>
          <w:vertAlign w:val="superscript"/>
        </w:rPr>
        <w:t>3</w:t>
      </w:r>
      <w:r w:rsidRPr="00E9644F">
        <w:rPr>
          <w:rFonts w:ascii="Times New Roman" w:eastAsia="Calibri" w:hAnsi="Times New Roman" w:cs="Times New Roman"/>
          <w:sz w:val="24"/>
          <w:szCs w:val="24"/>
        </w:rPr>
        <w:t>School of Veterinary Medicine, University of Ghana, Legon, Accra, Ghana.</w:t>
      </w:r>
    </w:p>
    <w:p w14:paraId="607F1BE6" w14:textId="77777777" w:rsidR="0068293A" w:rsidRPr="00E9644F" w:rsidRDefault="0068293A" w:rsidP="00AB3BA0">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Corresponding author</w:t>
      </w:r>
    </w:p>
    <w:p w14:paraId="075E1E99" w14:textId="77777777" w:rsidR="0068293A" w:rsidRPr="00E9644F" w:rsidRDefault="0068293A" w:rsidP="00AB3BA0">
      <w:pPr>
        <w:spacing w:after="0" w:line="480" w:lineRule="auto"/>
        <w:jc w:val="both"/>
        <w:rPr>
          <w:rFonts w:ascii="Times New Roman" w:hAnsi="Times New Roman" w:cs="Times New Roman"/>
          <w:bCs/>
          <w:sz w:val="24"/>
          <w:szCs w:val="24"/>
        </w:rPr>
      </w:pPr>
      <w:r w:rsidRPr="00E9644F">
        <w:rPr>
          <w:rFonts w:ascii="Times New Roman" w:hAnsi="Times New Roman" w:cs="Times New Roman"/>
          <w:bCs/>
          <w:sz w:val="24"/>
          <w:szCs w:val="24"/>
        </w:rPr>
        <w:t>Yaw Asare Afrane</w:t>
      </w:r>
    </w:p>
    <w:p w14:paraId="40C89778" w14:textId="77777777" w:rsidR="0068293A" w:rsidRPr="00E9644F" w:rsidRDefault="0068293A" w:rsidP="00AB3BA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yafrane@ug.edu.gh</w:t>
      </w:r>
    </w:p>
    <w:p w14:paraId="6A679FCC" w14:textId="77777777" w:rsidR="0068293A" w:rsidRPr="00E9644F" w:rsidRDefault="0068293A" w:rsidP="00AB3BA0">
      <w:pPr>
        <w:spacing w:line="480" w:lineRule="auto"/>
        <w:contextualSpacing/>
        <w:jc w:val="both"/>
        <w:rPr>
          <w:rFonts w:ascii="Times New Roman" w:eastAsia="Calibri" w:hAnsi="Times New Roman" w:cs="Times New Roman"/>
          <w:sz w:val="24"/>
          <w:szCs w:val="24"/>
        </w:rPr>
      </w:pPr>
      <w:r w:rsidRPr="00E9644F">
        <w:rPr>
          <w:rFonts w:ascii="Times New Roman" w:eastAsia="Calibri" w:hAnsi="Times New Roman" w:cs="Times New Roman"/>
          <w:b/>
          <w:bCs/>
          <w:sz w:val="24"/>
          <w:szCs w:val="24"/>
        </w:rPr>
        <w:t>ORCID details</w:t>
      </w:r>
      <w:r w:rsidRPr="00E9644F">
        <w:rPr>
          <w:rFonts w:ascii="Times New Roman" w:eastAsia="Calibri" w:hAnsi="Times New Roman" w:cs="Times New Roman"/>
          <w:sz w:val="24"/>
          <w:szCs w:val="24"/>
        </w:rPr>
        <w:t>:</w:t>
      </w:r>
    </w:p>
    <w:p w14:paraId="246A40B5" w14:textId="77777777" w:rsidR="0068293A" w:rsidRPr="00E9644F" w:rsidRDefault="0068293A" w:rsidP="00AB3BA0">
      <w:pPr>
        <w:spacing w:after="0" w:line="480" w:lineRule="auto"/>
        <w:jc w:val="both"/>
        <w:rPr>
          <w:rFonts w:ascii="Times New Roman" w:hAnsi="Times New Roman" w:cs="Times New Roman"/>
          <w:bCs/>
          <w:sz w:val="24"/>
          <w:szCs w:val="24"/>
        </w:rPr>
      </w:pPr>
      <w:r w:rsidRPr="00E9644F">
        <w:rPr>
          <w:rFonts w:ascii="Times New Roman" w:hAnsi="Times New Roman" w:cs="Times New Roman"/>
          <w:sz w:val="24"/>
          <w:szCs w:val="24"/>
        </w:rPr>
        <w:t xml:space="preserve">https://orcid.org/0000-0001-9069-3979: </w:t>
      </w:r>
      <w:r w:rsidRPr="00E9644F">
        <w:rPr>
          <w:rFonts w:ascii="Times New Roman" w:hAnsi="Times New Roman" w:cs="Times New Roman"/>
          <w:bCs/>
          <w:sz w:val="24"/>
          <w:szCs w:val="24"/>
        </w:rPr>
        <w:t>Yaw Asare Afrane</w:t>
      </w:r>
    </w:p>
    <w:p w14:paraId="1B41334D" w14:textId="77777777" w:rsidR="0068293A" w:rsidRPr="00E9644F" w:rsidRDefault="0068293A" w:rsidP="00AB3BA0">
      <w:pPr>
        <w:spacing w:line="480" w:lineRule="auto"/>
        <w:jc w:val="both"/>
        <w:rPr>
          <w:rFonts w:ascii="Times New Roman" w:eastAsia="Calibri" w:hAnsi="Times New Roman" w:cs="Times New Roman"/>
          <w:bCs/>
        </w:rPr>
      </w:pPr>
      <w:r w:rsidRPr="00E9644F">
        <w:rPr>
          <w:rFonts w:ascii="Times New Roman" w:hAnsi="Times New Roman" w:cs="Times New Roman"/>
          <w:sz w:val="24"/>
          <w:szCs w:val="24"/>
        </w:rPr>
        <w:t xml:space="preserve">https://orcid.org/0000-0002-4839-3232: </w:t>
      </w:r>
      <w:r w:rsidRPr="00E9644F">
        <w:rPr>
          <w:rFonts w:ascii="Times New Roman" w:eastAsia="Calibri" w:hAnsi="Times New Roman" w:cs="Times New Roman"/>
          <w:bCs/>
          <w:sz w:val="24"/>
          <w:szCs w:val="24"/>
        </w:rPr>
        <w:t>Christopher Mfum</w:t>
      </w:r>
      <w:r w:rsidRPr="00E9644F">
        <w:rPr>
          <w:rFonts w:ascii="Times New Roman" w:eastAsia="Calibri" w:hAnsi="Times New Roman" w:cs="Times New Roman"/>
          <w:bCs/>
        </w:rPr>
        <w:t xml:space="preserve"> Owusu-Asenso</w:t>
      </w:r>
    </w:p>
    <w:p w14:paraId="34888933" w14:textId="3D8296E0" w:rsidR="0068293A" w:rsidRPr="001834B2" w:rsidRDefault="0068293A" w:rsidP="00AB3BA0">
      <w:pPr>
        <w:spacing w:line="480" w:lineRule="auto"/>
        <w:jc w:val="both"/>
        <w:rPr>
          <w:rFonts w:ascii="Times New Roman" w:hAnsi="Times New Roman" w:cs="Times New Roman"/>
          <w:sz w:val="24"/>
          <w:szCs w:val="24"/>
          <w:lang w:val="pt-PT"/>
        </w:rPr>
      </w:pPr>
      <w:r w:rsidRPr="001834B2">
        <w:rPr>
          <w:rFonts w:ascii="Times New Roman" w:hAnsi="Times New Roman" w:cs="Times New Roman"/>
          <w:sz w:val="24"/>
          <w:szCs w:val="24"/>
          <w:lang w:val="pt-PT"/>
        </w:rPr>
        <w:t>https://orcid.org/0009-0003-7686-7663: Faustina Adobea Owusu</w:t>
      </w:r>
    </w:p>
    <w:p w14:paraId="55416B21" w14:textId="77777777" w:rsidR="00B8210A" w:rsidRPr="001834B2" w:rsidRDefault="00B8210A" w:rsidP="00AB3BA0">
      <w:pPr>
        <w:spacing w:after="0" w:line="480" w:lineRule="auto"/>
        <w:jc w:val="both"/>
        <w:rPr>
          <w:rFonts w:ascii="Times New Roman" w:hAnsi="Times New Roman" w:cs="Times New Roman"/>
          <w:b/>
          <w:bCs/>
          <w:sz w:val="12"/>
          <w:szCs w:val="12"/>
          <w:lang w:val="pt-PT"/>
        </w:rPr>
      </w:pPr>
    </w:p>
    <w:p w14:paraId="70E90B22" w14:textId="31B0D876" w:rsidR="00F34D46" w:rsidRPr="00E9644F" w:rsidRDefault="00F34D46" w:rsidP="00AB3BA0">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Abstract</w:t>
      </w:r>
    </w:p>
    <w:p w14:paraId="4423A619" w14:textId="7B3293A3" w:rsidR="0072097F" w:rsidRPr="00E9644F" w:rsidRDefault="001834B2" w:rsidP="00AB3BA0">
      <w:pPr>
        <w:pStyle w:val="CommentText"/>
        <w:spacing w:after="0" w:line="360" w:lineRule="auto"/>
        <w:jc w:val="both"/>
        <w:rPr>
          <w:rFonts w:ascii="Times New Roman" w:hAnsi="Times New Roman" w:cs="Times New Roman"/>
          <w:color w:val="0F1115"/>
          <w:sz w:val="24"/>
          <w:szCs w:val="24"/>
        </w:rPr>
      </w:pPr>
      <w:r w:rsidRPr="001834B2">
        <w:rPr>
          <w:rFonts w:ascii="Times New Roman" w:hAnsi="Times New Roman" w:cs="Times New Roman"/>
          <w:color w:val="0F1115"/>
          <w:sz w:val="24"/>
          <w:szCs w:val="24"/>
        </w:rPr>
        <w:t xml:space="preserve">Arboviral diseases such as dengue, chikungunya, Zika, and yellow fever are of increasing endemicity and public health concern in Africa, with dengue representing a rapidly growing threat. Understanding the spatial distribution and insecticide resistance dynamics of Aedes vectors is critical for guiding effective control interventions. We conducted larval surveys and WHO adult </w:t>
      </w:r>
      <w:r w:rsidRPr="001834B2">
        <w:rPr>
          <w:rFonts w:ascii="Times New Roman" w:hAnsi="Times New Roman" w:cs="Times New Roman"/>
          <w:color w:val="0F1115"/>
          <w:sz w:val="24"/>
          <w:szCs w:val="24"/>
        </w:rPr>
        <w:lastRenderedPageBreak/>
        <w:t>susceptibility bioassays on emerged adults from January 2019 to December 2023 across ecological zones in Ghana. Bioassays revealed widespread resistance in Ae. aegypti to pyrethroids, with mortality ranging from 33.8% to 88.8% for deltamethrin and 65% to 89% for permethrin. Mortality in the 90–97% range, suggesting possible resistance, was observed in some sites, whereas Ae. aegypti from Paga, Takoradi, and Accra were susceptible to pirimiphos-methyl. Ae. vittatus populations exhibited confirmed or possible resistance to pyrethroids, while Ae. albopictus remained susceptible to all insecticides tested. Genotyping of mosquitoes (n = 887) identified high allelic frequencies of the F1534C kdr mutation in pyrethroid-resistant Ae. aegypti populations, particularly in Konongo, Navrongo, Ada, Tema, and Accra (F = 0.72–0.97). Lower frequencies were detected in Ae. albopictus (F = 0.35) and Ae. vittatus (F = 0.05–0.32). The V1016I mutation occurred in all species at variable frequencies (F = 0.02–0.80), while the V410L mutation was detected in Ae. aegypti (F = 0.30) and Ae. albopictus (F = 0.27) from Takoradi. These findings highlight widespread pyrethroid resistance in Ghanaian Aedes populations, driven primarily by target-site insensitivity, and underscore the urgent need for evidence-based integrated vector management strategies.</w:t>
      </w:r>
    </w:p>
    <w:p w14:paraId="6DBB2AF1" w14:textId="77777777" w:rsidR="00AB3BA0" w:rsidRPr="00E9644F" w:rsidRDefault="00AB3BA0" w:rsidP="00AB3BA0">
      <w:pPr>
        <w:pStyle w:val="CommentText"/>
        <w:spacing w:after="0" w:line="360" w:lineRule="auto"/>
        <w:jc w:val="both"/>
      </w:pPr>
    </w:p>
    <w:p w14:paraId="3898B33D" w14:textId="11C4C0C3" w:rsidR="00F34D46" w:rsidRPr="00E9644F" w:rsidRDefault="00141C2C" w:rsidP="00B76860">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Subject Area</w:t>
      </w:r>
    </w:p>
    <w:p w14:paraId="28187D27" w14:textId="7ED403B9" w:rsidR="00141C2C" w:rsidRPr="00E9644F" w:rsidRDefault="00141C2C" w:rsidP="00B76860">
      <w:pPr>
        <w:spacing w:after="0" w:line="480" w:lineRule="auto"/>
        <w:jc w:val="both"/>
        <w:rPr>
          <w:rFonts w:ascii="Times New Roman" w:hAnsi="Times New Roman" w:cs="Times New Roman"/>
          <w:sz w:val="24"/>
          <w:szCs w:val="24"/>
        </w:rPr>
      </w:pPr>
      <w:r w:rsidRPr="00E9644F">
        <w:rPr>
          <w:rFonts w:ascii="Times New Roman" w:hAnsi="Times New Roman" w:cs="Times New Roman"/>
          <w:sz w:val="24"/>
          <w:szCs w:val="24"/>
        </w:rPr>
        <w:t xml:space="preserve">Epidemiology of Arboviruses, Insecticide resistance, </w:t>
      </w:r>
      <w:r w:rsidRPr="001834B2">
        <w:rPr>
          <w:rFonts w:ascii="Times New Roman" w:hAnsi="Times New Roman" w:cs="Times New Roman"/>
          <w:i/>
          <w:iCs/>
          <w:sz w:val="24"/>
          <w:szCs w:val="24"/>
        </w:rPr>
        <w:t>kdr</w:t>
      </w:r>
      <w:r w:rsidRPr="00E9644F">
        <w:rPr>
          <w:rFonts w:ascii="Times New Roman" w:hAnsi="Times New Roman" w:cs="Times New Roman"/>
          <w:sz w:val="24"/>
          <w:szCs w:val="24"/>
        </w:rPr>
        <w:t xml:space="preserve"> mutation, Taxonomy</w:t>
      </w:r>
    </w:p>
    <w:p w14:paraId="68997A6B" w14:textId="77777777" w:rsidR="00AB3BA0" w:rsidRPr="00E9644F" w:rsidRDefault="00AB3BA0" w:rsidP="00B76860">
      <w:pPr>
        <w:spacing w:after="0" w:line="480" w:lineRule="auto"/>
        <w:jc w:val="both"/>
        <w:rPr>
          <w:rFonts w:ascii="Times New Roman" w:hAnsi="Times New Roman" w:cs="Times New Roman"/>
          <w:sz w:val="24"/>
          <w:szCs w:val="24"/>
        </w:rPr>
      </w:pPr>
    </w:p>
    <w:p w14:paraId="02F6D6CA" w14:textId="564A0685" w:rsidR="0082415D" w:rsidRPr="00E9644F" w:rsidRDefault="0082415D" w:rsidP="00B76860">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Background</w:t>
      </w:r>
    </w:p>
    <w:p w14:paraId="3F608C73" w14:textId="5ADABE54" w:rsidR="003F1AEC" w:rsidRPr="00E9644F" w:rsidRDefault="002D7076" w:rsidP="00AB3BA0">
      <w:pPr>
        <w:spacing w:line="480" w:lineRule="auto"/>
        <w:jc w:val="both"/>
        <w:rPr>
          <w:rFonts w:ascii="Times New Roman" w:hAnsi="Times New Roman" w:cs="Times New Roman"/>
          <w:sz w:val="24"/>
          <w:szCs w:val="24"/>
        </w:rPr>
      </w:pPr>
      <w:r w:rsidRPr="00E9644F">
        <w:rPr>
          <w:rFonts w:ascii="Times New Roman" w:hAnsi="Times New Roman" w:cs="Times New Roman"/>
          <w:i/>
          <w:iCs/>
          <w:sz w:val="24"/>
          <w:szCs w:val="24"/>
        </w:rPr>
        <w:t>Aedes</w:t>
      </w:r>
      <w:r w:rsidRPr="00E9644F">
        <w:rPr>
          <w:rFonts w:ascii="Times New Roman" w:hAnsi="Times New Roman" w:cs="Times New Roman"/>
          <w:sz w:val="24"/>
          <w:szCs w:val="24"/>
        </w:rPr>
        <w:t xml:space="preserve"> </w:t>
      </w:r>
      <w:r w:rsidR="00055CC3" w:rsidRPr="00E9644F">
        <w:rPr>
          <w:rFonts w:ascii="Times New Roman" w:hAnsi="Times New Roman" w:cs="Times New Roman"/>
          <w:sz w:val="24"/>
          <w:szCs w:val="24"/>
        </w:rPr>
        <w:t xml:space="preserve">mosquitoes </w:t>
      </w:r>
      <w:r w:rsidR="009633F9" w:rsidRPr="00E9644F">
        <w:rPr>
          <w:rFonts w:ascii="Times New Roman" w:hAnsi="Times New Roman" w:cs="Times New Roman"/>
          <w:color w:val="0D0D0D" w:themeColor="text1" w:themeTint="F2"/>
          <w:sz w:val="24"/>
          <w:szCs w:val="24"/>
        </w:rPr>
        <w:t xml:space="preserve">are </w:t>
      </w:r>
      <w:r w:rsidR="009633F9" w:rsidRPr="00E9644F">
        <w:rPr>
          <w:rFonts w:ascii="Times New Roman" w:hAnsi="Times New Roman" w:cs="Times New Roman"/>
          <w:color w:val="0D0D0D" w:themeColor="text1" w:themeTint="F2"/>
          <w:sz w:val="24"/>
          <w:szCs w:val="24"/>
          <w:shd w:val="clear" w:color="auto" w:fill="FFFFFF"/>
        </w:rPr>
        <w:t>important vectors of several arboviruses</w:t>
      </w:r>
      <w:r w:rsidR="009633F9" w:rsidRPr="00E9644F" w:rsidDel="00055CC3">
        <w:rPr>
          <w:rFonts w:ascii="Times New Roman" w:hAnsi="Times New Roman" w:cs="Times New Roman"/>
          <w:color w:val="0D0D0D" w:themeColor="text1" w:themeTint="F2"/>
          <w:sz w:val="24"/>
          <w:szCs w:val="24"/>
        </w:rPr>
        <w:t xml:space="preserve"> </w:t>
      </w:r>
      <w:r w:rsidRPr="00E9644F">
        <w:rPr>
          <w:rFonts w:ascii="Times New Roman" w:hAnsi="Times New Roman" w:cs="Times New Roman"/>
          <w:sz w:val="24"/>
          <w:szCs w:val="24"/>
        </w:rPr>
        <w:t>including dengue, chikungunya, Zika, and yellow fever,</w:t>
      </w:r>
      <w:r w:rsidR="00055CC3" w:rsidRPr="00E9644F">
        <w:rPr>
          <w:rFonts w:ascii="Times New Roman" w:hAnsi="Times New Roman" w:cs="Times New Roman"/>
          <w:sz w:val="24"/>
          <w:szCs w:val="24"/>
        </w:rPr>
        <w:t xml:space="preserve"> that are currently a</w:t>
      </w:r>
      <w:r w:rsidRPr="00E9644F">
        <w:rPr>
          <w:rFonts w:ascii="Times New Roman" w:hAnsi="Times New Roman" w:cs="Times New Roman"/>
          <w:sz w:val="24"/>
          <w:szCs w:val="24"/>
        </w:rPr>
        <w:t xml:space="preserve"> significant global public health </w:t>
      </w:r>
      <w:r w:rsidR="00055CC3" w:rsidRPr="00E9644F">
        <w:rPr>
          <w:rFonts w:ascii="Times New Roman" w:hAnsi="Times New Roman" w:cs="Times New Roman"/>
          <w:sz w:val="24"/>
          <w:szCs w:val="24"/>
        </w:rPr>
        <w:t>problem in Africa</w:t>
      </w:r>
      <w:r w:rsidR="008A4305" w:rsidRPr="00E9644F">
        <w:rPr>
          <w:rFonts w:ascii="Times New Roman" w:hAnsi="Times New Roman" w:cs="Times New Roman"/>
          <w:sz w:val="24"/>
          <w:szCs w:val="24"/>
        </w:rPr>
        <w:t xml:space="preserve">. </w:t>
      </w:r>
      <w:r w:rsidR="003F1AEC" w:rsidRPr="00E9644F">
        <w:rPr>
          <w:rFonts w:ascii="Times New Roman" w:hAnsi="Times New Roman" w:cs="Times New Roman"/>
          <w:sz w:val="24"/>
          <w:szCs w:val="24"/>
        </w:rPr>
        <w:t>Dengue fever, has emerged as one of the most rapidly expanding arboviral diseases worldwide. While historically concentrated in Southeast Asia and the Americas, dengue has increasingly been reported in Africa, raising significant concerns about its epidemiological shift. The continent, is now experiencing frequent and intense outbreaks, with several countries reporting thousands of suspected and confirmed cases within short periods</w:t>
      </w:r>
      <w:r w:rsidR="00C420DF" w:rsidRPr="00E9644F">
        <w:rPr>
          <w:rFonts w:ascii="Times New Roman" w:hAnsi="Times New Roman" w:cs="Times New Roman"/>
          <w:sz w:val="24"/>
          <w:szCs w:val="24"/>
        </w:rPr>
        <w:t xml:space="preserve"> </w:t>
      </w:r>
      <w:r w:rsidR="003F1AEC" w:rsidRPr="00E9644F">
        <w:rPr>
          <w:rFonts w:ascii="Times New Roman" w:hAnsi="Times New Roman" w:cs="Times New Roman"/>
          <w:sz w:val="24"/>
          <w:szCs w:val="24"/>
        </w:rPr>
        <w:fldChar w:fldCharType="begin" w:fldLock="1"/>
      </w:r>
      <w:r w:rsidR="008A4305" w:rsidRPr="00E9644F">
        <w:rPr>
          <w:rFonts w:ascii="Times New Roman" w:hAnsi="Times New Roman" w:cs="Times New Roman"/>
          <w:sz w:val="24"/>
          <w:szCs w:val="24"/>
        </w:rPr>
        <w:instrText>ADDIN CSL_CITATION {"citationItems":[{"id":"ITEM-1","itemData":{"DOI":"https://doi.org/10.1016/j.onehlt.2021.100337","ISSN":"2352-7714","abstract":"The four mosquito-borne dengue virus serotypes (DENV1–DENV4) cause a high burden of disease throughout the tropical and sub-tropical regions of the world. Nevertheless, their precise epidemiological history in Africa, including when and where they originated and were distributed during the 20th century, remains unclear stressing the need for One Health focused research. Accordingly, we conducted a time-scaled molecular epidemiological reconstruction using publicly available and newly sequenced dengue virus genomes of African origin representing all four serotypes to deduce the most likely temporal and spatial transmission routes of each DENV serotype from their ancestral regions to, within and from Africa. Our analyses suggest that during the 20th century, serotypes DENV1–DENV3 were introduced to Africa from South East Asia on multiple occasions. The earliest evidence recorded indicates introduction of DENV2 during the early-1940s and of DENV1 during the mid-1940s to Western Africa from South East Asia. The analysis also implies an early introduction of DENV4 during the mid-1940s to Western Africa, alongside DENV1, probably originating in South East Asia. Establishment of DENV3 in Africa appears to have occurred later in the 1960s, apparently originating from South East Asia. However, with the re-establishment of DENV in the Americas, following the cessation of the PAHO mosquito control programme during the mid-20th century, evidence of introductions of DENV1 and DENV2 from the Americas to Western Africa was also observed. The data also identify intra-regional circulation of DENV, but also inter-regional dispersal of all four serotypes within Africa, which has led to a high degree of geographical overlap among serotypes. It is also noteworthy that DENV from both Eastern and Western Africa, have been introduced into Central Africa but there is no support for the converse relationship. For serotypes DENV1–DENV3, we observed probable exports from within established African DENV clusters (≥2 sequences) primarily to Eastern and Southern Asia. Collectively, our findings support the view that all DENV serotypes, apart from DENV4, have been introduced on multiple occasions to Africa, primarily originating from South East Asia, and subsequently to neighbouring regions within Africa.","author":[{"dropping-particle":"","family":"Alfsnes","given":"Kristian","non-dropping-particle":"","parse-names":false,"suffix":""},{"dropping-particle":"","family":"Eldholm","given":"Vegard","non-dropping-particle":"","parse-names":false,"suffix":""},{"dropping-particle":"","family":"Gaunt","given":"Michael W","non-dropping-particle":"","parse-names":false,"suffix":""},{"dropping-particle":"","family":"Lamballerie","given":"Xavier","non-dropping-particle":"de","parse-names":false,"suffix":""},{"dropping-particle":"","family":"Gould","given":"Ernest A","non-dropping-particle":"","parse-names":false,"suffix":""},{"dropping-particle":"","family":"Pettersson","given":"John H.-O.","non-dropping-particle":"","parse-names":false,"suffix":""}],"container-title":"One Health","id":"ITEM-1","issued":{"date-parts":[["2021"]]},"page":"100337","title":"Tracing and tracking the emergence, epidemiology and dispersal of dengue virus to Africa during the 20th century","type":"article-journal","volume":"13"},"uris":["http://www.mendeley.com/documents/?uuid=3b39591a-410a-499a-bba1-aa4f2fac7794"]}],"mendeley":{"formattedCitation":"[1]","plainTextFormattedCitation":"[1]","previouslyFormattedCitation":"[1]"},"properties":{"noteIndex":0},"schema":"https://github.com/citation-style-language/schema/raw/master/csl-citation.json"}</w:instrText>
      </w:r>
      <w:r w:rsidR="003F1AEC" w:rsidRPr="00E9644F">
        <w:rPr>
          <w:rFonts w:ascii="Times New Roman" w:hAnsi="Times New Roman" w:cs="Times New Roman"/>
          <w:sz w:val="24"/>
          <w:szCs w:val="24"/>
        </w:rPr>
        <w:fldChar w:fldCharType="separate"/>
      </w:r>
      <w:r w:rsidR="003F1AEC" w:rsidRPr="00E9644F">
        <w:rPr>
          <w:rFonts w:ascii="Times New Roman" w:hAnsi="Times New Roman" w:cs="Times New Roman"/>
          <w:noProof/>
          <w:sz w:val="24"/>
          <w:szCs w:val="24"/>
        </w:rPr>
        <w:t>[1]</w:t>
      </w:r>
      <w:r w:rsidR="003F1AEC" w:rsidRPr="00E9644F">
        <w:rPr>
          <w:rFonts w:ascii="Times New Roman" w:hAnsi="Times New Roman" w:cs="Times New Roman"/>
          <w:sz w:val="24"/>
          <w:szCs w:val="24"/>
        </w:rPr>
        <w:fldChar w:fldCharType="end"/>
      </w:r>
      <w:r w:rsidR="008A4305" w:rsidRPr="00E9644F">
        <w:rPr>
          <w:rFonts w:ascii="Times New Roman" w:hAnsi="Times New Roman" w:cs="Times New Roman"/>
          <w:sz w:val="24"/>
          <w:szCs w:val="24"/>
        </w:rPr>
        <w:fldChar w:fldCharType="begin" w:fldLock="1"/>
      </w:r>
      <w:r w:rsidR="00E2637C" w:rsidRPr="00E9644F">
        <w:rPr>
          <w:rFonts w:ascii="Times New Roman" w:hAnsi="Times New Roman" w:cs="Times New Roman"/>
          <w:sz w:val="24"/>
          <w:szCs w:val="24"/>
        </w:rPr>
        <w:instrText>ADDIN CSL_CITATION {"citationItems":[{"id":"ITEM-1","itemData":{"author":[{"dropping-particle":"","family":"Reinhold","given":"J M","non-dropping-particle":"","parse-names":false,"suffix":""},{"dropping-particle":"","family":"Lazzari","given":"C R","non-dropping-particle":"","parse-names":false,"suffix":""},{"dropping-particle":"","family":"Lahondère","given":"C","non-dropping-particle":"","parse-names":false,"suffix":""}],"container-title":"P., Tchoupo, M., Riveron, J. M., &amp; Wondji, C. (","id":"ITEM-1","issue":"469","issued":{"date-parts":[["2018"]]},"page":"1-9","title":"Effects of the environmental temperature on Aedes aegypti and Aedes albopictus mosquitoes: a review Insects, 9 (2018), p. 158 Kamgang, B., Yougang, A","type":"article-journal","volume":"10"},"uris":["http://www.mendeley.com/documents/?uuid=297c937f-0421-4f6f-99a1-ef11326f175d"]}],"mendeley":{"formattedCitation":"[2]","plainTextFormattedCitation":"[2]","previouslyFormattedCitation":"[2]"},"properties":{"noteIndex":0},"schema":"https://github.com/citation-style-language/schema/raw/master/csl-citation.json"}</w:instrText>
      </w:r>
      <w:r w:rsidR="008A4305" w:rsidRPr="00E9644F">
        <w:rPr>
          <w:rFonts w:ascii="Times New Roman" w:hAnsi="Times New Roman" w:cs="Times New Roman"/>
          <w:sz w:val="24"/>
          <w:szCs w:val="24"/>
        </w:rPr>
        <w:fldChar w:fldCharType="separate"/>
      </w:r>
      <w:r w:rsidR="008A4305" w:rsidRPr="00E9644F">
        <w:rPr>
          <w:rFonts w:ascii="Times New Roman" w:hAnsi="Times New Roman" w:cs="Times New Roman"/>
          <w:noProof/>
          <w:sz w:val="24"/>
          <w:szCs w:val="24"/>
        </w:rPr>
        <w:t>[2]</w:t>
      </w:r>
      <w:r w:rsidR="008A4305" w:rsidRPr="00E9644F">
        <w:rPr>
          <w:rFonts w:ascii="Times New Roman" w:hAnsi="Times New Roman" w:cs="Times New Roman"/>
          <w:sz w:val="24"/>
          <w:szCs w:val="24"/>
        </w:rPr>
        <w:fldChar w:fldCharType="end"/>
      </w:r>
    </w:p>
    <w:p w14:paraId="4ABE7B1C" w14:textId="5230B962" w:rsidR="008A4305" w:rsidRPr="00E9644F" w:rsidRDefault="008A4305" w:rsidP="00AB3BA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lastRenderedPageBreak/>
        <w:t>Recent years have seen confirmed epidemics in countries such as Sudan, Kenya, Senegal, Burkina Faso, and Côte d’Ivoire</w:t>
      </w:r>
      <w:r w:rsidR="00C420DF" w:rsidRPr="00E9644F">
        <w:rPr>
          <w:rFonts w:ascii="Times New Roman" w:hAnsi="Times New Roman" w:cs="Times New Roman"/>
          <w:sz w:val="24"/>
          <w:szCs w:val="24"/>
        </w:rPr>
        <w:t xml:space="preserve"> </w:t>
      </w:r>
      <w:r w:rsidR="00630281" w:rsidRPr="00E9644F">
        <w:rPr>
          <w:rFonts w:ascii="Times New Roman" w:hAnsi="Times New Roman" w:cs="Times New Roman"/>
          <w:sz w:val="24"/>
          <w:szCs w:val="24"/>
        </w:rPr>
        <w:fldChar w:fldCharType="begin" w:fldLock="1"/>
      </w:r>
      <w:r w:rsidR="00630281" w:rsidRPr="00E9644F">
        <w:rPr>
          <w:rFonts w:ascii="Times New Roman" w:hAnsi="Times New Roman" w:cs="Times New Roman"/>
          <w:sz w:val="24"/>
          <w:szCs w:val="24"/>
        </w:rPr>
        <w:instrText>ADDIN CSL_CITATION {"citationItems":[{"id":"ITEM-1","itemData":{"author":[{"dropping-particle":"","family":"Yaméogo, F., Sombié, A., Oté, M., Saiki, E., Sakurai, T., Wangrawa, D. W., ... &amp; Badolo","given":"A","non-dropping-particle":"","parse-names":false,"suffix":""}],"container-title":"PLoS Neglected Tropical Diseases","id":"ITEM-1","issued":{"date-parts":[["2024"]]},"title":"Three years of insecticide resistance evolution and associated mechanisms in Aedes aegypti populations of Ouagadougou, Burkina Faso","type":"article-journal","volume":"18"},"uris":["http://www.mendeley.com/documents/?uuid=87b5c870-3e82-4b09-bbbd-87dbf139137b"]}],"mendeley":{"formattedCitation":"[3]","plainTextFormattedCitation":"[3]","previouslyFormattedCitation":"[3]"},"properties":{"noteIndex":0},"schema":"https://github.com/citation-style-language/schema/raw/master/csl-citation.json"}</w:instrText>
      </w:r>
      <w:r w:rsidR="00630281" w:rsidRPr="00E9644F">
        <w:rPr>
          <w:rFonts w:ascii="Times New Roman" w:hAnsi="Times New Roman" w:cs="Times New Roman"/>
          <w:sz w:val="24"/>
          <w:szCs w:val="24"/>
        </w:rPr>
        <w:fldChar w:fldCharType="separate"/>
      </w:r>
      <w:r w:rsidR="00630281" w:rsidRPr="00E9644F">
        <w:rPr>
          <w:rFonts w:ascii="Times New Roman" w:hAnsi="Times New Roman" w:cs="Times New Roman"/>
          <w:noProof/>
          <w:sz w:val="24"/>
          <w:szCs w:val="24"/>
        </w:rPr>
        <w:t>[3]</w:t>
      </w:r>
      <w:r w:rsidR="00630281" w:rsidRPr="00E9644F">
        <w:rPr>
          <w:rFonts w:ascii="Times New Roman" w:hAnsi="Times New Roman" w:cs="Times New Roman"/>
          <w:sz w:val="24"/>
          <w:szCs w:val="24"/>
        </w:rPr>
        <w:fldChar w:fldCharType="end"/>
      </w:r>
      <w:r w:rsidR="00630281" w:rsidRPr="00E9644F">
        <w:rPr>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{"citationItems":[{"id":"ITEM-1","itemData":{"author":[{"dropping-particle":"","family":"Ndeye Marie Sene 1, Konstantinos Mavridis 2, El Hadji Ndiaye 1, Cheikh Tidiane Diagne 1 3, Alioune Gaye 1, El Hadji Malick Ngom 1, Yamar Ba 1, Diawo Diallo 1, John Vontas 2 4, Ibrahima Dia 1","given":"Mawlouth Diallo 1","non-dropping-particle":"","parse-names":false,"suffix":""}],"container-title":"PLoS Negl Trop Dis","id":"ITEM-1","issue":"5","issued":{"date-parts":[["2021"]]},"title":"Insecticide resistance status and mechanisms in Aedes aegypti populations from Senegal","type":"article-journal","volume":"15"},"uris":["http://www.mendeley.com/documents/?uuid=008d1761-2e6b-4393-bf2c-f0bc824358e8"]}],"mendeley":{"formattedCitation":"[4]","plainTextFormattedCitation":"[4]","previouslyFormattedCitation":"[4]"},"properties":{"noteIndex":0},"schema":"https://github.com/citation-style-language/schema/raw/master/csl-citation.json"}</w:instrText>
      </w:r>
      <w:r w:rsidR="00630281" w:rsidRPr="00E9644F">
        <w:rPr>
          <w:rFonts w:ascii="Times New Roman" w:hAnsi="Times New Roman" w:cs="Times New Roman"/>
          <w:sz w:val="24"/>
          <w:szCs w:val="24"/>
        </w:rPr>
        <w:fldChar w:fldCharType="separate"/>
      </w:r>
      <w:r w:rsidR="00630281" w:rsidRPr="00E9644F">
        <w:rPr>
          <w:rFonts w:ascii="Times New Roman" w:hAnsi="Times New Roman" w:cs="Times New Roman"/>
          <w:noProof/>
          <w:sz w:val="24"/>
          <w:szCs w:val="24"/>
        </w:rPr>
        <w:t>[4]</w:t>
      </w:r>
      <w:r w:rsidR="00630281" w:rsidRPr="00E9644F">
        <w:rPr>
          <w:rFonts w:ascii="Times New Roman" w:hAnsi="Times New Roman" w:cs="Times New Roman"/>
          <w:sz w:val="24"/>
          <w:szCs w:val="24"/>
        </w:rPr>
        <w:fldChar w:fldCharType="end"/>
      </w:r>
      <w:r w:rsidRPr="00E9644F">
        <w:rPr>
          <w:rFonts w:ascii="Times New Roman" w:hAnsi="Times New Roman" w:cs="Times New Roman"/>
          <w:sz w:val="24"/>
          <w:szCs w:val="24"/>
        </w:rPr>
        <w:t>. The true burden, however, remains underestimated due to limited diagnostic capacity, under-reporting, and frequent misclassification of dengue as malaria</w:t>
      </w:r>
      <w:r w:rsidR="00C420DF" w:rsidRPr="00E9644F">
        <w:rPr>
          <w:rFonts w:ascii="Times New Roman" w:hAnsi="Times New Roman" w:cs="Times New Roman"/>
          <w:sz w:val="24"/>
          <w:szCs w:val="24"/>
        </w:rPr>
        <w:t xml:space="preserve"> </w:t>
      </w:r>
      <w:r w:rsidR="00E2637C" w:rsidRPr="00E9644F">
        <w:rPr>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{"citationItems":[{"id":"ITEM-1","itemData":{"DOI":"10.48075/aes.v9i1.33267","abstract":"Dengue Fever remains a pressing public health concern in the Global South, including in Africa, where limited resources, inadequate surveillance, weak health systems, climate change, and urbanization exacerbate the threat. This review study focuses on strategies to strengthen preparedness, capacity building efforts on surveillance, vector control, health system strengthening, community engagement, and research. Investing in training programs, research initiatives, and regional collaboration is vital. Advocacy for increased political commitment and resource allocation is necessary to drive policy support. African nations are actively contributing to global Dengue control efforts, showcasing resilience amidst adversity. There are promising prospects for improvement. Enhanced surveillance, capacity building, community engagement, research, and regional collaboration are identified as crucial strategies. Strengthening surveillance systems can provide accurate data for targeted interventions, while investing in healthcare infrastructure and training can improve diagnosis and treatment capabilities. Community engagement and education efforts can promote preventive behaviours, and research initiatives drive progress in Dengue prevention and control. Additionally, regional collaboration fosters knowledge exchange and resource sharing. By addressing these challenges and capitalizing on emerging opportunities, Africa can further strengthen its contribution to global Dengue control efforts. Through sustained investment, collaboration, and innovation, Africa has the potential to mitigate Dengue's impact and inspire similar efforts worldwide. Advocacy for increased political commitment and resource allocation is essential to drive policy support. By prioritizing Dengue control and implementing sustainable interventions tailored to local contexts, Africa can enhance public health resilience and contribute significantly to the global fight against Dengue.","author":[{"dropping-particle":"","family":"Enitan","given":"Dr. Seyi Samson","non-dropping-particle":"","parse-names":false,"suffix":""},{"dropping-particle":"","family":"Abbas","given":"Kirellos Said","non-dropping-particle":"","parse-names":false,"suffix":""},{"dropping-particle":"","family":"Elrufai","given":"Rawan Raad Hassan","non-dropping-particle":"","parse-names":false,"suffix":""},{"dropping-particle":"","family":"Umukoro","given":"Solomon","non-dropping-particle":"","parse-names":false,"suffix":""},{"dropping-particle":"","family":"Tsague","given":"Causette Laura Metago","non-dropping-particle":"","parse-names":false,"suffix":""},{"dropping-particle":"","family":"Nwafor","given":"Ifeoma Roseline","non-dropping-particle":"","parse-names":false,"suffix":""},{"dropping-particle":"","family":"Adole","given":"Ameh Raphael","non-dropping-particle":"","parse-names":false,"suffix":""},{"dropping-particle":"","family":"Omoare","given":"Adesuyi Ayodeji","non-dropping-particle":"","parse-names":false,"suffix":""},{"dropping-particle":"","family":"Eke","given":"Samuel Sunday","non-dropping-particle":"","parse-names":false,"suffix":""},{"dropping-particle":"","family":"Gbise","given":"Daniel Sudan","non-dropping-particle":"","parse-names":false,"suffix":""},{"dropping-particle":"","family":"Edafetanure-Ibeh","given":"Okeoghene Marcel","non-dropping-particle":"","parse-names":false,"suffix":""},{"dropping-particle":"","family":"Adebanjo","given":"Agbolahan Adegboyega","non-dropping-particle":"","parse-names":false,"suffix":""},{"dropping-particle":"","family":"Onyeshidi","given":"Francisca Nkechi","non-dropping-particle":"","parse-names":false,"suffix":""},{"dropping-particle":"","family":"Okuneye","given":"Ayomide Oluwatobiloba","non-dropping-particle":"","parse-names":false,"suffix":""},{"dropping-particle":"","family":"Onyeji","given":"Chisom Blossom","non-dropping-particle":"","parse-names":false,"suffix":""}],"container-title":"Acta Elit Salutis","id":"ITEM-1","issue":"1","issued":{"date-parts":[["2024"]]},"title":"Advancing Dengue Fever Preparedness in Africa: Challenges, Resilience, and Contributions to Global Health","type":"article-journal","volume":"9"},"uris":["http://www.mendeley.com/documents/?uuid=3bcc7cce-1b96-4211-94ef-5884898d42af"]}],"mendeley":{"formattedCitation":"[5]","plainTextFormattedCitation":"[5]","previouslyFormattedCitation":"[5]"},"properties":{"noteIndex":0},"schema":"https://github.com/citation-style-language/schema/raw/master/csl-citation.json"}</w:instrText>
      </w:r>
      <w:r w:rsidR="00E2637C" w:rsidRPr="00E9644F">
        <w:rPr>
          <w:rFonts w:ascii="Times New Roman" w:hAnsi="Times New Roman" w:cs="Times New Roman"/>
          <w:sz w:val="24"/>
          <w:szCs w:val="24"/>
        </w:rPr>
        <w:fldChar w:fldCharType="separate"/>
      </w:r>
      <w:r w:rsidR="00630281" w:rsidRPr="00E9644F">
        <w:rPr>
          <w:rFonts w:ascii="Times New Roman" w:hAnsi="Times New Roman" w:cs="Times New Roman"/>
          <w:noProof/>
          <w:sz w:val="24"/>
          <w:szCs w:val="24"/>
        </w:rPr>
        <w:t>[5]</w:t>
      </w:r>
      <w:r w:rsidR="00E2637C" w:rsidRPr="00E9644F">
        <w:rPr>
          <w:rFonts w:ascii="Times New Roman" w:hAnsi="Times New Roman" w:cs="Times New Roman"/>
          <w:sz w:val="24"/>
          <w:szCs w:val="24"/>
        </w:rPr>
        <w:fldChar w:fldCharType="end"/>
      </w:r>
      <w:r w:rsidRPr="00E9644F">
        <w:rPr>
          <w:rFonts w:ascii="Times New Roman" w:hAnsi="Times New Roman" w:cs="Times New Roman"/>
          <w:sz w:val="24"/>
          <w:szCs w:val="24"/>
        </w:rPr>
        <w:t>.</w:t>
      </w:r>
      <w:r w:rsidR="00E2637C" w:rsidRPr="00E9644F">
        <w:rPr>
          <w:rFonts w:ascii="Times New Roman" w:hAnsi="Times New Roman" w:cs="Times New Roman"/>
          <w:sz w:val="24"/>
          <w:szCs w:val="24"/>
        </w:rPr>
        <w:t xml:space="preserve"> The current outbreaks highlight a convergence of risk factors, including rapid urbanization, inadequate vector control infrastructure, climate variability, and the increasing adaptability of</w:t>
      </w:r>
      <w:r w:rsidR="00E2637C" w:rsidRPr="00E9644F">
        <w:rPr>
          <w:rFonts w:ascii="Times New Roman" w:hAnsi="Times New Roman" w:cs="Times New Roman"/>
          <w:i/>
          <w:iCs/>
          <w:color w:val="333333"/>
          <w:sz w:val="24"/>
          <w:szCs w:val="24"/>
          <w:shd w:val="clear" w:color="auto" w:fill="FFFFFF"/>
        </w:rPr>
        <w:t xml:space="preserve"> </w:t>
      </w:r>
      <w:r w:rsidR="00E2637C" w:rsidRPr="00E9644F">
        <w:rPr>
          <w:rFonts w:ascii="Times New Roman" w:hAnsi="Times New Roman" w:cs="Times New Roman"/>
          <w:i/>
          <w:iCs/>
          <w:color w:val="0D0D0D" w:themeColor="text1" w:themeTint="F2"/>
          <w:sz w:val="24"/>
          <w:szCs w:val="24"/>
          <w:shd w:val="clear" w:color="auto" w:fill="FFFFFF"/>
        </w:rPr>
        <w:t>Aedes aegypti</w:t>
      </w:r>
      <w:r w:rsidR="00E2637C" w:rsidRPr="00E9644F">
        <w:rPr>
          <w:rFonts w:ascii="Times New Roman" w:hAnsi="Times New Roman" w:cs="Times New Roman"/>
          <w:color w:val="0D0D0D" w:themeColor="text1" w:themeTint="F2"/>
          <w:sz w:val="24"/>
          <w:szCs w:val="24"/>
          <w:shd w:val="clear" w:color="auto" w:fill="FFFFFF"/>
        </w:rPr>
        <w:t> and </w:t>
      </w:r>
      <w:r w:rsidR="00E2637C" w:rsidRPr="00E9644F">
        <w:rPr>
          <w:rFonts w:ascii="Times New Roman" w:hAnsi="Times New Roman" w:cs="Times New Roman"/>
          <w:i/>
          <w:iCs/>
          <w:color w:val="0D0D0D" w:themeColor="text1" w:themeTint="F2"/>
          <w:sz w:val="24"/>
          <w:szCs w:val="24"/>
          <w:shd w:val="clear" w:color="auto" w:fill="FFFFFF"/>
        </w:rPr>
        <w:t xml:space="preserve">Aedes albopictus </w:t>
      </w:r>
      <w:r w:rsidR="00E2637C" w:rsidRPr="00E9644F">
        <w:rPr>
          <w:rFonts w:ascii="Times New Roman" w:hAnsi="Times New Roman" w:cs="Times New Roman"/>
          <w:color w:val="0D0D0D" w:themeColor="text1" w:themeTint="F2"/>
          <w:sz w:val="24"/>
          <w:szCs w:val="24"/>
          <w:shd w:val="clear" w:color="auto" w:fill="FFFFFF"/>
        </w:rPr>
        <w:t xml:space="preserve">notably as the primary vectors </w:t>
      </w:r>
      <w:r w:rsidR="00BC354C" w:rsidRPr="00E9644F">
        <w:rPr>
          <w:rFonts w:ascii="Times New Roman" w:hAnsi="Times New Roman" w:cs="Times New Roman"/>
          <w:color w:val="0D0D0D" w:themeColor="text1" w:themeTint="F2"/>
          <w:sz w:val="24"/>
          <w:szCs w:val="24"/>
          <w:shd w:val="clear" w:color="auto" w:fill="FFFFFF"/>
        </w:rPr>
        <w:fldChar w:fldCharType="begin" w:fldLock="1"/>
      </w:r>
      <w:r w:rsidR="00DF7040" w:rsidRPr="00E9644F">
        <w:rPr>
          <w:rFonts w:ascii="Times New Roman" w:hAnsi="Times New Roman" w:cs="Times New Roman"/>
          <w:color w:val="0D0D0D" w:themeColor="text1" w:themeTint="F2"/>
          <w:sz w:val="24"/>
          <w:szCs w:val="24"/>
          <w:shd w:val="clear" w:color="auto" w:fill="FFFFFF"/>
        </w:rPr>
        <w:instrText>ADDIN CSL_CITATION {"citationItems":[{"id":"ITEM-1","itemData":{"DOI":"10.3390/pathogens10101324","ISSN":"2076-0817","abstract":"Arbovirus infections are widespread, and their disease burden has increased in the past decade. In Africa, arbovirus infections and fever with unknown etiology are common. Due to the lack of well-established epidemiologic surveillance systems and accurate differential diagnosis in most African countries, little is known about the prevalence of human arbovirus infections in Africa. The aim of this review is to summarize the available epidemiological data and diagnostic laboratory tools of infections with dengue, yellow fever, Zika, and chikungunya viruses, all transmitted by Aedes mosquitoes. Studies indicate that these arboviral infections are endemic in most of Africa. Surveillance of the incidence and prevalence of the infections would enable medical doctors to improve the diagnostic accuracy in patients with typical symptoms. If possible, arboviral diagnostic tests should be added to the routine healthcare systems. Healthcare providers should be informed about the prevalent arboviral diseases to identify possible cases.","author":[{"dropping-particle":"","family":"Adam","given":"Awadalkareem","non-dropping-particle":"","parse-names":false,"suffix":""},{"dropping-particle":"","family":"Jassoy","given":"Christian","non-dropping-particle":"","parse-names":false,"suffix":""}],"container-title":"Pathogens","id":"ITEM-1","issue":"10","issued":{"date-parts":[["2021"]]},"title":"Epidemiology and Laboratory Diagnostics of Dengue, Yellow Fever, Zika, and Chikungunya Virus Infections in Africa","type":"article-journal","volume":"10"},"uris":["http://www.mendeley.com/documents/?uuid=46496a6d-8bb8-400c-87c6-0a2b8e035e88"]}],"mendeley":{"formattedCitation":"[6]","plainTextFormattedCitation":"[6]","previouslyFormattedCitation":"[6]"},"properties":{"noteIndex":0},"schema":"https://github.com/citation-style-language/schema/raw/master/csl-citation.json"}</w:instrText>
      </w:r>
      <w:r w:rsidR="00BC354C" w:rsidRPr="00E9644F">
        <w:rPr>
          <w:rFonts w:ascii="Times New Roman" w:hAnsi="Times New Roman" w:cs="Times New Roman"/>
          <w:color w:val="0D0D0D" w:themeColor="text1" w:themeTint="F2"/>
          <w:sz w:val="24"/>
          <w:szCs w:val="24"/>
          <w:shd w:val="clear" w:color="auto" w:fill="FFFFFF"/>
        </w:rPr>
        <w:fldChar w:fldCharType="separate"/>
      </w:r>
      <w:r w:rsidR="00630281" w:rsidRPr="00E9644F">
        <w:rPr>
          <w:rFonts w:ascii="Times New Roman" w:hAnsi="Times New Roman" w:cs="Times New Roman"/>
          <w:noProof/>
          <w:color w:val="0D0D0D" w:themeColor="text1" w:themeTint="F2"/>
          <w:sz w:val="24"/>
          <w:szCs w:val="24"/>
          <w:shd w:val="clear" w:color="auto" w:fill="FFFFFF"/>
        </w:rPr>
        <w:t>[6]</w:t>
      </w:r>
      <w:r w:rsidR="00BC354C" w:rsidRPr="00E9644F">
        <w:rPr>
          <w:rFonts w:ascii="Times New Roman" w:hAnsi="Times New Roman" w:cs="Times New Roman"/>
          <w:color w:val="0D0D0D" w:themeColor="text1" w:themeTint="F2"/>
          <w:sz w:val="24"/>
          <w:szCs w:val="24"/>
          <w:shd w:val="clear" w:color="auto" w:fill="FFFFFF"/>
        </w:rPr>
        <w:fldChar w:fldCharType="end"/>
      </w:r>
      <w:r w:rsidR="00E2637C" w:rsidRPr="00E9644F">
        <w:rPr>
          <w:rFonts w:ascii="Times New Roman" w:hAnsi="Times New Roman" w:cs="Times New Roman"/>
          <w:color w:val="333333"/>
          <w:sz w:val="24"/>
          <w:szCs w:val="24"/>
          <w:shd w:val="clear" w:color="auto" w:fill="FFFFFF"/>
        </w:rPr>
        <w:t>.</w:t>
      </w:r>
    </w:p>
    <w:p w14:paraId="11E90B1F" w14:textId="77777777" w:rsidR="00C420DF" w:rsidRPr="00E9644F" w:rsidRDefault="00E66042" w:rsidP="00AB3BA0">
      <w:pPr>
        <w:spacing w:line="480" w:lineRule="auto"/>
        <w:jc w:val="both"/>
        <w:rPr>
          <w:rFonts w:ascii="Times New Roman" w:hAnsi="Times New Roman" w:cs="Times New Roman"/>
          <w:sz w:val="24"/>
          <w:szCs w:val="24"/>
        </w:rPr>
      </w:pPr>
      <w:r w:rsidRPr="00E9644F">
        <w:rPr>
          <w:rFonts w:ascii="Times New Roman" w:eastAsia="Times New Roman" w:hAnsi="Times New Roman" w:cs="Times New Roman"/>
          <w:kern w:val="0"/>
          <w:sz w:val="24"/>
          <w:szCs w:val="24"/>
          <w14:ligatures w14:val="none"/>
        </w:rPr>
        <w:t xml:space="preserve">In the past decade, </w:t>
      </w:r>
      <w:r w:rsidRPr="00E9644F">
        <w:rPr>
          <w:rFonts w:ascii="Times New Roman" w:eastAsia="Times New Roman" w:hAnsi="Times New Roman" w:cs="Times New Roman"/>
          <w:i/>
          <w:iCs/>
          <w:kern w:val="0"/>
          <w:sz w:val="24"/>
          <w:szCs w:val="24"/>
          <w14:ligatures w14:val="none"/>
        </w:rPr>
        <w:t>Aedes</w:t>
      </w:r>
      <w:r w:rsidRPr="00E9644F">
        <w:rPr>
          <w:rFonts w:ascii="Times New Roman" w:eastAsia="Times New Roman" w:hAnsi="Times New Roman" w:cs="Times New Roman"/>
          <w:kern w:val="0"/>
          <w:sz w:val="24"/>
          <w:szCs w:val="24"/>
          <w14:ligatures w14:val="none"/>
        </w:rPr>
        <w:t xml:space="preserve"> resistance surveillance in Africa, which has historically been </w:t>
      </w:r>
      <w:r w:rsidR="002E4D22" w:rsidRPr="00E9644F">
        <w:rPr>
          <w:rFonts w:ascii="Times New Roman" w:eastAsia="Times New Roman" w:hAnsi="Times New Roman" w:cs="Times New Roman"/>
          <w:kern w:val="0"/>
          <w:sz w:val="24"/>
          <w:szCs w:val="24"/>
          <w14:ligatures w14:val="none"/>
        </w:rPr>
        <w:t>under explored</w:t>
      </w:r>
      <w:r w:rsidRPr="00E9644F">
        <w:rPr>
          <w:rFonts w:ascii="Times New Roman" w:eastAsia="Times New Roman" w:hAnsi="Times New Roman" w:cs="Times New Roman"/>
          <w:kern w:val="0"/>
          <w:sz w:val="24"/>
          <w:szCs w:val="24"/>
          <w14:ligatures w14:val="none"/>
        </w:rPr>
        <w:t xml:space="preserve"> in comparison to the Americas and Asia, has rapidly increased.</w:t>
      </w:r>
      <w:r w:rsidR="00825AF0" w:rsidRPr="00E9644F">
        <w:rPr>
          <w:rFonts w:ascii="Times New Roman" w:eastAsia="Times New Roman" w:hAnsi="Times New Roman" w:cs="Times New Roman"/>
          <w:kern w:val="0"/>
          <w:sz w:val="24"/>
          <w:szCs w:val="24"/>
          <w14:ligatures w14:val="none"/>
        </w:rPr>
        <w:t xml:space="preserve"> Many control programmes are threatened by insecticide resistance in </w:t>
      </w:r>
      <w:r w:rsidR="00825AF0" w:rsidRPr="00E9644F">
        <w:rPr>
          <w:rFonts w:ascii="Times New Roman" w:eastAsia="Times New Roman" w:hAnsi="Times New Roman" w:cs="Times New Roman"/>
          <w:i/>
          <w:iCs/>
          <w:kern w:val="0"/>
          <w:sz w:val="24"/>
          <w:szCs w:val="24"/>
          <w14:ligatures w14:val="none"/>
        </w:rPr>
        <w:t>Ae. aegypti</w:t>
      </w:r>
      <w:r w:rsidR="00825AF0" w:rsidRPr="00E9644F">
        <w:rPr>
          <w:rFonts w:ascii="Times New Roman" w:eastAsia="Times New Roman" w:hAnsi="Times New Roman" w:cs="Times New Roman"/>
          <w:kern w:val="0"/>
          <w:sz w:val="24"/>
          <w:szCs w:val="24"/>
          <w14:ligatures w14:val="none"/>
        </w:rPr>
        <w:t xml:space="preserve"> and </w:t>
      </w:r>
      <w:r w:rsidR="00825AF0" w:rsidRPr="00E9644F">
        <w:rPr>
          <w:rFonts w:ascii="Times New Roman" w:eastAsia="Times New Roman" w:hAnsi="Times New Roman" w:cs="Times New Roman"/>
          <w:i/>
          <w:iCs/>
          <w:kern w:val="0"/>
          <w:sz w:val="24"/>
          <w:szCs w:val="24"/>
          <w14:ligatures w14:val="none"/>
        </w:rPr>
        <w:t>Ae. Albopictus</w:t>
      </w:r>
      <w:r w:rsidR="00825AF0" w:rsidRPr="00E9644F">
        <w:rPr>
          <w:rFonts w:ascii="Times New Roman" w:eastAsia="Times New Roman" w:hAnsi="Times New Roman" w:cs="Times New Roman"/>
          <w:kern w:val="0"/>
          <w:sz w:val="24"/>
          <w:szCs w:val="24"/>
          <w14:ligatures w14:val="none"/>
        </w:rPr>
        <w:t>.</w:t>
      </w:r>
      <w:r w:rsidRPr="00E9644F">
        <w:rPr>
          <w:rFonts w:ascii="Times New Roman" w:eastAsia="Times New Roman" w:hAnsi="Times New Roman" w:cs="Times New Roman"/>
          <w:kern w:val="0"/>
          <w:sz w:val="24"/>
          <w:szCs w:val="24"/>
          <w14:ligatures w14:val="none"/>
        </w:rPr>
        <w:t xml:space="preserve"> </w:t>
      </w:r>
      <w:r w:rsidR="00055CC3" w:rsidRPr="00E9644F">
        <w:rPr>
          <w:rFonts w:ascii="Times New Roman" w:eastAsia="Times New Roman" w:hAnsi="Times New Roman" w:cs="Times New Roman"/>
          <w:kern w:val="0"/>
          <w:sz w:val="24"/>
          <w:szCs w:val="24"/>
          <w14:ligatures w14:val="none"/>
        </w:rPr>
        <w:t>Studies have shown</w:t>
      </w:r>
      <w:r w:rsidRPr="00E9644F">
        <w:rPr>
          <w:rFonts w:ascii="Times New Roman" w:eastAsia="Times New Roman" w:hAnsi="Times New Roman" w:cs="Times New Roman"/>
          <w:kern w:val="0"/>
          <w:sz w:val="24"/>
          <w:szCs w:val="24"/>
          <w14:ligatures w14:val="none"/>
        </w:rPr>
        <w:t xml:space="preserve"> a widespread pyrethroid resistance in </w:t>
      </w:r>
      <w:r w:rsidRPr="00E9644F">
        <w:rPr>
          <w:rFonts w:ascii="Times New Roman" w:eastAsia="Times New Roman" w:hAnsi="Times New Roman" w:cs="Times New Roman"/>
          <w:i/>
          <w:iCs/>
          <w:kern w:val="0"/>
          <w:sz w:val="24"/>
          <w:szCs w:val="24"/>
          <w14:ligatures w14:val="none"/>
        </w:rPr>
        <w:t>Ae. aegypti</w:t>
      </w:r>
      <w:r w:rsidRPr="00E9644F">
        <w:rPr>
          <w:rFonts w:ascii="Times New Roman" w:eastAsia="Times New Roman" w:hAnsi="Times New Roman" w:cs="Times New Roman"/>
          <w:kern w:val="0"/>
          <w:sz w:val="24"/>
          <w:szCs w:val="24"/>
          <w14:ligatures w14:val="none"/>
        </w:rPr>
        <w:t xml:space="preserve"> </w:t>
      </w:r>
      <w:r w:rsidR="002B0E95" w:rsidRPr="00E9644F">
        <w:rPr>
          <w:rFonts w:ascii="Times New Roman" w:eastAsia="Times New Roman" w:hAnsi="Times New Roman" w:cs="Times New Roman"/>
          <w:kern w:val="0"/>
          <w:sz w:val="24"/>
          <w:szCs w:val="24"/>
          <w14:ligatures w14:val="none"/>
        </w:rPr>
        <w:t xml:space="preserve">and </w:t>
      </w:r>
      <w:r w:rsidR="002B0E95" w:rsidRPr="00E9644F">
        <w:rPr>
          <w:rFonts w:ascii="Times New Roman" w:eastAsia="Times New Roman" w:hAnsi="Times New Roman" w:cs="Times New Roman"/>
          <w:i/>
          <w:iCs/>
          <w:kern w:val="0"/>
          <w:sz w:val="24"/>
          <w:szCs w:val="24"/>
          <w14:ligatures w14:val="none"/>
        </w:rPr>
        <w:t>Ae.</w:t>
      </w:r>
      <w:r w:rsidR="006E4198" w:rsidRPr="00E9644F">
        <w:rPr>
          <w:rFonts w:ascii="Times New Roman" w:eastAsia="Times New Roman" w:hAnsi="Times New Roman" w:cs="Times New Roman"/>
          <w:i/>
          <w:iCs/>
          <w:kern w:val="0"/>
          <w:sz w:val="24"/>
          <w:szCs w:val="24"/>
          <w14:ligatures w14:val="none"/>
        </w:rPr>
        <w:t xml:space="preserve"> </w:t>
      </w:r>
      <w:r w:rsidR="002B0E95" w:rsidRPr="00E9644F">
        <w:rPr>
          <w:rFonts w:ascii="Times New Roman" w:eastAsia="Times New Roman" w:hAnsi="Times New Roman" w:cs="Times New Roman"/>
          <w:i/>
          <w:iCs/>
          <w:kern w:val="0"/>
          <w:sz w:val="24"/>
          <w:szCs w:val="24"/>
          <w14:ligatures w14:val="none"/>
        </w:rPr>
        <w:t>albopictus</w:t>
      </w:r>
      <w:r w:rsidR="002B0E95" w:rsidRPr="00E9644F">
        <w:rPr>
          <w:rFonts w:ascii="Times New Roman" w:eastAsia="Times New Roman" w:hAnsi="Times New Roman" w:cs="Times New Roman"/>
          <w:kern w:val="0"/>
          <w:sz w:val="24"/>
          <w:szCs w:val="24"/>
          <w14:ligatures w14:val="none"/>
        </w:rPr>
        <w:t xml:space="preserve"> </w:t>
      </w:r>
      <w:r w:rsidRPr="00E9644F">
        <w:rPr>
          <w:rFonts w:ascii="Times New Roman" w:eastAsia="Times New Roman" w:hAnsi="Times New Roman" w:cs="Times New Roman"/>
          <w:kern w:val="0"/>
          <w:sz w:val="24"/>
          <w:szCs w:val="24"/>
          <w14:ligatures w14:val="none"/>
        </w:rPr>
        <w:t xml:space="preserve">in </w:t>
      </w:r>
      <w:r w:rsidR="00055CC3" w:rsidRPr="00E9644F">
        <w:rPr>
          <w:rFonts w:ascii="Times New Roman" w:eastAsia="Times New Roman" w:hAnsi="Times New Roman" w:cs="Times New Roman"/>
          <w:kern w:val="0"/>
          <w:sz w:val="24"/>
          <w:szCs w:val="24"/>
          <w14:ligatures w14:val="none"/>
        </w:rPr>
        <w:t>several countries in</w:t>
      </w:r>
      <w:r w:rsidRPr="00E9644F">
        <w:rPr>
          <w:rFonts w:ascii="Times New Roman" w:eastAsia="Times New Roman" w:hAnsi="Times New Roman" w:cs="Times New Roman"/>
          <w:kern w:val="0"/>
          <w:sz w:val="24"/>
          <w:szCs w:val="24"/>
          <w14:ligatures w14:val="none"/>
        </w:rPr>
        <w:t xml:space="preserve"> </w:t>
      </w:r>
      <w:r w:rsidR="002B0E95" w:rsidRPr="00E9644F">
        <w:rPr>
          <w:rFonts w:ascii="Times New Roman" w:eastAsia="Times New Roman" w:hAnsi="Times New Roman" w:cs="Times New Roman"/>
          <w:kern w:val="0"/>
          <w:sz w:val="24"/>
          <w:szCs w:val="24"/>
          <w14:ligatures w14:val="none"/>
        </w:rPr>
        <w:t>studies from West, Central, and East Africa</w:t>
      </w:r>
      <w:r w:rsidRPr="00E9644F">
        <w:rPr>
          <w:rFonts w:ascii="Times New Roman" w:eastAsia="Times New Roman" w:hAnsi="Times New Roman" w:cs="Times New Roman"/>
          <w:kern w:val="0"/>
          <w:sz w:val="24"/>
          <w:szCs w:val="24"/>
          <w14:ligatures w14:val="none"/>
        </w:rPr>
        <w:t xml:space="preserve"> </w:t>
      </w:r>
      <w:r w:rsidR="002B0E95" w:rsidRPr="00E9644F">
        <w:rPr>
          <w:rFonts w:ascii="Times New Roman" w:eastAsia="Times New Roman" w:hAnsi="Times New Roman" w:cs="Times New Roman"/>
          <w:kern w:val="0"/>
          <w:sz w:val="24"/>
          <w:szCs w:val="24"/>
          <w14:ligatures w14:val="none"/>
        </w:rPr>
        <w:fldChar w:fldCharType="begin" w:fldLock="1"/>
      </w:r>
      <w:r w:rsidR="00DF7040" w:rsidRPr="00E9644F">
        <w:rPr>
          <w:rFonts w:ascii="Times New Roman" w:eastAsia="Times New Roman" w:hAnsi="Times New Roman" w:cs="Times New Roman"/>
          <w:kern w:val="0"/>
          <w:sz w:val="24"/>
          <w:szCs w:val="24"/>
          <w14:ligatures w14:val="none"/>
        </w:rPr>
        <w:instrText>ADDIN CSL_CITATION {"citationItems":[{"id":"ITEM-1","itemData":{"DOI":"10.1186/s13071-016-1887-5","ISBN":"1307101618875","ISSN":"17563305","PMID":"27881148","abstract":"Background: Aedes aegypti and Ae. albopictus are the main epidemic vectors of dengue, chikungunya and Zika viruses worldwide. Their control during epidemics relies mainly on control of larvae and adults with insecticides. Unfortunately, loss of susceptibility of both species to several insecticide classes limits the efficacy of interventions. In Africa, where Aedes-borne viruses are of growing concern, few data are available on resistance to insecticides. To fill this gap, we assessed the susceptibility to insecticides of Ae. aegypti and Ae. albopictus populations in the Central African Republic (CAR) and studied the mechanisms of resistance. Methods: Immature stages were sampled between June and September 2014 in six locations in Bangui (the capital of CAR) for larval and adult bioassays according to WHO standard procedures. We also characterized DDT- and pyrethroid-resistant mosquitoes molecularly and biochemically, including tests for the activities of nonspecific esterases (α and β), mixed-function oxidases, insensitive acetylcholinesterase and glutathione S-transferases. Results: Larval bioassays, carried out to determine the lethal concentrations (LC50 and LC95) and resistance ratios (RR50 and RR95), suggested that both vector species were susceptible to Bacillus thuringiensis var. israeliensis and to temephos. Bioassays of adults showed susceptibility to propoxur and fenitrothion, except for one Ae. albopictus population that was suspected to be resistant to fenithrothion. None of the Ae. aegypti populations was fully susceptible to DDT. Ae. albopictus presented a similar profile to Ae. aegypti but with a lower mortality rate (41%). Possible resistance to deltamethrin was observed among Ae. aegypti and Ae. albopictus, although some were susceptible. No kdr mutations were detected in either species; however, the activity of detoxifying enzymes was higher in most populations than in the susceptible Ae. aegypti strain, confirming decreased susceptibility to DDT and deltamethrin. Conclusion: These findings suggested that regular, continuous monitoring of resistance is necessary in order to select the most effective adulticides for arbovirus control in Bangui.","author":[{"dropping-particle":"","family":"Ngoagouni","given":"Carine","non-dropping-particle":"","parse-names":false,"suffix":""},{"dropping-particle":"","family":"Kamgang","given":"Basile","non-dropping-particle":"","parse-names":false,"suffix":""},{"dropping-particle":"","family":"Brengues","given":"Cécile","non-dropping-particle":"","parse-names":false,"suffix":""},{"dropping-particle":"","family":"Yahouedo","given":"Gildas","non-dropping-particle":"","parse-names":false,"suffix":""},{"dropping-particle":"","family":"Paupy","given":"Christophe","non-dropping-particle":"","parse-names":false,"suffix":""},{"dropping-particle":"","family":"Nakouné","given":"Emmanuel","non-dropping-particle":"","parse-names":false,"suffix":""},{"dropping-particle":"","family":"Kazanji","given":"Mirdad","non-dropping-particle":"","parse-names":false,"suffix":""},{"dropping-particle":"","family":"Chandre","given":"Fabrice","non-dropping-particle":"","parse-names":false,"suffix":""}],"container-title":"Parasites and Vectors","id":"ITEM-1","issue":"1","issued":{"date-parts":[["2016"]]},"page":"1-13","publisher":"Parasites &amp; Vectors","title":"Susceptibility profile and metabolic mechanisms involved in Aedes aegypti and Aedes albopictus resistant to DDT and deltamethrin in the Central African Republic","type":"article-journal","volume":"9"},"uris":["http://www.mendeley.com/documents/?uuid=cc47073d-3d93-4201-89a8-cf8d0ba0ec8c"]}],"mendeley":{"formattedCitation":"[7]","plainTextFormattedCitation":"[7]","previouslyFormattedCitation":"[7]"},"properties":{"noteIndex":0},"schema":"https://github.com/citation-style-language/schema/raw/master/csl-citation.json"}</w:instrText>
      </w:r>
      <w:r w:rsidR="002B0E95" w:rsidRPr="00E9644F">
        <w:rPr>
          <w:rFonts w:ascii="Times New Roman" w:eastAsia="Times New Roman" w:hAnsi="Times New Roman" w:cs="Times New Roman"/>
          <w:kern w:val="0"/>
          <w:sz w:val="24"/>
          <w:szCs w:val="24"/>
          <w14:ligatures w14:val="none"/>
        </w:rPr>
        <w:fldChar w:fldCharType="separate"/>
      </w:r>
      <w:r w:rsidR="00630281" w:rsidRPr="00E9644F">
        <w:rPr>
          <w:rFonts w:ascii="Times New Roman" w:eastAsia="Times New Roman" w:hAnsi="Times New Roman" w:cs="Times New Roman"/>
          <w:noProof/>
          <w:kern w:val="0"/>
          <w:sz w:val="24"/>
          <w:szCs w:val="24"/>
          <w14:ligatures w14:val="none"/>
        </w:rPr>
        <w:t>[7]</w:t>
      </w:r>
      <w:r w:rsidR="002B0E95" w:rsidRPr="00E9644F">
        <w:rPr>
          <w:rFonts w:ascii="Times New Roman" w:eastAsia="Times New Roman" w:hAnsi="Times New Roman" w:cs="Times New Roman"/>
          <w:kern w:val="0"/>
          <w:sz w:val="24"/>
          <w:szCs w:val="24"/>
          <w14:ligatures w14:val="none"/>
        </w:rPr>
        <w:fldChar w:fldCharType="end"/>
      </w:r>
      <w:r w:rsidR="00592D02" w:rsidRPr="00E9644F">
        <w:rPr>
          <w:rStyle w:val="FootnoteReference"/>
          <w:rFonts w:ascii="Times New Roman" w:eastAsia="Times New Roman" w:hAnsi="Times New Roman" w:cs="Times New Roman"/>
          <w:kern w:val="0"/>
          <w:sz w:val="24"/>
          <w:szCs w:val="24"/>
          <w14:ligatures w14:val="none"/>
        </w:rPr>
        <w:fldChar w:fldCharType="begin" w:fldLock="1"/>
      </w:r>
      <w:r w:rsidR="00DF7040" w:rsidRPr="00E9644F">
        <w:rPr>
          <w:rFonts w:ascii="Times New Roman" w:eastAsia="Times New Roman" w:hAnsi="Times New Roman" w:cs="Times New Roman"/>
          <w:kern w:val="0"/>
          <w:sz w:val="24"/>
          <w:szCs w:val="24"/>
          <w14:ligatures w14:val="none"/>
        </w:rPr>
        <w:instrText>ADDIN CSL_CITATION {"citationItems":[{"id":"ITEM-1","itemData":{"DOI":"https://doi.org/10.1016/j.sbspro.2012.03.008","ISSN":"1877-0428","abstract":"In response to high incidence of Dengue cases in the less affordable settlements of Malaysia, the susceptibility of Aedes mosquitoes should be assessed to identify the 50% knockdown time (KT50) of adult Aedes mosquitoes to malathion. Wild strain mosquitoes from Shah Alam has shown potential to insecticide resistance with the resistance ratio of 2.2 with 95% mortality. In contrast, wild strain from Pantai Dalam may have developed insecticide resistance with the resistance ratio of 2.4 with 78% mortality. Health education and community should be propagated to promote healthy environment by developing positive attitude and practice towards Dengue prevention.","author":[{"dropping-particle":"","family":"Shafie","given":"Farah Ayuni","non-dropping-particle":"","parse-names":false,"suffix":""},{"dropping-particle":"","family":"Tahir","given":"Mohd Pozi Mohd","non-dropping-particle":"","parse-names":false,"suffix":""},{"dropping-particle":"","family":"Sabri","given":"Nor Muniza","non-dropping-particle":"","parse-names":false,"suffix":""}],"container-title":"Procedia - Social and Behavioral Sciences","id":"ITEM-1","issued":{"date-parts":[["2012"]]},"note":"ASEAN Conference on Environment-Behaviour Studies (AcE-Bs), Savoy Homann Bidakara Hotel, 15-17 June 2011, Bandung, Indonesia","page":"70-76","title":"Aedes Mosquitoes Resistance in Urban Community Setting","type":"article-journal","volume":"36"},"uris":["http://www.mendeley.com/documents/?uuid=efa4f15d-7945-49f4-a4b0-ee8d15db78ae"]}],"mendeley":{"formattedCitation":"[8]","plainTextFormattedCitation":"[8]","previouslyFormattedCitation":"[8]"},"properties":{"noteIndex":0},"schema":"https://github.com/citation-style-language/schema/raw/master/csl-citation.json"}</w:instrText>
      </w:r>
      <w:r w:rsidR="00592D02" w:rsidRPr="00E9644F">
        <w:rPr>
          <w:rStyle w:val="FootnoteReference"/>
          <w:rFonts w:ascii="Times New Roman" w:eastAsia="Times New Roman" w:hAnsi="Times New Roman" w:cs="Times New Roman"/>
          <w:kern w:val="0"/>
          <w:sz w:val="24"/>
          <w:szCs w:val="24"/>
          <w14:ligatures w14:val="none"/>
        </w:rPr>
        <w:fldChar w:fldCharType="separate"/>
      </w:r>
      <w:r w:rsidR="00630281" w:rsidRPr="00E9644F">
        <w:rPr>
          <w:rFonts w:ascii="Times New Roman" w:eastAsia="Times New Roman" w:hAnsi="Times New Roman" w:cs="Times New Roman"/>
          <w:bCs/>
          <w:noProof/>
          <w:kern w:val="0"/>
          <w:sz w:val="24"/>
          <w:szCs w:val="24"/>
          <w14:ligatures w14:val="none"/>
        </w:rPr>
        <w:t>[8]</w:t>
      </w:r>
      <w:r w:rsidR="00592D02" w:rsidRPr="00E9644F">
        <w:rPr>
          <w:rStyle w:val="FootnoteReference"/>
          <w:rFonts w:ascii="Times New Roman" w:eastAsia="Times New Roman" w:hAnsi="Times New Roman" w:cs="Times New Roman"/>
          <w:kern w:val="0"/>
          <w:sz w:val="24"/>
          <w:szCs w:val="24"/>
          <w14:ligatures w14:val="none"/>
        </w:rPr>
        <w:fldChar w:fldCharType="end"/>
      </w:r>
      <w:r w:rsidRPr="00E9644F">
        <w:rPr>
          <w:rFonts w:ascii="Times New Roman" w:eastAsia="Times New Roman" w:hAnsi="Times New Roman" w:cs="Times New Roman"/>
          <w:kern w:val="0"/>
          <w:sz w:val="24"/>
          <w:szCs w:val="24"/>
          <w14:ligatures w14:val="none"/>
        </w:rPr>
        <w:t xml:space="preserve">. </w:t>
      </w:r>
      <w:r w:rsidRPr="00E9644F">
        <w:rPr>
          <w:rFonts w:ascii="Times New Roman" w:hAnsi="Times New Roman" w:cs="Times New Roman"/>
          <w:sz w:val="24"/>
          <w:szCs w:val="24"/>
        </w:rPr>
        <w:t xml:space="preserve">Resistance phenotypes are </w:t>
      </w:r>
      <w:r w:rsidR="002E4D22" w:rsidRPr="00E9644F">
        <w:rPr>
          <w:rFonts w:ascii="Times New Roman" w:hAnsi="Times New Roman" w:cs="Times New Roman"/>
          <w:sz w:val="24"/>
          <w:szCs w:val="24"/>
        </w:rPr>
        <w:t>mainly due to</w:t>
      </w:r>
      <w:r w:rsidRPr="00E9644F">
        <w:rPr>
          <w:rFonts w:ascii="Times New Roman" w:hAnsi="Times New Roman" w:cs="Times New Roman"/>
          <w:sz w:val="24"/>
          <w:szCs w:val="24"/>
        </w:rPr>
        <w:t xml:space="preserve"> two broad mechanisms involving target-site mutations in the voltage-gated sodium channel (VGSC) gene, referred to as knockdown-resistance (kdr), and metabolic detoxification via cytochrome P450 monooxygenases, esterases and glutathione S-transferases </w:t>
      </w:r>
      <w:r w:rsidR="00592D02" w:rsidRPr="00E9644F">
        <w:rPr>
          <w:rStyle w:val="FootnoteReference"/>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{"citationItems":[{"id":"ITEM-1","itemData":{"ISSN":"1995-7645","abstract":"Mosquitoes belonging to the genus Aedes pose a significant threat to human health on a global scenario due to their role in transmission of dengue, chikungunya, zika, and yellow fever. In absence of specific medications and vaccines against these diseases, disease prevention relies on vector control. However, in today's world, vector control is facing major challenges due to the onset of insecticide resistance in mosquitoes. There are four main mechanisms of insecticide resistance, namely, behavioral resistance, reduced penetration/cuticular resistance, metabolic detoxification, and target site resistance; however, the latter two mechanisms have been studied widely in Aedes mosquitoes. Insecticide resistance in Aedes mosquitoes is widespread throughout the world. This review compiles the degree of insecticide resistance/susceptibility prevailing among different field populations of Aedes mosquitoes worldwide. In addition, the review has detailed the mechanisms providing the resistance phenomenon observed in nature in Aedes mosquitoes.","author":[{"dropping-particle":"","family":"Bharati","given":"Minu","non-dropping-particle":"","parse-names":false,"suffix":""},{"dropping-particle":"","family":"Saha","given":"Dhiraj","non-dropping-particle":"","parse-names":false,"suffix":""}],"container-title":"Asian Pacific Journal of Tropical Medicine","id":"ITEM-1","issue":"2","issued":{"date-parts":[["2021"]]},"title":"Insecticide resistance status and biochemical mechanisms involved in Aedes mosquitoes: A scoping review","type":"article-journal","volume":"14"},"uris":["http://www.mendeley.com/documents/?uuid=c7618b37-d246-470b-8381-f21387e9cffa"]}],"mendeley":{"formattedCitation":"[9]","plainTextFormattedCitation":"[9]","previouslyFormattedCitation":"[9]"},"properties":{"noteIndex":0},"schema":"https://github.com/citation-style-language/schema/raw/master/csl-citation.json"}</w:instrText>
      </w:r>
      <w:r w:rsidR="00592D02" w:rsidRPr="00E9644F">
        <w:rPr>
          <w:rStyle w:val="FootnoteReference"/>
          <w:rFonts w:ascii="Times New Roman" w:hAnsi="Times New Roman" w:cs="Times New Roman"/>
          <w:sz w:val="24"/>
          <w:szCs w:val="24"/>
        </w:rPr>
        <w:fldChar w:fldCharType="separate"/>
      </w:r>
      <w:r w:rsidR="00630281" w:rsidRPr="00E9644F">
        <w:rPr>
          <w:rFonts w:ascii="Times New Roman" w:hAnsi="Times New Roman" w:cs="Times New Roman"/>
          <w:bCs/>
          <w:noProof/>
          <w:sz w:val="24"/>
          <w:szCs w:val="24"/>
        </w:rPr>
        <w:t>[9]</w:t>
      </w:r>
      <w:r w:rsidR="00592D02" w:rsidRPr="00E9644F">
        <w:rPr>
          <w:rStyle w:val="FootnoteReference"/>
          <w:rFonts w:ascii="Times New Roman" w:hAnsi="Times New Roman" w:cs="Times New Roman"/>
          <w:sz w:val="24"/>
          <w:szCs w:val="24"/>
        </w:rPr>
        <w:fldChar w:fldCharType="end"/>
      </w:r>
      <w:r w:rsidRPr="00E9644F">
        <w:rPr>
          <w:rFonts w:ascii="Times New Roman" w:hAnsi="Times New Roman" w:cs="Times New Roman"/>
          <w:sz w:val="24"/>
          <w:szCs w:val="24"/>
        </w:rPr>
        <w:t>.</w:t>
      </w:r>
      <w:r w:rsidR="006F1B0D" w:rsidRPr="00E9644F">
        <w:rPr>
          <w:rFonts w:ascii="Times New Roman" w:hAnsi="Times New Roman" w:cs="Times New Roman"/>
          <w:sz w:val="24"/>
          <w:szCs w:val="24"/>
        </w:rPr>
        <w:t xml:space="preserve"> These mutations represent a critical genetic adaptation that enables these mosquitoes to survive insecticide exposure </w:t>
      </w:r>
      <w:r w:rsidR="00592D02" w:rsidRPr="00E9644F">
        <w:rPr>
          <w:rStyle w:val="FootnoteReference"/>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{"citationItems":[{"id":"ITEM-1","itemData":{"author":[{"dropping-particle":"","family":"Kolimenakis, A., Heinz, S., Wilson, M. L., Winkler, V., Yakob, L., Michaelakis, A., ... &amp; Horstick","given":"O. (2021)","non-dropping-particle":"","parse-names":false,"suffix":""}],"id":"ITEM-1","issued":{"date-parts":[["2021"]]},"title":"The role of urbanisation in the spread of Aedes mosquitoes and the diseases they transmit—A systematic review","type":"article-journal"},"uris":["http://www.mendeley.com/documents/?uuid=bb5e150c-9070-44b1-ab23-d87288ca04b9"]}],"mendeley":{"formattedCitation":"[10]","manualFormatting":"[8]","plainTextFormattedCitation":"[10]","previouslyFormattedCitation":"[10]"},"properties":{"noteIndex":0},"schema":"https://github.com/citation-style-language/schema/raw/master/csl-citation.json"}</w:instrText>
      </w:r>
      <w:r w:rsidR="00592D02" w:rsidRPr="00E9644F">
        <w:rPr>
          <w:rStyle w:val="FootnoteReference"/>
          <w:rFonts w:ascii="Times New Roman" w:hAnsi="Times New Roman" w:cs="Times New Roman"/>
          <w:sz w:val="24"/>
          <w:szCs w:val="24"/>
        </w:rPr>
        <w:fldChar w:fldCharType="separate"/>
      </w:r>
      <w:r w:rsidR="0041193D" w:rsidRPr="00E9644F">
        <w:rPr>
          <w:rFonts w:ascii="Times New Roman" w:hAnsi="Times New Roman" w:cs="Times New Roman"/>
          <w:noProof/>
          <w:sz w:val="24"/>
          <w:szCs w:val="24"/>
        </w:rPr>
        <w:t>[8]</w:t>
      </w:r>
      <w:r w:rsidR="00592D02" w:rsidRPr="00E9644F">
        <w:rPr>
          <w:rStyle w:val="FootnoteReference"/>
          <w:rFonts w:ascii="Times New Roman" w:hAnsi="Times New Roman" w:cs="Times New Roman"/>
          <w:sz w:val="24"/>
          <w:szCs w:val="24"/>
        </w:rPr>
        <w:fldChar w:fldCharType="end"/>
      </w:r>
      <w:r w:rsidR="006F1B0D" w:rsidRPr="00E9644F">
        <w:rPr>
          <w:rFonts w:ascii="Times New Roman" w:hAnsi="Times New Roman" w:cs="Times New Roman"/>
          <w:sz w:val="24"/>
          <w:szCs w:val="24"/>
        </w:rPr>
        <w:t>.</w:t>
      </w:r>
      <w:r w:rsidRPr="00E9644F">
        <w:rPr>
          <w:rFonts w:ascii="Times New Roman" w:hAnsi="Times New Roman" w:cs="Times New Roman"/>
          <w:sz w:val="24"/>
          <w:szCs w:val="24"/>
        </w:rPr>
        <w:t xml:space="preserve"> </w:t>
      </w:r>
    </w:p>
    <w:p w14:paraId="34ACDF4E" w14:textId="3244BBE5" w:rsidR="00827611" w:rsidRPr="00E9644F" w:rsidRDefault="00E66042" w:rsidP="00AB3BA0">
      <w:pPr>
        <w:spacing w:line="480" w:lineRule="auto"/>
        <w:jc w:val="both"/>
        <w:rPr>
          <w:rFonts w:ascii="Times New Roman" w:eastAsia="Times New Roman" w:hAnsi="Times New Roman" w:cs="Times New Roman"/>
          <w:kern w:val="0"/>
          <w:sz w:val="24"/>
          <w:szCs w:val="24"/>
          <w14:ligatures w14:val="none"/>
        </w:rPr>
      </w:pPr>
      <w:r w:rsidRPr="00E9644F">
        <w:rPr>
          <w:rFonts w:ascii="Times New Roman" w:eastAsia="Times New Roman" w:hAnsi="Times New Roman" w:cs="Times New Roman"/>
          <w:kern w:val="0"/>
          <w:sz w:val="24"/>
          <w:szCs w:val="24"/>
          <w14:ligatures w14:val="none"/>
        </w:rPr>
        <w:t xml:space="preserve">In </w:t>
      </w:r>
      <w:r w:rsidR="00055CC3" w:rsidRPr="00E9644F">
        <w:rPr>
          <w:rFonts w:ascii="Times New Roman" w:eastAsia="Times New Roman" w:hAnsi="Times New Roman" w:cs="Times New Roman"/>
          <w:kern w:val="0"/>
          <w:sz w:val="24"/>
          <w:szCs w:val="24"/>
          <w14:ligatures w14:val="none"/>
        </w:rPr>
        <w:t>W</w:t>
      </w:r>
      <w:r w:rsidRPr="00E9644F">
        <w:rPr>
          <w:rFonts w:ascii="Times New Roman" w:eastAsia="Times New Roman" w:hAnsi="Times New Roman" w:cs="Times New Roman"/>
          <w:kern w:val="0"/>
          <w:sz w:val="24"/>
          <w:szCs w:val="24"/>
          <w14:ligatures w14:val="none"/>
        </w:rPr>
        <w:t xml:space="preserve">est Africa studies have shown high levels of phenotypic pyrethroid resistance in Aedes population and the co-occurrence of </w:t>
      </w:r>
      <w:r w:rsidR="00055CC3" w:rsidRPr="00E9644F">
        <w:rPr>
          <w:rFonts w:ascii="Times New Roman" w:eastAsia="Times New Roman" w:hAnsi="Times New Roman" w:cs="Times New Roman"/>
          <w:kern w:val="0"/>
          <w:sz w:val="24"/>
          <w:szCs w:val="24"/>
          <w14:ligatures w14:val="none"/>
        </w:rPr>
        <w:t xml:space="preserve">other </w:t>
      </w:r>
      <w:r w:rsidRPr="00E9644F">
        <w:rPr>
          <w:rFonts w:ascii="Times New Roman" w:eastAsia="Times New Roman" w:hAnsi="Times New Roman" w:cs="Times New Roman"/>
          <w:kern w:val="0"/>
          <w:sz w:val="24"/>
          <w:szCs w:val="24"/>
          <w14:ligatures w14:val="none"/>
        </w:rPr>
        <w:t xml:space="preserve">kdr mutations (F1534C, V1016I, and V410L) </w:t>
      </w:r>
      <w:r w:rsidR="00D812CF" w:rsidRPr="00E9644F">
        <w:rPr>
          <w:rFonts w:ascii="Times New Roman" w:eastAsia="Times New Roman" w:hAnsi="Times New Roman" w:cs="Times New Roman"/>
          <w:kern w:val="0"/>
          <w:sz w:val="24"/>
          <w:szCs w:val="24"/>
          <w14:ligatures w14:val="none"/>
        </w:rPr>
        <w:fldChar w:fldCharType="begin" w:fldLock="1"/>
      </w:r>
      <w:r w:rsidR="00DF7040" w:rsidRPr="00E9644F">
        <w:rPr>
          <w:rFonts w:ascii="Times New Roman" w:eastAsia="Times New Roman" w:hAnsi="Times New Roman" w:cs="Times New Roman"/>
          <w:kern w:val="0"/>
          <w:sz w:val="24"/>
          <w:szCs w:val="24"/>
          <w14:ligatures w14:val="none"/>
        </w:rPr>
        <w:instrText>ADDIN CSL_CITATION {"citationItems":[{"id":"ITEM-1","itemData":{"DOI":"10.1186/s13071-016-1887-5","ISBN":"1307101618875","ISSN":"17563305","PMID":"27881148","abstract":"Background: Aedes aegypti and Ae. albopictus are the main epidemic vectors of dengue, chikungunya and Zika viruses worldwide. Their control during epidemics relies mainly on control of larvae and adults with insecticides. Unfortunately, loss of susceptibility of both species to several insecticide classes limits the efficacy of interventions. In Africa, where Aedes-borne viruses are of growing concern, few data are available on resistance to insecticides. To fill this gap, we assessed the susceptibility to insecticides of Ae. aegypti and Ae. albopictus populations in the Central African Republic (CAR) and studied the mechanisms of resistance. Methods: Immature stages were sampled between June and September 2014 in six locations in Bangui (the capital of CAR) for larval and adult bioassays according to WHO standard procedures. We also characterized DDT- and pyrethroid-resistant mosquitoes molecularly and biochemically, including tests for the activities of nonspecific esterases (α and β), mixed-function oxidases, insensitive acetylcholinesterase and glutathione S-transferases. Results: Larval bioassays, carried out to determine the lethal concentrations (LC50 and LC95) and resistance ratios (RR50 and RR95), suggested that both vector species were susceptible to Bacillus thuringiensis var. israeliensis and to temephos. Bioassays of adults showed susceptibility to propoxur and fenitrothion, except for one Ae. albopictus population that was suspected to be resistant to fenithrothion. None of the Ae. aegypti populations was fully susceptible to DDT. Ae. albopictus presented a similar profile to Ae. aegypti but with a lower mortality rate (41%). Possible resistance to deltamethrin was observed among Ae. aegypti and Ae. albopictus, although some were susceptible. No kdr mutations were detected in either species; however, the activity of detoxifying enzymes was higher in most populations than in the susceptible Ae. aegypti strain, confirming decreased susceptibility to DDT and deltamethrin. Conclusion: These findings suggested that regular, continuous monitoring of resistance is necessary in order to select the most effective adulticides for arbovirus control in Bangui.","author":[{"dropping-particle":"","family":"Ngoagouni","given":"Carine","non-dropping-particle":"","parse-names":false,"suffix":""},{"dropping-particle":"","family":"Kamgang","given":"Basile","non-dropping-particle":"","parse-names":false,"suffix":""},{"dropping-particle":"","family":"Brengues","given":"Cécile","non-dropping-particle":"","parse-names":false,"suffix":""},{"dropping-particle":"","family":"Yahouedo","given":"Gildas","non-dropping-particle":"","parse-names":false,"suffix":""},{"dropping-particle":"","family":"Paupy","given":"Christophe","non-dropping-particle":"","parse-names":false,"suffix":""},{"dropping-particle":"","family":"Nakouné","given":"Emmanuel","non-dropping-particle":"","parse-names":false,"suffix":""},{"dropping-particle":"","family":"Kazanji","given":"Mirdad","non-dropping-particle":"","parse-names":false,"suffix":""},{"dropping-particle":"","family":"Chandre","given":"Fabrice","non-dropping-particle":"","parse-names":false,"suffix":""}],"container-title":"Parasites and Vectors","id":"ITEM-1","issue":"1","issued":{"date-parts":[["2016"]]},"page":"1-13","publisher":"Parasites &amp; Vectors","title":"Susceptibility profile and metabolic mechanisms involved in Aedes aegypti and Aedes albopictus resistant to DDT and deltamethrin in the Central African Republic","type":"article-journal","volume":"9"},"uris":["http://www.mendeley.com/documents/?uuid=cc47073d-3d93-4201-89a8-cf8d0ba0ec8c"]}],"mendeley":{"formattedCitation":"[7]","plainTextFormattedCitation":"[7]","previouslyFormattedCitation":"[7]"},"properties":{"noteIndex":0},"schema":"https://github.com/citation-style-language/schema/raw/master/csl-citation.json"}</w:instrText>
      </w:r>
      <w:r w:rsidR="00D812CF" w:rsidRPr="00E9644F">
        <w:rPr>
          <w:rFonts w:ascii="Times New Roman" w:eastAsia="Times New Roman" w:hAnsi="Times New Roman" w:cs="Times New Roman"/>
          <w:kern w:val="0"/>
          <w:sz w:val="24"/>
          <w:szCs w:val="24"/>
          <w14:ligatures w14:val="none"/>
        </w:rPr>
        <w:fldChar w:fldCharType="separate"/>
      </w:r>
      <w:r w:rsidR="00630281" w:rsidRPr="00E9644F">
        <w:rPr>
          <w:rFonts w:ascii="Times New Roman" w:eastAsia="Times New Roman" w:hAnsi="Times New Roman" w:cs="Times New Roman"/>
          <w:noProof/>
          <w:kern w:val="0"/>
          <w:sz w:val="24"/>
          <w:szCs w:val="24"/>
          <w14:ligatures w14:val="none"/>
        </w:rPr>
        <w:t>[7]</w:t>
      </w:r>
      <w:r w:rsidR="00D812CF" w:rsidRPr="00E9644F">
        <w:rPr>
          <w:rFonts w:ascii="Times New Roman" w:eastAsia="Times New Roman" w:hAnsi="Times New Roman" w:cs="Times New Roman"/>
          <w:kern w:val="0"/>
          <w:sz w:val="24"/>
          <w:szCs w:val="24"/>
          <w14:ligatures w14:val="none"/>
        </w:rPr>
        <w:fldChar w:fldCharType="end"/>
      </w:r>
      <w:r w:rsidR="004B3452" w:rsidRPr="00E9644F">
        <w:rPr>
          <w:rFonts w:ascii="Times New Roman" w:eastAsia="Times New Roman" w:hAnsi="Times New Roman" w:cs="Times New Roman"/>
          <w:kern w:val="0"/>
          <w:sz w:val="24"/>
          <w:szCs w:val="24"/>
          <w14:ligatures w14:val="none"/>
        </w:rPr>
        <w:fldChar w:fldCharType="begin" w:fldLock="1"/>
      </w:r>
      <w:r w:rsidR="00DF7040" w:rsidRPr="00E9644F">
        <w:rPr>
          <w:rFonts w:ascii="Times New Roman" w:eastAsia="Times New Roman" w:hAnsi="Times New Roman" w:cs="Times New Roman"/>
          <w:kern w:val="0"/>
          <w:sz w:val="24"/>
          <w:szCs w:val="24"/>
          <w14:ligatures w14:val="none"/>
        </w:rPr>
        <w:instrText>ADDIN CSL_CITATION {"citationItems":[{"id":"ITEM-1","itemData":{"author":[{"dropping-particle":"","family":"Ndeye Marie Sene 1, Konstantinos Mavridis 2, El Hadji Ndiaye 1, Cheikh Tidiane Diagne 1 3, Alioune Gaye 1, El Hadji Malick Ngom 1, Yamar Ba 1, Diawo Diallo 1, John Vontas 2 4, Ibrahima Dia 1","given":"Mawlouth Diallo 1","non-dropping-particle":"","parse-names":false,"suffix":""}],"container-title":"PLoS Negl Trop Dis","id":"ITEM-1","issue":"5","issued":{"date-parts":[["2021"]]},"title":"Insecticide resistance status and mechanisms in Aedes aegypti populations from Senegal","type":"article-journal","volume":"15"},"uris":["http://www.mendeley.com/documents/?uuid=008d1761-2e6b-4393-bf2c-f0bc824358e8"]}],"mendeley":{"formattedCitation":"[4]","plainTextFormattedCitation":"[4]","previouslyFormattedCitation":"[4]"},"properties":{"noteIndex":0},"schema":"https://github.com/citation-style-language/schema/raw/master/csl-citation.json"}</w:instrText>
      </w:r>
      <w:r w:rsidR="004B3452" w:rsidRPr="00E9644F">
        <w:rPr>
          <w:rFonts w:ascii="Times New Roman" w:eastAsia="Times New Roman" w:hAnsi="Times New Roman" w:cs="Times New Roman"/>
          <w:kern w:val="0"/>
          <w:sz w:val="24"/>
          <w:szCs w:val="24"/>
          <w14:ligatures w14:val="none"/>
        </w:rPr>
        <w:fldChar w:fldCharType="separate"/>
      </w:r>
      <w:r w:rsidR="00630281" w:rsidRPr="00E9644F">
        <w:rPr>
          <w:rFonts w:ascii="Times New Roman" w:eastAsia="Times New Roman" w:hAnsi="Times New Roman" w:cs="Times New Roman"/>
          <w:noProof/>
          <w:kern w:val="0"/>
          <w:sz w:val="24"/>
          <w:szCs w:val="24"/>
          <w14:ligatures w14:val="none"/>
        </w:rPr>
        <w:t>[4]</w:t>
      </w:r>
      <w:r w:rsidR="004B3452" w:rsidRPr="00E9644F">
        <w:rPr>
          <w:rFonts w:ascii="Times New Roman" w:eastAsia="Times New Roman" w:hAnsi="Times New Roman" w:cs="Times New Roman"/>
          <w:kern w:val="0"/>
          <w:sz w:val="24"/>
          <w:szCs w:val="24"/>
          <w14:ligatures w14:val="none"/>
        </w:rPr>
        <w:fldChar w:fldCharType="end"/>
      </w:r>
      <w:r w:rsidR="00592D02" w:rsidRPr="00E9644F">
        <w:rPr>
          <w:rStyle w:val="FootnoteReference"/>
          <w:rFonts w:ascii="Times New Roman" w:eastAsia="Times New Roman" w:hAnsi="Times New Roman" w:cs="Times New Roman"/>
          <w:kern w:val="0"/>
          <w:sz w:val="24"/>
          <w:szCs w:val="24"/>
          <w14:ligatures w14:val="none"/>
        </w:rPr>
        <w:fldChar w:fldCharType="begin" w:fldLock="1"/>
      </w:r>
      <w:r w:rsidR="00630281" w:rsidRPr="00E9644F">
        <w:rPr>
          <w:rFonts w:ascii="Times New Roman" w:eastAsia="Times New Roman" w:hAnsi="Times New Roman" w:cs="Times New Roman"/>
          <w:kern w:val="0"/>
          <w:sz w:val="24"/>
          <w:szCs w:val="24"/>
          <w14:ligatures w14:val="none"/>
        </w:rPr>
        <w:instrText>ADDIN CSL_CITATION {"citationItems":[{"id":"ITEM-1","itemData":{"DOI":"10.1186/s13071-023-05752-x","ISSN":"1756-3305","abstract":"Outbreaks of Aedes-borne arboviral diseases are becoming rampant in Africa. In Ghana, there is no organized arboviral control programme with interventions restricted to mitigate outbreaks. Insecticide application is a crucial part of outbreak responses and future preventative control measures. Thus, knowledge of the resistance status and underlying mechanisms of Aedes populations is required to ensure optimal insecticide choices. The present study assessed the insecticide resistance status of Aedes aegypti populations from southern Ghana (Accra, Tema and Ada Foah) and northern Ghana (Navrongo) respectively.","author":[{"dropping-particle":"","family":"Abdulai","given":"Anisa","non-dropping-particle":"","parse-names":false,"suffix":""},{"dropping-particle":"","family":"Owusu-Asenso","given":"Christopher Mfum","non-dropping-particle":"","parse-names":false,"suffix":""},{"dropping-particle":"","family":"Akosah-Brempong","given":"Gabriel","non-dropping-particle":"","parse-names":false,"suffix":""},{"dropping-particle":"","family":"Mohammed","given":"Abdul Rahim","non-dropping-particle":"","parse-names":false,"suffix":""},{"dropping-particle":"","family":"Sraku","given":"Isaac Kwame","non-dropping-particle":"","parse-names":false,"suffix":""},{"dropping-particle":"","family":"Attah","given":"Simon Kwaku","non-dropping-particle":"","parse-names":false,"suffix":""},{"dropping-particle":"","family":"Forson","given":"Akua Obeng","non-dropping-particle":"","parse-names":false,"suffix":""},{"dropping-particle":"","family":"Weetman","given":"David","non-dropping-particle":"","parse-names":false,"suffix":""},{"dropping-particle":"","family":"Afrane","given":"Yaw Asare","non-dropping-particle":"","parse-names":false,"suffix":""}],"container-title":"Parasites &amp; Vectors","id":"ITEM-1","issue":"1","issued":{"date-parts":[["2023"]]},"page":"135","title":"Insecticide resistance status of Aedes aegypti in southern and northern Ghana","type":"article-journal","volume":"16"},"uris":["http://www.mendeley.com/documents/?uuid=c03a4841-c1f3-4e77-b0db-d9dab1aea311"]}],"mendeley":{"formattedCitation":"[11]","plainTextFormattedCitation":"[11]","previouslyFormattedCitation":"[11]"},"properties":{"noteIndex":0},"schema":"https://github.com/citation-style-language/schema/raw/master/csl-citation.json"}</w:instrText>
      </w:r>
      <w:r w:rsidR="00592D02" w:rsidRPr="00E9644F">
        <w:rPr>
          <w:rStyle w:val="FootnoteReference"/>
          <w:rFonts w:ascii="Times New Roman" w:eastAsia="Times New Roman" w:hAnsi="Times New Roman" w:cs="Times New Roman"/>
          <w:kern w:val="0"/>
          <w:sz w:val="24"/>
          <w:szCs w:val="24"/>
          <w14:ligatures w14:val="none"/>
        </w:rPr>
        <w:fldChar w:fldCharType="separate"/>
      </w:r>
      <w:r w:rsidR="00630281" w:rsidRPr="00E9644F">
        <w:rPr>
          <w:rFonts w:ascii="Times New Roman" w:eastAsia="Times New Roman" w:hAnsi="Times New Roman" w:cs="Times New Roman"/>
          <w:bCs/>
          <w:noProof/>
          <w:kern w:val="0"/>
          <w:sz w:val="24"/>
          <w:szCs w:val="24"/>
          <w14:ligatures w14:val="none"/>
        </w:rPr>
        <w:t>[11]</w:t>
      </w:r>
      <w:r w:rsidR="00592D02" w:rsidRPr="00E9644F">
        <w:rPr>
          <w:rStyle w:val="FootnoteReference"/>
          <w:rFonts w:ascii="Times New Roman" w:eastAsia="Times New Roman" w:hAnsi="Times New Roman" w:cs="Times New Roman"/>
          <w:kern w:val="0"/>
          <w:sz w:val="24"/>
          <w:szCs w:val="24"/>
          <w14:ligatures w14:val="none"/>
        </w:rPr>
        <w:fldChar w:fldCharType="end"/>
      </w:r>
      <w:r w:rsidRPr="00E9644F">
        <w:rPr>
          <w:rFonts w:ascii="Times New Roman" w:eastAsia="Times New Roman" w:hAnsi="Times New Roman" w:cs="Times New Roman"/>
          <w:kern w:val="0"/>
          <w:sz w:val="24"/>
          <w:szCs w:val="24"/>
          <w14:ligatures w14:val="none"/>
        </w:rPr>
        <w:t>.</w:t>
      </w:r>
      <w:r w:rsidR="006F1B0D" w:rsidRPr="00E9644F">
        <w:rPr>
          <w:rFonts w:ascii="Times New Roman" w:eastAsia="Times New Roman" w:hAnsi="Times New Roman" w:cs="Times New Roman"/>
          <w:kern w:val="0"/>
          <w:sz w:val="24"/>
          <w:szCs w:val="24"/>
          <w14:ligatures w14:val="none"/>
        </w:rPr>
        <w:t xml:space="preserve"> </w:t>
      </w:r>
      <w:r w:rsidR="006F1B0D" w:rsidRPr="00E9644F">
        <w:rPr>
          <w:rFonts w:ascii="Times New Roman" w:hAnsi="Times New Roman" w:cs="Times New Roman"/>
          <w:sz w:val="24"/>
          <w:szCs w:val="24"/>
        </w:rPr>
        <w:t>A</w:t>
      </w:r>
      <w:r w:rsidR="00A10F75" w:rsidRPr="00E9644F">
        <w:rPr>
          <w:rFonts w:ascii="Times New Roman" w:hAnsi="Times New Roman" w:cs="Times New Roman"/>
          <w:sz w:val="24"/>
          <w:szCs w:val="24"/>
        </w:rPr>
        <w:t xml:space="preserve">lthough </w:t>
      </w:r>
      <w:r w:rsidR="006F1B0D" w:rsidRPr="00E9644F">
        <w:rPr>
          <w:rFonts w:ascii="Times New Roman" w:hAnsi="Times New Roman" w:cs="Times New Roman"/>
          <w:sz w:val="24"/>
          <w:szCs w:val="24"/>
        </w:rPr>
        <w:t xml:space="preserve">studies in </w:t>
      </w:r>
      <w:r w:rsidR="00972D43" w:rsidRPr="00E9644F">
        <w:rPr>
          <w:rFonts w:ascii="Times New Roman" w:hAnsi="Times New Roman" w:cs="Times New Roman"/>
          <w:sz w:val="24"/>
          <w:szCs w:val="24"/>
        </w:rPr>
        <w:t>Africa</w:t>
      </w:r>
      <w:r w:rsidR="006F1B0D" w:rsidRPr="00E9644F">
        <w:rPr>
          <w:rFonts w:ascii="Times New Roman" w:hAnsi="Times New Roman" w:cs="Times New Roman"/>
          <w:sz w:val="24"/>
          <w:szCs w:val="24"/>
        </w:rPr>
        <w:t xml:space="preserve"> </w:t>
      </w:r>
      <w:r w:rsidR="00A10F75" w:rsidRPr="00E9644F">
        <w:rPr>
          <w:rFonts w:ascii="Times New Roman" w:hAnsi="Times New Roman" w:cs="Times New Roman"/>
          <w:sz w:val="24"/>
          <w:szCs w:val="24"/>
        </w:rPr>
        <w:t xml:space="preserve">on arbovirus vectors is </w:t>
      </w:r>
      <w:r w:rsidR="009B6A1E" w:rsidRPr="00E9644F">
        <w:rPr>
          <w:rFonts w:ascii="Times New Roman" w:hAnsi="Times New Roman" w:cs="Times New Roman"/>
          <w:sz w:val="24"/>
          <w:szCs w:val="24"/>
        </w:rPr>
        <w:t xml:space="preserve">increasing </w:t>
      </w:r>
      <w:r w:rsidR="00DF7040" w:rsidRPr="00E9644F">
        <w:rPr>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DOI":"10.1016/S2542-5196(20)30269-2","ISSN":"2542-5196","author":[{"dropping-particle":"","family":"Ahmed","given":"Ayman","non-dropping-particle":"","parse-names":false,"suffix":""},{"dropping-particle":"","family":"Ali","given":"Yousif","non-dropping-particle":"","parse-names":false,"suffix":""},{"dropping-particle":"","family":"Mohamed","given":"Nouh Saad","non-dropping-particle":"","parse-names":false,"suffix":""}],"container-title":"The Lancet Planetary Health","id":"ITEM-1","issue":"12","issued":{"date-parts":[["2020","12","1"]]},"note":"doi: 10.1016/S2542-5196(20)30269-2","page":"e555","publisher":"Elsevier","title":"Arboviral diseases: the emergence of a major yet ignored public health threat in Africa","type":"article-journal","volume":"4"},"uris":["http://www.mendeley.com/documents/?uuid=d8d870d2-ee2b-4575-b3b7-f77a2887b5f7"]}],"mendeley":{"formattedCitation":"[12]","plainTextFormattedCitation":"[12]"},"properties":{"noteIndex":0},"schema":"https://github.com/citation-style-language/schema/raw/master/csl-citation.json"}</w:instrText>
      </w:r>
      <w:r w:rsidR="00DF7040" w:rsidRPr="00E9644F">
        <w:rPr>
          <w:rFonts w:ascii="Times New Roman" w:hAnsi="Times New Roman" w:cs="Times New Roman"/>
          <w:sz w:val="24"/>
          <w:szCs w:val="24"/>
        </w:rPr>
        <w:fldChar w:fldCharType="separate"/>
      </w:r>
      <w:r w:rsidR="00DF7040" w:rsidRPr="00E9644F">
        <w:rPr>
          <w:rFonts w:ascii="Times New Roman" w:hAnsi="Times New Roman" w:cs="Times New Roman"/>
          <w:noProof/>
          <w:sz w:val="24"/>
          <w:szCs w:val="24"/>
        </w:rPr>
        <w:t>[12]</w:t>
      </w:r>
      <w:r w:rsidR="00DF7040" w:rsidRPr="00E9644F">
        <w:rPr>
          <w:rFonts w:ascii="Times New Roman" w:hAnsi="Times New Roman" w:cs="Times New Roman"/>
          <w:sz w:val="24"/>
          <w:szCs w:val="24"/>
        </w:rPr>
        <w:fldChar w:fldCharType="end"/>
      </w:r>
      <w:r w:rsidR="00A10F75" w:rsidRPr="00E9644F">
        <w:rPr>
          <w:rFonts w:ascii="Times New Roman" w:hAnsi="Times New Roman" w:cs="Times New Roman"/>
          <w:sz w:val="24"/>
          <w:szCs w:val="24"/>
        </w:rPr>
        <w:t>,</w:t>
      </w:r>
      <w:r w:rsidR="00DF7040" w:rsidRPr="00E9644F">
        <w:rPr>
          <w:rFonts w:ascii="Times New Roman" w:hAnsi="Times New Roman" w:cs="Times New Roman"/>
          <w:sz w:val="24"/>
          <w:szCs w:val="24"/>
        </w:rPr>
        <w:t xml:space="preserve"> </w:t>
      </w:r>
      <w:r w:rsidR="00A10F75" w:rsidRPr="00E9644F">
        <w:rPr>
          <w:rFonts w:ascii="Times New Roman" w:hAnsi="Times New Roman" w:cs="Times New Roman"/>
          <w:sz w:val="24"/>
          <w:szCs w:val="24"/>
        </w:rPr>
        <w:t xml:space="preserve">comprehensive data on phenotypic </w:t>
      </w:r>
      <w:r w:rsidR="00055CC3" w:rsidRPr="00E9644F">
        <w:rPr>
          <w:rFonts w:ascii="Times New Roman" w:hAnsi="Times New Roman" w:cs="Times New Roman"/>
          <w:sz w:val="24"/>
          <w:szCs w:val="24"/>
        </w:rPr>
        <w:t xml:space="preserve">and genotypic </w:t>
      </w:r>
      <w:r w:rsidR="00A10F75" w:rsidRPr="00E9644F">
        <w:rPr>
          <w:rFonts w:ascii="Times New Roman" w:hAnsi="Times New Roman" w:cs="Times New Roman"/>
          <w:sz w:val="24"/>
          <w:szCs w:val="24"/>
        </w:rPr>
        <w:t xml:space="preserve">resistance in </w:t>
      </w:r>
      <w:r w:rsidR="00A10F75" w:rsidRPr="00E9644F">
        <w:rPr>
          <w:rFonts w:ascii="Times New Roman" w:hAnsi="Times New Roman" w:cs="Times New Roman"/>
          <w:i/>
          <w:iCs/>
          <w:sz w:val="24"/>
          <w:szCs w:val="24"/>
        </w:rPr>
        <w:t>Aedes</w:t>
      </w:r>
      <w:r w:rsidR="00A10F75" w:rsidRPr="00E9644F">
        <w:rPr>
          <w:rFonts w:ascii="Times New Roman" w:hAnsi="Times New Roman" w:cs="Times New Roman"/>
          <w:sz w:val="24"/>
          <w:szCs w:val="24"/>
        </w:rPr>
        <w:t xml:space="preserve"> species remain limited compared to malaria vectors.</w:t>
      </w:r>
    </w:p>
    <w:p w14:paraId="07DDD86A" w14:textId="77777777" w:rsidR="00AB3BA0" w:rsidRPr="00E9644F" w:rsidRDefault="002A2DEF" w:rsidP="00AB3BA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 xml:space="preserve">Characterizing the phenotypic and genetic insecticide resistance in </w:t>
      </w:r>
      <w:r w:rsidRPr="00E9644F">
        <w:rPr>
          <w:rFonts w:ascii="Times New Roman" w:hAnsi="Times New Roman" w:cs="Times New Roman"/>
          <w:i/>
          <w:iCs/>
          <w:sz w:val="24"/>
          <w:szCs w:val="24"/>
        </w:rPr>
        <w:t>Aedes</w:t>
      </w:r>
      <w:r w:rsidRPr="00E9644F">
        <w:rPr>
          <w:rFonts w:ascii="Times New Roman" w:hAnsi="Times New Roman" w:cs="Times New Roman"/>
          <w:sz w:val="24"/>
          <w:szCs w:val="24"/>
        </w:rPr>
        <w:t xml:space="preserve"> mosquitoes is essential for designing sustainable vector management strategies. Integrating species distribution data with </w:t>
      </w:r>
      <w:r w:rsidRPr="00E9644F">
        <w:rPr>
          <w:rFonts w:ascii="Times New Roman" w:hAnsi="Times New Roman" w:cs="Times New Roman"/>
          <w:sz w:val="24"/>
          <w:szCs w:val="24"/>
        </w:rPr>
        <w:lastRenderedPageBreak/>
        <w:t xml:space="preserve">resistance profiles </w:t>
      </w:r>
      <w:r w:rsidR="00066D77" w:rsidRPr="00E9644F">
        <w:rPr>
          <w:rFonts w:ascii="Times New Roman" w:hAnsi="Times New Roman" w:cs="Times New Roman"/>
          <w:sz w:val="24"/>
          <w:szCs w:val="24"/>
        </w:rPr>
        <w:t>provides</w:t>
      </w:r>
      <w:r w:rsidRPr="00E9644F">
        <w:rPr>
          <w:rFonts w:ascii="Times New Roman" w:hAnsi="Times New Roman" w:cs="Times New Roman"/>
          <w:sz w:val="24"/>
          <w:szCs w:val="24"/>
        </w:rPr>
        <w:t xml:space="preserve"> a more comprehensive understanding of local transmission dynamics and informs targeted interventions. </w:t>
      </w:r>
      <w:r w:rsidR="00066D77" w:rsidRPr="00E9644F">
        <w:rPr>
          <w:rFonts w:ascii="Times New Roman" w:hAnsi="Times New Roman" w:cs="Times New Roman"/>
          <w:sz w:val="24"/>
          <w:szCs w:val="24"/>
        </w:rPr>
        <w:t>Such s</w:t>
      </w:r>
      <w:r w:rsidRPr="00E9644F">
        <w:rPr>
          <w:rFonts w:ascii="Times New Roman" w:hAnsi="Times New Roman" w:cs="Times New Roman"/>
          <w:sz w:val="24"/>
          <w:szCs w:val="24"/>
        </w:rPr>
        <w:t xml:space="preserve">tudies are particularly important in endemic regions where insecticide use is high, and the burden of arboviral diseases </w:t>
      </w:r>
      <w:r w:rsidR="005754CA" w:rsidRPr="00E9644F">
        <w:rPr>
          <w:rFonts w:ascii="Times New Roman" w:hAnsi="Times New Roman" w:cs="Times New Roman"/>
          <w:kern w:val="0"/>
          <w:sz w:val="24"/>
          <w:szCs w:val="24"/>
          <w14:ligatures w14:val="none"/>
        </w:rPr>
        <w:t>is of great public health concern.</w:t>
      </w:r>
    </w:p>
    <w:p w14:paraId="377257A1" w14:textId="486FE62B" w:rsidR="00827611" w:rsidRPr="00E9644F" w:rsidRDefault="00827611" w:rsidP="00AB3BA0">
      <w:pPr>
        <w:spacing w:line="480" w:lineRule="auto"/>
        <w:jc w:val="both"/>
        <w:rPr>
          <w:rFonts w:ascii="Times New Roman" w:hAnsi="Times New Roman" w:cs="Times New Roman"/>
          <w:b/>
          <w:sz w:val="24"/>
          <w:szCs w:val="24"/>
        </w:rPr>
      </w:pPr>
      <w:r w:rsidRPr="00E9644F">
        <w:rPr>
          <w:rFonts w:ascii="Times New Roman" w:hAnsi="Times New Roman" w:cs="Times New Roman"/>
          <w:b/>
          <w:sz w:val="24"/>
          <w:szCs w:val="24"/>
        </w:rPr>
        <w:t>Methods</w:t>
      </w:r>
    </w:p>
    <w:p w14:paraId="1D711324" w14:textId="488808A3" w:rsidR="002A2DEF" w:rsidRPr="00E9644F" w:rsidRDefault="00827611" w:rsidP="00AB3BA0">
      <w:pPr>
        <w:spacing w:after="0" w:line="480" w:lineRule="auto"/>
        <w:jc w:val="both"/>
        <w:rPr>
          <w:rFonts w:ascii="Times New Roman" w:hAnsi="Times New Roman" w:cs="Times New Roman"/>
          <w:sz w:val="24"/>
          <w:szCs w:val="24"/>
        </w:rPr>
      </w:pPr>
      <w:r w:rsidRPr="00E9644F">
        <w:rPr>
          <w:rFonts w:ascii="Times New Roman" w:hAnsi="Times New Roman" w:cs="Times New Roman"/>
          <w:b/>
          <w:sz w:val="24"/>
          <w:szCs w:val="24"/>
        </w:rPr>
        <w:t xml:space="preserve">Study sites </w:t>
      </w:r>
    </w:p>
    <w:p w14:paraId="721891FC" w14:textId="76DD2DE9" w:rsidR="00211B94" w:rsidRPr="00E9644F" w:rsidRDefault="00A10F75" w:rsidP="00AB3BA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 xml:space="preserve">This </w:t>
      </w:r>
      <w:r w:rsidR="00C2666E" w:rsidRPr="00E9644F">
        <w:rPr>
          <w:rFonts w:ascii="Times New Roman" w:hAnsi="Times New Roman" w:cs="Times New Roman"/>
          <w:sz w:val="24"/>
          <w:szCs w:val="24"/>
        </w:rPr>
        <w:t xml:space="preserve">was </w:t>
      </w:r>
      <w:r w:rsidR="00B721ED" w:rsidRPr="00E9644F">
        <w:rPr>
          <w:rFonts w:ascii="Times New Roman" w:hAnsi="Times New Roman" w:cs="Times New Roman"/>
          <w:sz w:val="24"/>
          <w:szCs w:val="24"/>
        </w:rPr>
        <w:t xml:space="preserve">a longitudinal </w:t>
      </w:r>
      <w:r w:rsidRPr="00E9644F">
        <w:rPr>
          <w:rFonts w:ascii="Times New Roman" w:hAnsi="Times New Roman" w:cs="Times New Roman"/>
          <w:sz w:val="24"/>
          <w:szCs w:val="24"/>
        </w:rPr>
        <w:t xml:space="preserve">study conducted </w:t>
      </w:r>
      <w:r w:rsidR="0086220D" w:rsidRPr="00E9644F">
        <w:rPr>
          <w:rFonts w:ascii="Times New Roman" w:hAnsi="Times New Roman" w:cs="Times New Roman"/>
          <w:sz w:val="24"/>
          <w:szCs w:val="24"/>
        </w:rPr>
        <w:t>in</w:t>
      </w:r>
      <w:r w:rsidR="00D60B0A" w:rsidRPr="00E9644F">
        <w:rPr>
          <w:rFonts w:ascii="Times New Roman" w:hAnsi="Times New Roman" w:cs="Times New Roman"/>
          <w:sz w:val="24"/>
          <w:szCs w:val="24"/>
        </w:rPr>
        <w:t xml:space="preserve"> Eleven (11) </w:t>
      </w:r>
      <w:r w:rsidR="0086220D" w:rsidRPr="00E9644F">
        <w:rPr>
          <w:rFonts w:ascii="Times New Roman" w:hAnsi="Times New Roman" w:cs="Times New Roman"/>
          <w:sz w:val="24"/>
          <w:szCs w:val="24"/>
        </w:rPr>
        <w:t xml:space="preserve">communities </w:t>
      </w:r>
      <w:r w:rsidR="00F50F16" w:rsidRPr="00E9644F">
        <w:rPr>
          <w:rFonts w:ascii="Times New Roman" w:hAnsi="Times New Roman" w:cs="Times New Roman"/>
          <w:sz w:val="24"/>
          <w:szCs w:val="24"/>
        </w:rPr>
        <w:t>in</w:t>
      </w:r>
      <w:r w:rsidR="0086220D" w:rsidRPr="00E9644F">
        <w:rPr>
          <w:rFonts w:ascii="Times New Roman" w:hAnsi="Times New Roman" w:cs="Times New Roman"/>
          <w:sz w:val="24"/>
          <w:szCs w:val="24"/>
        </w:rPr>
        <w:t xml:space="preserve"> three ecological zones in Ghana comprising of the Sahel Savannah (Navrongo, Paga, Kpalsogu, Pagaza, Larabanga, Forest zone (</w:t>
      </w:r>
      <w:r w:rsidR="004D2ACB" w:rsidRPr="00E9644F">
        <w:rPr>
          <w:rFonts w:ascii="Times New Roman" w:hAnsi="Times New Roman" w:cs="Times New Roman"/>
          <w:sz w:val="24"/>
          <w:szCs w:val="24"/>
        </w:rPr>
        <w:t xml:space="preserve">Wenchi, </w:t>
      </w:r>
      <w:r w:rsidR="0086220D" w:rsidRPr="00E9644F">
        <w:rPr>
          <w:rFonts w:ascii="Times New Roman" w:hAnsi="Times New Roman" w:cs="Times New Roman"/>
          <w:sz w:val="24"/>
          <w:szCs w:val="24"/>
        </w:rPr>
        <w:t>Kono</w:t>
      </w:r>
      <w:r w:rsidR="006E4198" w:rsidRPr="00E9644F">
        <w:rPr>
          <w:rFonts w:ascii="Times New Roman" w:hAnsi="Times New Roman" w:cs="Times New Roman"/>
          <w:sz w:val="24"/>
          <w:szCs w:val="24"/>
        </w:rPr>
        <w:t>n</w:t>
      </w:r>
      <w:r w:rsidR="0086220D" w:rsidRPr="00E9644F">
        <w:rPr>
          <w:rFonts w:ascii="Times New Roman" w:hAnsi="Times New Roman" w:cs="Times New Roman"/>
          <w:sz w:val="24"/>
          <w:szCs w:val="24"/>
        </w:rPr>
        <w:t>go), and C</w:t>
      </w:r>
      <w:r w:rsidR="00D60B0A" w:rsidRPr="00E9644F">
        <w:rPr>
          <w:rFonts w:ascii="Times New Roman" w:hAnsi="Times New Roman" w:cs="Times New Roman"/>
          <w:sz w:val="24"/>
          <w:szCs w:val="24"/>
        </w:rPr>
        <w:t xml:space="preserve">oastal </w:t>
      </w:r>
      <w:r w:rsidR="0086220D" w:rsidRPr="00E9644F">
        <w:rPr>
          <w:rFonts w:ascii="Times New Roman" w:hAnsi="Times New Roman" w:cs="Times New Roman"/>
          <w:sz w:val="24"/>
          <w:szCs w:val="24"/>
        </w:rPr>
        <w:t>Savannah</w:t>
      </w:r>
      <w:r w:rsidR="00E508D1" w:rsidRPr="00E9644F">
        <w:rPr>
          <w:rFonts w:ascii="Times New Roman" w:hAnsi="Times New Roman" w:cs="Times New Roman"/>
          <w:sz w:val="24"/>
          <w:szCs w:val="24"/>
        </w:rPr>
        <w:t xml:space="preserve"> </w:t>
      </w:r>
      <w:r w:rsidR="0086220D" w:rsidRPr="00E9644F">
        <w:rPr>
          <w:rFonts w:ascii="Times New Roman" w:hAnsi="Times New Roman" w:cs="Times New Roman"/>
          <w:sz w:val="24"/>
          <w:szCs w:val="24"/>
        </w:rPr>
        <w:t>(Ada, Accra, Tema, Takoradi)</w:t>
      </w:r>
      <w:r w:rsidR="00E508D1" w:rsidRPr="00E9644F">
        <w:rPr>
          <w:rFonts w:ascii="Times New Roman" w:hAnsi="Times New Roman" w:cs="Times New Roman"/>
          <w:sz w:val="24"/>
          <w:szCs w:val="24"/>
        </w:rPr>
        <w:t xml:space="preserve"> (figure 1)</w:t>
      </w:r>
      <w:r w:rsidR="0086220D" w:rsidRPr="00E9644F">
        <w:rPr>
          <w:rFonts w:ascii="Times New Roman" w:hAnsi="Times New Roman" w:cs="Times New Roman"/>
          <w:sz w:val="24"/>
          <w:szCs w:val="24"/>
        </w:rPr>
        <w:t xml:space="preserve">. </w:t>
      </w:r>
      <w:r w:rsidR="00D60B0A" w:rsidRPr="00E9644F">
        <w:rPr>
          <w:rFonts w:ascii="Times New Roman" w:hAnsi="Times New Roman" w:cs="Times New Roman"/>
          <w:sz w:val="24"/>
          <w:szCs w:val="24"/>
        </w:rPr>
        <w:t xml:space="preserve"> </w:t>
      </w:r>
      <w:r w:rsidR="00211B94" w:rsidRPr="00E9644F">
        <w:rPr>
          <w:rFonts w:ascii="Times New Roman" w:hAnsi="Times New Roman" w:cs="Times New Roman"/>
          <w:sz w:val="24"/>
          <w:szCs w:val="24"/>
        </w:rPr>
        <w:t xml:space="preserve">The </w:t>
      </w:r>
      <w:r w:rsidR="00432ED4" w:rsidRPr="00E9644F">
        <w:rPr>
          <w:rFonts w:ascii="Times New Roman" w:hAnsi="Times New Roman" w:cs="Times New Roman"/>
          <w:sz w:val="24"/>
          <w:szCs w:val="24"/>
        </w:rPr>
        <w:t xml:space="preserve">coastal savannah in the </w:t>
      </w:r>
      <w:r w:rsidR="000C35E9" w:rsidRPr="00E9644F">
        <w:rPr>
          <w:rFonts w:ascii="Times New Roman" w:hAnsi="Times New Roman" w:cs="Times New Roman"/>
          <w:sz w:val="24"/>
          <w:szCs w:val="24"/>
        </w:rPr>
        <w:t xml:space="preserve">southern </w:t>
      </w:r>
      <w:r w:rsidR="001C4757" w:rsidRPr="00E9644F">
        <w:rPr>
          <w:rFonts w:ascii="Times New Roman" w:hAnsi="Times New Roman" w:cs="Times New Roman"/>
          <w:sz w:val="24"/>
          <w:szCs w:val="24"/>
        </w:rPr>
        <w:t xml:space="preserve">part of </w:t>
      </w:r>
      <w:r w:rsidR="000C35E9" w:rsidRPr="00E9644F">
        <w:rPr>
          <w:rFonts w:ascii="Times New Roman" w:hAnsi="Times New Roman" w:cs="Times New Roman"/>
          <w:sz w:val="24"/>
          <w:szCs w:val="24"/>
        </w:rPr>
        <w:t xml:space="preserve">Ghana </w:t>
      </w:r>
      <w:r w:rsidR="00BF3AC3" w:rsidRPr="00E9644F">
        <w:rPr>
          <w:rFonts w:ascii="Times New Roman" w:hAnsi="Times New Roman" w:cs="Times New Roman"/>
          <w:sz w:val="24"/>
          <w:szCs w:val="24"/>
        </w:rPr>
        <w:t>experiences</w:t>
      </w:r>
      <w:r w:rsidR="000C35E9" w:rsidRPr="00E9644F">
        <w:rPr>
          <w:rFonts w:ascii="Times New Roman" w:hAnsi="Times New Roman" w:cs="Times New Roman"/>
          <w:sz w:val="24"/>
          <w:szCs w:val="24"/>
        </w:rPr>
        <w:t xml:space="preserve"> a bimodal rainfall </w:t>
      </w:r>
      <w:r w:rsidR="00AA360A" w:rsidRPr="00E9644F">
        <w:rPr>
          <w:rFonts w:ascii="Times New Roman" w:hAnsi="Times New Roman" w:cs="Times New Roman"/>
          <w:sz w:val="24"/>
          <w:szCs w:val="24"/>
        </w:rPr>
        <w:t>pattern with a</w:t>
      </w:r>
      <w:r w:rsidR="000C35E9" w:rsidRPr="00E9644F">
        <w:rPr>
          <w:rFonts w:ascii="Times New Roman" w:hAnsi="Times New Roman" w:cs="Times New Roman"/>
          <w:sz w:val="24"/>
          <w:szCs w:val="24"/>
        </w:rPr>
        <w:t xml:space="preserve"> major season which start</w:t>
      </w:r>
      <w:r w:rsidR="00AA360A" w:rsidRPr="00E9644F">
        <w:rPr>
          <w:rFonts w:ascii="Times New Roman" w:hAnsi="Times New Roman" w:cs="Times New Roman"/>
          <w:sz w:val="24"/>
          <w:szCs w:val="24"/>
        </w:rPr>
        <w:t>s</w:t>
      </w:r>
      <w:r w:rsidR="000C35E9" w:rsidRPr="00E9644F">
        <w:rPr>
          <w:rFonts w:ascii="Times New Roman" w:hAnsi="Times New Roman" w:cs="Times New Roman"/>
          <w:sz w:val="24"/>
          <w:szCs w:val="24"/>
        </w:rPr>
        <w:t xml:space="preserve"> in April and end</w:t>
      </w:r>
      <w:r w:rsidR="007C0D38" w:rsidRPr="00E9644F">
        <w:rPr>
          <w:rFonts w:ascii="Times New Roman" w:hAnsi="Times New Roman" w:cs="Times New Roman"/>
          <w:sz w:val="24"/>
          <w:szCs w:val="24"/>
        </w:rPr>
        <w:t>s</w:t>
      </w:r>
      <w:r w:rsidR="000C35E9" w:rsidRPr="00E9644F">
        <w:rPr>
          <w:rFonts w:ascii="Times New Roman" w:hAnsi="Times New Roman" w:cs="Times New Roman"/>
          <w:sz w:val="24"/>
          <w:szCs w:val="24"/>
        </w:rPr>
        <w:t xml:space="preserve"> in July</w:t>
      </w:r>
      <w:r w:rsidR="00EF703B" w:rsidRPr="00E9644F">
        <w:rPr>
          <w:rFonts w:ascii="Times New Roman" w:hAnsi="Times New Roman" w:cs="Times New Roman"/>
          <w:sz w:val="24"/>
          <w:szCs w:val="24"/>
        </w:rPr>
        <w:t xml:space="preserve"> recording average rainfall of 1,000mm – 2,000mm</w:t>
      </w:r>
      <w:r w:rsidR="000C35E9" w:rsidRPr="00E9644F">
        <w:rPr>
          <w:rFonts w:ascii="Times New Roman" w:hAnsi="Times New Roman" w:cs="Times New Roman"/>
          <w:sz w:val="24"/>
          <w:szCs w:val="24"/>
        </w:rPr>
        <w:t xml:space="preserve">. This is followed by a </w:t>
      </w:r>
      <w:r w:rsidR="007C0D38" w:rsidRPr="00E9644F">
        <w:rPr>
          <w:rFonts w:ascii="Times New Roman" w:hAnsi="Times New Roman" w:cs="Times New Roman"/>
          <w:sz w:val="24"/>
          <w:szCs w:val="24"/>
        </w:rPr>
        <w:t>short</w:t>
      </w:r>
      <w:r w:rsidR="000C35E9" w:rsidRPr="00E9644F">
        <w:rPr>
          <w:rFonts w:ascii="Times New Roman" w:hAnsi="Times New Roman" w:cs="Times New Roman"/>
          <w:sz w:val="24"/>
          <w:szCs w:val="24"/>
        </w:rPr>
        <w:t xml:space="preserve"> dry season in August and the minor season continues from September to November</w:t>
      </w:r>
      <w:r w:rsidR="007C0D38" w:rsidRPr="00E9644F">
        <w:rPr>
          <w:rFonts w:ascii="Times New Roman" w:hAnsi="Times New Roman" w:cs="Times New Roman"/>
          <w:sz w:val="24"/>
          <w:szCs w:val="24"/>
        </w:rPr>
        <w:t>,</w:t>
      </w:r>
      <w:r w:rsidR="000C35E9" w:rsidRPr="00E9644F">
        <w:rPr>
          <w:rFonts w:ascii="Times New Roman" w:hAnsi="Times New Roman" w:cs="Times New Roman"/>
          <w:sz w:val="24"/>
          <w:szCs w:val="24"/>
        </w:rPr>
        <w:t xml:space="preserve"> which is </w:t>
      </w:r>
      <w:r w:rsidR="007C0D38" w:rsidRPr="00E9644F">
        <w:rPr>
          <w:rFonts w:ascii="Times New Roman" w:hAnsi="Times New Roman" w:cs="Times New Roman"/>
          <w:sz w:val="24"/>
          <w:szCs w:val="24"/>
        </w:rPr>
        <w:t>then</w:t>
      </w:r>
      <w:r w:rsidR="000C35E9" w:rsidRPr="00E9644F">
        <w:rPr>
          <w:rFonts w:ascii="Times New Roman" w:hAnsi="Times New Roman" w:cs="Times New Roman"/>
          <w:sz w:val="24"/>
          <w:szCs w:val="24"/>
        </w:rPr>
        <w:t xml:space="preserve"> followed by </w:t>
      </w:r>
      <w:r w:rsidR="007C0D38" w:rsidRPr="00E9644F">
        <w:rPr>
          <w:rFonts w:ascii="Times New Roman" w:hAnsi="Times New Roman" w:cs="Times New Roman"/>
          <w:sz w:val="24"/>
          <w:szCs w:val="24"/>
        </w:rPr>
        <w:t xml:space="preserve">the </w:t>
      </w:r>
      <w:r w:rsidR="000C35E9" w:rsidRPr="00E9644F">
        <w:rPr>
          <w:rFonts w:ascii="Times New Roman" w:hAnsi="Times New Roman" w:cs="Times New Roman"/>
          <w:sz w:val="24"/>
          <w:szCs w:val="24"/>
        </w:rPr>
        <w:t xml:space="preserve">main dry season </w:t>
      </w:r>
      <w:r w:rsidR="00944D0E" w:rsidRPr="00E9644F">
        <w:rPr>
          <w:rFonts w:ascii="Times New Roman" w:hAnsi="Times New Roman" w:cs="Times New Roman"/>
          <w:sz w:val="24"/>
          <w:szCs w:val="24"/>
        </w:rPr>
        <w:t>from</w:t>
      </w:r>
      <w:r w:rsidR="000C35E9" w:rsidRPr="00E9644F">
        <w:rPr>
          <w:rFonts w:ascii="Times New Roman" w:hAnsi="Times New Roman" w:cs="Times New Roman"/>
          <w:sz w:val="24"/>
          <w:szCs w:val="24"/>
        </w:rPr>
        <w:t xml:space="preserve"> December</w:t>
      </w:r>
      <w:r w:rsidR="00944D0E" w:rsidRPr="00E9644F">
        <w:rPr>
          <w:rFonts w:ascii="Times New Roman" w:hAnsi="Times New Roman" w:cs="Times New Roman"/>
          <w:sz w:val="24"/>
          <w:szCs w:val="24"/>
        </w:rPr>
        <w:t xml:space="preserve"> to February</w:t>
      </w:r>
      <w:r w:rsidR="00701CE2" w:rsidRPr="00E9644F">
        <w:rPr>
          <w:rFonts w:ascii="Times New Roman" w:hAnsi="Times New Roman" w:cs="Times New Roman"/>
          <w:sz w:val="24"/>
          <w:szCs w:val="24"/>
        </w:rPr>
        <w:t xml:space="preserve">. </w:t>
      </w:r>
      <w:r w:rsidR="00592D02" w:rsidRPr="00E9644F">
        <w:rPr>
          <w:rStyle w:val="FootnoteReference"/>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{"citationItems":[{"id":"ITEM-1","itemData":{"DOI":"https://doi.org/10.1155/2022/1861130","abstract":"The monitoring of rainfall variability over recent decades has become a necessity due to its devastating effects such as floods and droughts, which render humans vulnerable across different parts of the West African region. The current study seeks to provide a good understanding of variability within the minor rainfall season over southern Ghana by employing statistical tools to quantify variability in rainfall. Daily rainfall data from 1981 to 2018 for seventeen (17) synoptic weather stations across southern Ghana are used for this analysis. We perform trend and descriptive statistics of rainfall amount and extreme indices intending to identify the areas with the greatest variability in rainfall. Further, for five recent years (2014–2018), we do an interpolation of the ground station rainfall data and compute anomalies. We find increasing trends of rainfall in the minor rainy season for 16 out of the 17 stations, with rainfall increasing between 0.10 mm and 4.30 mm each season. For extreme rainfall indices, the 17 stations show nonsignificant trends of very wet and extremely wet days. We also find that the middle parts of Ghana have the highest rainfall amounts (262.7 mm/season–400.2 mm/season), while the East Coast has the lowest (125.2 mm/season–181.8 mm/season). Over the whole of southern Ghana, we find high variability in rainfall amount with the coefficient of variations (CV) between 25.3\\% and 70.8\\% and moderate to high variability in rainfall frequency (CV = 14.0\\%–48.8\\%). The results of rainfall anomalies show that the middle parts had an above-normal rainfall amount. In the same period, the transition areas experienced below-normal rainfall. Our finding of high variability in the minor rainfall season has implications for agricultural productivity in Ghana and countries in the West African region, which rely heavily on rain-fed agriculture. Hence, this study recommends more research to understand the causes of variability in the West African monsoon and how this will change in the region.","author":[{"dropping-particle":"","family":"Braimah","given":"Mohammed","non-dropping-particle":"","parse-names":false,"suffix":""},{"dropping-particle":"","family":"Asante","given":"Vincent A","non-dropping-particle":"","parse-names":false,"suffix":""},{"dropping-particle":"","family":"Ahiataku","given":"Maureen A","non-dropping-particle":"","parse-names":false,"suffix":""},{"dropping-particle":"","family":"Ansah","given":"Samuel O","non-dropping-particle":"","parse-names":false,"suffix":""},{"dropping-particle":"","family":"Otu-Larbi","given":"Frederick","non-dropping-particle":"","parse-names":false,"suffix":""},{"dropping-particle":"","family":"Yahaya","given":"Bashiru","non-dropping-particle":"","parse-names":false,"suffix":""},{"dropping-particle":"","family":"Ayabilah","given":"John B","non-dropping-particle":"","parse-names":false,"suffix":""},{"dropping-particle":"","family":"Nkrumah","given":"Francis","non-dropping-particle":"","parse-names":false,"suffix":""}],"container-title":"Advances in Meteorology","id":"ITEM-1","issue":"1","issued":{"date-parts":[["2022"]]},"page":"1861130","title":"Variability of the Minor Season Rainfall over Southern Ghana (1981–2018)","type":"article-journal","volume":"2022"},"uris":["http://www.mendeley.com/documents/?uuid=0e837947-b1b7-4fc0-be0f-c110042a2c1b"]}],"mendeley":{"formattedCitation":"[13]","plainTextFormattedCitation":"[13]","previouslyFormattedCitation":"[12]"},"properties":{"noteIndex":0},"schema":"https://github.com/citation-style-language/schema/raw/master/csl-citation.json"}</w:instrText>
      </w:r>
      <w:r w:rsidR="00592D02" w:rsidRPr="00E9644F">
        <w:rPr>
          <w:rStyle w:val="FootnoteReference"/>
          <w:rFonts w:ascii="Times New Roman" w:hAnsi="Times New Roman" w:cs="Times New Roman"/>
          <w:sz w:val="24"/>
          <w:szCs w:val="24"/>
        </w:rPr>
        <w:fldChar w:fldCharType="separate"/>
      </w:r>
      <w:r w:rsidR="00DF7040" w:rsidRPr="00E9644F">
        <w:rPr>
          <w:rFonts w:ascii="Times New Roman" w:hAnsi="Times New Roman" w:cs="Times New Roman"/>
          <w:noProof/>
          <w:sz w:val="24"/>
          <w:szCs w:val="24"/>
        </w:rPr>
        <w:t>[13]</w:t>
      </w:r>
      <w:r w:rsidR="00592D02" w:rsidRPr="00E9644F">
        <w:rPr>
          <w:rStyle w:val="FootnoteReference"/>
          <w:rFonts w:ascii="Times New Roman" w:hAnsi="Times New Roman" w:cs="Times New Roman"/>
          <w:sz w:val="24"/>
          <w:szCs w:val="24"/>
        </w:rPr>
        <w:fldChar w:fldCharType="end"/>
      </w:r>
      <w:r w:rsidR="00BF3AC3" w:rsidRPr="00E9644F">
        <w:rPr>
          <w:rFonts w:ascii="Times New Roman" w:hAnsi="Times New Roman" w:cs="Times New Roman"/>
          <w:sz w:val="24"/>
          <w:szCs w:val="24"/>
        </w:rPr>
        <w:t>.</w:t>
      </w:r>
    </w:p>
    <w:p w14:paraId="34BE8991" w14:textId="1AC16597" w:rsidR="0047465C" w:rsidRPr="00E9644F" w:rsidRDefault="0047465C" w:rsidP="00AB3BA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The rainfall pattern in the forest zone of Ghana is characterized by considerable seasonal and inter-annual variability, high annual totals, and a lengthy rainy season relative to other regions of the country. It has a tropical moist semi-deciduous climate with a characteristic double maxima rainfall pattern with major rainy season peaking from May to July. Minor rainy season from September to November which ushers us in the dry season from August and longer dry season from December to February influenced by the Harmanttan winds</w:t>
      </w:r>
      <w:r w:rsidR="002C1893" w:rsidRPr="00E9644F">
        <w:rPr>
          <w:rFonts w:ascii="Times New Roman" w:hAnsi="Times New Roman" w:cs="Times New Roman"/>
          <w:sz w:val="24"/>
          <w:szCs w:val="24"/>
        </w:rPr>
        <w:t xml:space="preserve"> </w:t>
      </w:r>
      <w:r w:rsidRPr="00E9644F">
        <w:rPr>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{"citationItems":[{"id":"ITEM-1","itemData":{"DOI":"10.3390/cli3020416","author":[{"dropping-particle":"","family":"Amekudzi","given":"Leonard K","non-dropping-particle":"","parse-names":false,"suffix":""},{"dropping-particle":"","family":"Yamba","given":"Edmund I","non-dropping-particle":"","parse-names":false,"suffix":""},{"dropping-particle":"","family":"Preko","given":"Kwasi","non-dropping-particle":"","parse-names":false,"suffix":""},{"dropping-particle":"","family":"Asare","given":"Ernest O","non-dropping-particle":"","parse-names":false,"suffix":""}],"id":"ITEM-1","issued":{"date-parts":[["2015"]]},"page":"416-434","title":"Variabilities in Rainfall Onset, Cessation and Length of Rainy Season for the Various Agro-Ecological Zones of Ghana","type":"article-journal"},"uris":["http://www.mendeley.com/documents/?uuid=960b9ab9-0f99-46fe-848c-c3e75cdfe84b"]}],"mendeley":{"formattedCitation":"[14]","plainTextFormattedCitation":"[14]","previouslyFormattedCitation":"[13]"},"properties":{"noteIndex":0},"schema":"https://github.com/citation-style-language/schema/raw/master/csl-citation.json"}</w:instrText>
      </w:r>
      <w:r w:rsidRPr="00E9644F">
        <w:rPr>
          <w:rFonts w:ascii="Times New Roman" w:hAnsi="Times New Roman" w:cs="Times New Roman"/>
          <w:sz w:val="24"/>
          <w:szCs w:val="24"/>
        </w:rPr>
        <w:fldChar w:fldCharType="separate"/>
      </w:r>
      <w:r w:rsidR="00DF7040" w:rsidRPr="00E9644F">
        <w:rPr>
          <w:rFonts w:ascii="Times New Roman" w:hAnsi="Times New Roman" w:cs="Times New Roman"/>
          <w:noProof/>
          <w:sz w:val="24"/>
          <w:szCs w:val="24"/>
        </w:rPr>
        <w:t>[14]</w:t>
      </w:r>
      <w:r w:rsidRPr="00E9644F">
        <w:rPr>
          <w:rFonts w:ascii="Times New Roman" w:hAnsi="Times New Roman" w:cs="Times New Roman"/>
          <w:sz w:val="24"/>
          <w:szCs w:val="24"/>
        </w:rPr>
        <w:fldChar w:fldCharType="end"/>
      </w:r>
      <w:r w:rsidRPr="00E9644F">
        <w:rPr>
          <w:rFonts w:ascii="Times New Roman" w:hAnsi="Times New Roman" w:cs="Times New Roman"/>
          <w:sz w:val="24"/>
          <w:szCs w:val="24"/>
        </w:rPr>
        <w:t>.</w:t>
      </w:r>
    </w:p>
    <w:p w14:paraId="767912B3" w14:textId="0352E417" w:rsidR="00227ED4" w:rsidRPr="00E9644F" w:rsidRDefault="00227ED4" w:rsidP="00B7686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The Sahel Savannah zone of Ghana which forms part of the broader West African Sahel zone has a unimodal rainfall pattern characterized by significant spatial and temporal variability, which is quite different from the forest zone. A single rainy season from May to October peaking in August–September and dry season from November to April, dominated by the Harmattan winds.</w:t>
      </w:r>
    </w:p>
    <w:p w14:paraId="7797898C" w14:textId="77777777" w:rsidR="00227ED4" w:rsidRPr="00E9644F" w:rsidRDefault="00227ED4" w:rsidP="00B76860">
      <w:pPr>
        <w:spacing w:line="480" w:lineRule="auto"/>
        <w:jc w:val="both"/>
        <w:rPr>
          <w:rFonts w:ascii="Times New Roman" w:hAnsi="Times New Roman" w:cs="Times New Roman"/>
          <w:sz w:val="24"/>
          <w:szCs w:val="24"/>
        </w:rPr>
      </w:pPr>
    </w:p>
    <w:p w14:paraId="6F7DEAC7" w14:textId="77777777" w:rsidR="00AB3BA0" w:rsidRPr="00E9644F" w:rsidRDefault="009B6A1E" w:rsidP="00B76860">
      <w:pPr>
        <w:spacing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Figure 1: Map showing the various study sites</w:t>
      </w:r>
    </w:p>
    <w:p w14:paraId="72757AD0" w14:textId="5FB311D3" w:rsidR="004D57A7" w:rsidRPr="00E9644F" w:rsidRDefault="002E4D22" w:rsidP="00B76860">
      <w:pPr>
        <w:spacing w:line="480" w:lineRule="auto"/>
        <w:jc w:val="both"/>
        <w:rPr>
          <w:rFonts w:ascii="Times New Roman" w:hAnsi="Times New Roman" w:cs="Times New Roman"/>
          <w:b/>
          <w:bCs/>
          <w:sz w:val="24"/>
          <w:szCs w:val="24"/>
        </w:rPr>
      </w:pPr>
      <w:r w:rsidRPr="00E9644F">
        <w:rPr>
          <w:rFonts w:ascii="Times New Roman" w:hAnsi="Times New Roman" w:cs="Times New Roman"/>
          <w:b/>
          <w:bCs/>
          <w:i/>
          <w:iCs/>
          <w:sz w:val="24"/>
          <w:szCs w:val="24"/>
        </w:rPr>
        <w:t>Aedes</w:t>
      </w:r>
      <w:r w:rsidRPr="00E9644F">
        <w:rPr>
          <w:rFonts w:ascii="Times New Roman" w:hAnsi="Times New Roman" w:cs="Times New Roman"/>
          <w:b/>
          <w:bCs/>
          <w:sz w:val="24"/>
          <w:szCs w:val="24"/>
        </w:rPr>
        <w:t xml:space="preserve"> larval collection</w:t>
      </w:r>
    </w:p>
    <w:p w14:paraId="57BA094D" w14:textId="4DD41447" w:rsidR="0053351B" w:rsidRPr="00E9644F" w:rsidRDefault="004F0BB2" w:rsidP="0053351B">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Larval c</w:t>
      </w:r>
      <w:r w:rsidR="008E42FC" w:rsidRPr="00E9644F">
        <w:rPr>
          <w:rFonts w:ascii="Times New Roman" w:hAnsi="Times New Roman" w:cs="Times New Roman"/>
          <w:sz w:val="24"/>
          <w:szCs w:val="24"/>
        </w:rPr>
        <w:t>ollections were done</w:t>
      </w:r>
      <w:r w:rsidR="00B721ED" w:rsidRPr="00E9644F">
        <w:rPr>
          <w:rFonts w:ascii="Times New Roman" w:hAnsi="Times New Roman" w:cs="Times New Roman"/>
          <w:sz w:val="24"/>
          <w:szCs w:val="24"/>
        </w:rPr>
        <w:t xml:space="preserve"> between</w:t>
      </w:r>
      <w:r w:rsidR="008E42FC" w:rsidRPr="00E9644F">
        <w:rPr>
          <w:rFonts w:ascii="Times New Roman" w:hAnsi="Times New Roman" w:cs="Times New Roman"/>
          <w:sz w:val="24"/>
          <w:szCs w:val="24"/>
        </w:rPr>
        <w:t xml:space="preserve"> </w:t>
      </w:r>
      <w:r w:rsidR="00B721ED" w:rsidRPr="00E9644F">
        <w:rPr>
          <w:rFonts w:ascii="Times New Roman" w:hAnsi="Times New Roman" w:cs="Times New Roman"/>
          <w:sz w:val="24"/>
          <w:szCs w:val="24"/>
        </w:rPr>
        <w:t xml:space="preserve">January </w:t>
      </w:r>
      <w:r w:rsidR="008E42FC" w:rsidRPr="00E9644F">
        <w:rPr>
          <w:rFonts w:ascii="Times New Roman" w:hAnsi="Times New Roman" w:cs="Times New Roman"/>
          <w:sz w:val="24"/>
          <w:szCs w:val="24"/>
        </w:rPr>
        <w:t>20</w:t>
      </w:r>
      <w:r w:rsidR="00125F13" w:rsidRPr="00E9644F">
        <w:rPr>
          <w:rFonts w:ascii="Times New Roman" w:hAnsi="Times New Roman" w:cs="Times New Roman"/>
          <w:sz w:val="24"/>
          <w:szCs w:val="24"/>
        </w:rPr>
        <w:t>19</w:t>
      </w:r>
      <w:r w:rsidR="008E42FC" w:rsidRPr="00E9644F">
        <w:rPr>
          <w:rFonts w:ascii="Times New Roman" w:hAnsi="Times New Roman" w:cs="Times New Roman"/>
          <w:sz w:val="24"/>
          <w:szCs w:val="24"/>
        </w:rPr>
        <w:t xml:space="preserve"> to </w:t>
      </w:r>
      <w:r w:rsidR="008640D1" w:rsidRPr="00E9644F">
        <w:rPr>
          <w:rFonts w:ascii="Times New Roman" w:hAnsi="Times New Roman" w:cs="Times New Roman"/>
          <w:sz w:val="24"/>
          <w:szCs w:val="24"/>
        </w:rPr>
        <w:t>March</w:t>
      </w:r>
      <w:r w:rsidR="00B721ED" w:rsidRPr="00E9644F">
        <w:rPr>
          <w:rFonts w:ascii="Times New Roman" w:hAnsi="Times New Roman" w:cs="Times New Roman"/>
          <w:sz w:val="24"/>
          <w:szCs w:val="24"/>
        </w:rPr>
        <w:t xml:space="preserve"> </w:t>
      </w:r>
      <w:r w:rsidR="008E42FC" w:rsidRPr="00E9644F">
        <w:rPr>
          <w:rFonts w:ascii="Times New Roman" w:hAnsi="Times New Roman" w:cs="Times New Roman"/>
          <w:sz w:val="24"/>
          <w:szCs w:val="24"/>
        </w:rPr>
        <w:t>2025</w:t>
      </w:r>
      <w:r w:rsidR="00FD2E00" w:rsidRPr="00E9644F">
        <w:rPr>
          <w:rFonts w:ascii="Times New Roman" w:hAnsi="Times New Roman" w:cs="Times New Roman"/>
          <w:sz w:val="24"/>
          <w:szCs w:val="24"/>
        </w:rPr>
        <w:t xml:space="preserve"> during the </w:t>
      </w:r>
      <w:r w:rsidR="009B6A1E" w:rsidRPr="00E9644F">
        <w:rPr>
          <w:rFonts w:ascii="Times New Roman" w:hAnsi="Times New Roman" w:cs="Times New Roman"/>
          <w:sz w:val="24"/>
          <w:szCs w:val="24"/>
        </w:rPr>
        <w:t xml:space="preserve">rainy </w:t>
      </w:r>
      <w:r w:rsidR="00FD2E00" w:rsidRPr="00E9644F">
        <w:rPr>
          <w:rFonts w:ascii="Times New Roman" w:hAnsi="Times New Roman" w:cs="Times New Roman"/>
          <w:sz w:val="24"/>
          <w:szCs w:val="24"/>
        </w:rPr>
        <w:t>and dry season</w:t>
      </w:r>
      <w:r w:rsidR="00FA712D" w:rsidRPr="00E9644F">
        <w:rPr>
          <w:rFonts w:ascii="Times New Roman" w:hAnsi="Times New Roman" w:cs="Times New Roman"/>
          <w:sz w:val="24"/>
          <w:szCs w:val="24"/>
        </w:rPr>
        <w:t>s</w:t>
      </w:r>
      <w:r w:rsidR="009E2F22" w:rsidRPr="00E9644F">
        <w:rPr>
          <w:rFonts w:ascii="Times New Roman" w:hAnsi="Times New Roman" w:cs="Times New Roman"/>
          <w:sz w:val="24"/>
          <w:szCs w:val="24"/>
        </w:rPr>
        <w:t xml:space="preserve">. </w:t>
      </w:r>
      <w:r w:rsidRPr="00E9644F">
        <w:rPr>
          <w:rFonts w:ascii="Times New Roman" w:hAnsi="Times New Roman" w:cs="Times New Roman"/>
          <w:kern w:val="0"/>
          <w:sz w:val="24"/>
          <w:szCs w:val="24"/>
          <w14:ligatures w14:val="none"/>
        </w:rPr>
        <w:t xml:space="preserve">Larval sampling was done using dippers for the collection of </w:t>
      </w:r>
      <w:r w:rsidRPr="00E9644F">
        <w:rPr>
          <w:rFonts w:ascii="Times New Roman" w:hAnsi="Times New Roman" w:cs="Times New Roman"/>
          <w:i/>
          <w:iCs/>
          <w:kern w:val="0"/>
          <w:sz w:val="24"/>
          <w:szCs w:val="24"/>
          <w14:ligatures w14:val="none"/>
        </w:rPr>
        <w:t>Aedes</w:t>
      </w:r>
      <w:r w:rsidR="008B035A" w:rsidRPr="00E9644F">
        <w:rPr>
          <w:rFonts w:ascii="Times New Roman" w:hAnsi="Times New Roman" w:cs="Times New Roman"/>
          <w:sz w:val="24"/>
          <w:szCs w:val="24"/>
        </w:rPr>
        <w:t xml:space="preserve"> aquatic stage mosquitoes. Breeding habitats such as drains, discarded car tyres and containers, were inspected to collect </w:t>
      </w:r>
      <w:r w:rsidR="0053351B" w:rsidRPr="00E9644F">
        <w:rPr>
          <w:rFonts w:ascii="Times New Roman" w:hAnsi="Times New Roman" w:cs="Times New Roman"/>
          <w:i/>
          <w:iCs/>
          <w:sz w:val="24"/>
          <w:szCs w:val="24"/>
        </w:rPr>
        <w:t>Aedes</w:t>
      </w:r>
      <w:r w:rsidR="0053351B" w:rsidRPr="00E9644F">
        <w:rPr>
          <w:rFonts w:ascii="Times New Roman" w:hAnsi="Times New Roman" w:cs="Times New Roman"/>
          <w:sz w:val="24"/>
          <w:szCs w:val="24"/>
        </w:rPr>
        <w:t xml:space="preserve"> </w:t>
      </w:r>
      <w:r w:rsidR="008B035A" w:rsidRPr="00E9644F">
        <w:rPr>
          <w:rFonts w:ascii="Times New Roman" w:hAnsi="Times New Roman" w:cs="Times New Roman"/>
          <w:sz w:val="24"/>
          <w:szCs w:val="24"/>
        </w:rPr>
        <w:t>immature mosquito</w:t>
      </w:r>
      <w:r w:rsidR="0053351B" w:rsidRPr="00E9644F">
        <w:rPr>
          <w:rFonts w:ascii="Times New Roman" w:hAnsi="Times New Roman" w:cs="Times New Roman"/>
          <w:sz w:val="24"/>
          <w:szCs w:val="24"/>
        </w:rPr>
        <w:t>es</w:t>
      </w:r>
      <w:r w:rsidR="008B035A" w:rsidRPr="00E9644F">
        <w:rPr>
          <w:rFonts w:ascii="Times New Roman" w:hAnsi="Times New Roman" w:cs="Times New Roman"/>
          <w:sz w:val="24"/>
          <w:szCs w:val="24"/>
        </w:rPr>
        <w:t xml:space="preserve">. They were transported.to the insectary </w:t>
      </w:r>
      <w:r w:rsidR="008773D4" w:rsidRPr="00E9644F">
        <w:rPr>
          <w:rFonts w:ascii="Times New Roman" w:hAnsi="Times New Roman" w:cs="Times New Roman"/>
          <w:sz w:val="24"/>
          <w:szCs w:val="24"/>
        </w:rPr>
        <w:t xml:space="preserve">and raised </w:t>
      </w:r>
      <w:r w:rsidR="008B035A" w:rsidRPr="00E9644F">
        <w:rPr>
          <w:rFonts w:ascii="Times New Roman" w:hAnsi="Times New Roman" w:cs="Times New Roman"/>
          <w:sz w:val="24"/>
          <w:szCs w:val="24"/>
        </w:rPr>
        <w:t>under controlled conditions</w:t>
      </w:r>
      <w:r w:rsidR="008773D4" w:rsidRPr="00E9644F">
        <w:rPr>
          <w:rFonts w:ascii="Times New Roman" w:hAnsi="Times New Roman" w:cs="Times New Roman"/>
          <w:sz w:val="24"/>
          <w:szCs w:val="24"/>
        </w:rPr>
        <w:t xml:space="preserve"> of </w:t>
      </w:r>
      <w:r w:rsidR="00374BA9" w:rsidRPr="00E9644F">
        <w:rPr>
          <w:rFonts w:ascii="Times New Roman" w:hAnsi="Times New Roman" w:cs="Times New Roman"/>
          <w:sz w:val="24"/>
          <w:szCs w:val="24"/>
        </w:rPr>
        <w:t>temperature</w:t>
      </w:r>
      <w:r w:rsidR="008773D4" w:rsidRPr="00E9644F">
        <w:rPr>
          <w:rFonts w:ascii="Times New Roman" w:hAnsi="Times New Roman" w:cs="Times New Roman"/>
          <w:sz w:val="24"/>
          <w:szCs w:val="24"/>
        </w:rPr>
        <w:t xml:space="preserve"> 27 ± 2 °C</w:t>
      </w:r>
      <w:r w:rsidR="00374BA9" w:rsidRPr="00E9644F">
        <w:rPr>
          <w:rFonts w:ascii="Times New Roman" w:hAnsi="Times New Roman" w:cs="Times New Roman"/>
          <w:sz w:val="24"/>
          <w:szCs w:val="24"/>
        </w:rPr>
        <w:t xml:space="preserve"> and relative humidity</w:t>
      </w:r>
      <w:r w:rsidR="008773D4" w:rsidRPr="00E9644F">
        <w:rPr>
          <w:rFonts w:ascii="Times New Roman" w:hAnsi="Times New Roman" w:cs="Times New Roman"/>
          <w:sz w:val="24"/>
          <w:szCs w:val="24"/>
        </w:rPr>
        <w:t xml:space="preserve"> 75–80% </w:t>
      </w:r>
      <w:r w:rsidR="0038252D" w:rsidRPr="00E9644F">
        <w:rPr>
          <w:rFonts w:ascii="Times New Roman" w:hAnsi="Times New Roman" w:cs="Times New Roman"/>
          <w:sz w:val="24"/>
          <w:szCs w:val="24"/>
        </w:rPr>
        <w:t xml:space="preserve"> </w:t>
      </w:r>
      <w:r w:rsidR="00592D02" w:rsidRPr="00E9644F">
        <w:rPr>
          <w:rStyle w:val="FootnoteReference"/>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{"citationItems":[{"id":"ITEM-1","itemData":{"author":[{"dropping-particle":"","family":"FAO","given":"IAEA","non-dropping-particle":"","parse-names":false,"suffix":""}],"container-title":"FAO Rome, Italy","id":"ITEM-1","issued":{"date-parts":[["2017"]]},"title":"Guidelines for Routine Colony Maintenance of Aedes Mosquito Species","type":"article-journal"},"uris":["http://www.mendeley.com/documents/?uuid=cc3deaed-7c09-4c2e-be5f-fb6611a93060"]}],"mendeley":{"formattedCitation":"[15]","plainTextFormattedCitation":"[15]","previouslyFormattedCitation":"[14]"},"properties":{"noteIndex":0},"schema":"https://github.com/citation-style-language/schema/raw/master/csl-citation.json"}</w:instrText>
      </w:r>
      <w:r w:rsidR="00592D02" w:rsidRPr="00E9644F">
        <w:rPr>
          <w:rStyle w:val="FootnoteReference"/>
          <w:rFonts w:ascii="Times New Roman" w:hAnsi="Times New Roman" w:cs="Times New Roman"/>
          <w:sz w:val="24"/>
          <w:szCs w:val="24"/>
        </w:rPr>
        <w:fldChar w:fldCharType="separate"/>
      </w:r>
      <w:r w:rsidR="00DF7040" w:rsidRPr="00E9644F">
        <w:rPr>
          <w:rFonts w:ascii="Times New Roman" w:hAnsi="Times New Roman" w:cs="Times New Roman"/>
          <w:noProof/>
          <w:sz w:val="24"/>
          <w:szCs w:val="24"/>
        </w:rPr>
        <w:t>[15]</w:t>
      </w:r>
      <w:r w:rsidR="00592D02" w:rsidRPr="00E9644F">
        <w:rPr>
          <w:rStyle w:val="FootnoteReference"/>
          <w:rFonts w:ascii="Times New Roman" w:hAnsi="Times New Roman" w:cs="Times New Roman"/>
          <w:sz w:val="24"/>
          <w:szCs w:val="24"/>
        </w:rPr>
        <w:fldChar w:fldCharType="end"/>
      </w:r>
      <w:r w:rsidR="0038252D" w:rsidRPr="00E9644F">
        <w:rPr>
          <w:rFonts w:ascii="Times New Roman" w:hAnsi="Times New Roman" w:cs="Times New Roman"/>
          <w:sz w:val="24"/>
          <w:szCs w:val="24"/>
        </w:rPr>
        <w:t>.</w:t>
      </w:r>
      <w:r w:rsidR="000F08FD" w:rsidRPr="00E9644F">
        <w:rPr>
          <w:rFonts w:ascii="Times New Roman" w:hAnsi="Times New Roman" w:cs="Times New Roman"/>
          <w:sz w:val="24"/>
          <w:szCs w:val="24"/>
        </w:rPr>
        <w:t xml:space="preserve"> Emerged adult</w:t>
      </w:r>
      <w:r w:rsidR="0025543C" w:rsidRPr="00E9644F">
        <w:rPr>
          <w:rFonts w:ascii="Times New Roman" w:hAnsi="Times New Roman" w:cs="Times New Roman"/>
          <w:sz w:val="24"/>
          <w:szCs w:val="24"/>
        </w:rPr>
        <w:t xml:space="preserve"> mosquitoes were provided with 10% su</w:t>
      </w:r>
      <w:r w:rsidR="000F53B9" w:rsidRPr="00E9644F">
        <w:rPr>
          <w:rFonts w:ascii="Times New Roman" w:hAnsi="Times New Roman" w:cs="Times New Roman"/>
          <w:sz w:val="24"/>
          <w:szCs w:val="24"/>
        </w:rPr>
        <w:t>gar</w:t>
      </w:r>
      <w:r w:rsidR="0025543C" w:rsidRPr="00E9644F">
        <w:rPr>
          <w:rFonts w:ascii="Times New Roman" w:hAnsi="Times New Roman" w:cs="Times New Roman"/>
          <w:sz w:val="24"/>
          <w:szCs w:val="24"/>
        </w:rPr>
        <w:t xml:space="preserve"> solution for their primary energy and feeding. </w:t>
      </w:r>
      <w:r w:rsidR="0053351B" w:rsidRPr="00E9644F">
        <w:rPr>
          <w:rFonts w:ascii="Times New Roman" w:hAnsi="Times New Roman" w:cs="Times New Roman"/>
          <w:sz w:val="24"/>
          <w:szCs w:val="24"/>
        </w:rPr>
        <w:t xml:space="preserve">Upon emergence, female </w:t>
      </w:r>
      <w:r w:rsidR="0053351B" w:rsidRPr="00E9644F">
        <w:rPr>
          <w:rFonts w:ascii="Times New Roman" w:hAnsi="Times New Roman" w:cs="Times New Roman"/>
          <w:i/>
          <w:iCs/>
          <w:sz w:val="24"/>
          <w:szCs w:val="24"/>
        </w:rPr>
        <w:t>Aedes</w:t>
      </w:r>
      <w:r w:rsidR="0053351B" w:rsidRPr="00E9644F">
        <w:rPr>
          <w:rFonts w:ascii="Times New Roman" w:hAnsi="Times New Roman" w:cs="Times New Roman"/>
          <w:sz w:val="24"/>
          <w:szCs w:val="24"/>
        </w:rPr>
        <w:t xml:space="preserve"> mosquitoes were identified morphologically to species level using taxonomic keys. Three to five (3-5) days old sugar fed females were used for WHO phenotypic bioassay and genotypic assay.</w:t>
      </w:r>
    </w:p>
    <w:p w14:paraId="37E77D0A" w14:textId="3BE2A2C0" w:rsidR="000F08FD" w:rsidRPr="00E9644F" w:rsidRDefault="000F08FD" w:rsidP="0053351B">
      <w:pPr>
        <w:spacing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 xml:space="preserve">Phenotypic Resistance </w:t>
      </w:r>
      <w:r w:rsidR="009B6A1E" w:rsidRPr="00E9644F">
        <w:rPr>
          <w:rFonts w:ascii="Times New Roman" w:hAnsi="Times New Roman" w:cs="Times New Roman"/>
          <w:b/>
          <w:bCs/>
          <w:sz w:val="24"/>
          <w:szCs w:val="24"/>
        </w:rPr>
        <w:t xml:space="preserve">of </w:t>
      </w:r>
      <w:r w:rsidR="009B6A1E" w:rsidRPr="00E9644F">
        <w:rPr>
          <w:rFonts w:ascii="Times New Roman" w:hAnsi="Times New Roman" w:cs="Times New Roman"/>
          <w:b/>
          <w:bCs/>
          <w:i/>
          <w:iCs/>
          <w:sz w:val="24"/>
          <w:szCs w:val="24"/>
        </w:rPr>
        <w:t>Aedes</w:t>
      </w:r>
      <w:r w:rsidR="009B6A1E" w:rsidRPr="00E9644F">
        <w:rPr>
          <w:rFonts w:ascii="Times New Roman" w:hAnsi="Times New Roman" w:cs="Times New Roman"/>
          <w:b/>
          <w:bCs/>
          <w:sz w:val="24"/>
          <w:szCs w:val="24"/>
        </w:rPr>
        <w:t xml:space="preserve"> mosquitoes</w:t>
      </w:r>
      <w:r w:rsidR="009B6A1E" w:rsidRPr="00E9644F">
        <w:rPr>
          <w:rFonts w:ascii="Times New Roman" w:hAnsi="Times New Roman" w:cs="Times New Roman"/>
          <w:sz w:val="24"/>
          <w:szCs w:val="24"/>
        </w:rPr>
        <w:t xml:space="preserve"> </w:t>
      </w:r>
      <w:r w:rsidR="00152C3C" w:rsidRPr="00E9644F">
        <w:rPr>
          <w:rFonts w:ascii="Times New Roman" w:hAnsi="Times New Roman" w:cs="Times New Roman"/>
          <w:b/>
          <w:bCs/>
          <w:sz w:val="24"/>
          <w:szCs w:val="24"/>
        </w:rPr>
        <w:t>using WHO Susceptibility Tube Assay</w:t>
      </w:r>
    </w:p>
    <w:p w14:paraId="18F8B9B7" w14:textId="09C3B44B" w:rsidR="007733A7" w:rsidRPr="00E9644F" w:rsidRDefault="007733A7" w:rsidP="00B7686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T</w:t>
      </w:r>
      <w:r w:rsidR="002E4D22" w:rsidRPr="00E9644F">
        <w:rPr>
          <w:rFonts w:ascii="Times New Roman" w:hAnsi="Times New Roman" w:cs="Times New Roman"/>
          <w:sz w:val="24"/>
          <w:szCs w:val="24"/>
        </w:rPr>
        <w:t>hree</w:t>
      </w:r>
      <w:r w:rsidRPr="00E9644F">
        <w:rPr>
          <w:rFonts w:ascii="Times New Roman" w:hAnsi="Times New Roman" w:cs="Times New Roman"/>
          <w:sz w:val="24"/>
          <w:szCs w:val="24"/>
        </w:rPr>
        <w:t xml:space="preserve"> to five </w:t>
      </w:r>
      <w:r w:rsidR="00226B7A" w:rsidRPr="00E9644F">
        <w:rPr>
          <w:rFonts w:ascii="Times New Roman" w:hAnsi="Times New Roman" w:cs="Times New Roman"/>
          <w:sz w:val="24"/>
          <w:szCs w:val="24"/>
        </w:rPr>
        <w:t>(</w:t>
      </w:r>
      <w:r w:rsidR="002E4D22" w:rsidRPr="00E9644F">
        <w:rPr>
          <w:rFonts w:ascii="Times New Roman" w:hAnsi="Times New Roman" w:cs="Times New Roman"/>
          <w:sz w:val="24"/>
          <w:szCs w:val="24"/>
        </w:rPr>
        <w:t>3</w:t>
      </w:r>
      <w:r w:rsidR="00226B7A" w:rsidRPr="00E9644F">
        <w:rPr>
          <w:rFonts w:ascii="Times New Roman" w:hAnsi="Times New Roman" w:cs="Times New Roman"/>
          <w:sz w:val="24"/>
          <w:szCs w:val="24"/>
        </w:rPr>
        <w:t>-5)</w:t>
      </w:r>
      <w:r w:rsidR="00654567" w:rsidRPr="00E9644F">
        <w:rPr>
          <w:rFonts w:ascii="Times New Roman" w:hAnsi="Times New Roman" w:cs="Times New Roman"/>
          <w:sz w:val="24"/>
          <w:szCs w:val="24"/>
        </w:rPr>
        <w:t xml:space="preserve"> days </w:t>
      </w:r>
      <w:r w:rsidRPr="00E9644F">
        <w:rPr>
          <w:rFonts w:ascii="Times New Roman" w:hAnsi="Times New Roman" w:cs="Times New Roman"/>
          <w:sz w:val="24"/>
          <w:szCs w:val="24"/>
        </w:rPr>
        <w:t xml:space="preserve">old sugar fed adult female mosquitoes </w:t>
      </w:r>
      <w:r w:rsidR="00834233" w:rsidRPr="00E9644F">
        <w:rPr>
          <w:rFonts w:ascii="Times New Roman" w:hAnsi="Times New Roman" w:cs="Times New Roman"/>
          <w:sz w:val="24"/>
          <w:szCs w:val="24"/>
        </w:rPr>
        <w:t xml:space="preserve">emerged </w:t>
      </w:r>
      <w:r w:rsidRPr="00E9644F">
        <w:rPr>
          <w:rFonts w:ascii="Times New Roman" w:hAnsi="Times New Roman" w:cs="Times New Roman"/>
          <w:sz w:val="24"/>
          <w:szCs w:val="24"/>
        </w:rPr>
        <w:t>from field-collected larvae were subjected</w:t>
      </w:r>
      <w:r w:rsidR="00226B7A" w:rsidRPr="00E9644F">
        <w:rPr>
          <w:rFonts w:ascii="Times New Roman" w:hAnsi="Times New Roman" w:cs="Times New Roman"/>
          <w:sz w:val="24"/>
          <w:szCs w:val="24"/>
        </w:rPr>
        <w:t xml:space="preserve"> </w:t>
      </w:r>
      <w:r w:rsidR="00113C0E" w:rsidRPr="00E9644F">
        <w:rPr>
          <w:rFonts w:ascii="Times New Roman" w:hAnsi="Times New Roman" w:cs="Times New Roman"/>
          <w:sz w:val="24"/>
          <w:szCs w:val="24"/>
        </w:rPr>
        <w:t xml:space="preserve">to </w:t>
      </w:r>
      <w:r w:rsidRPr="00E9644F">
        <w:rPr>
          <w:rFonts w:ascii="Times New Roman" w:hAnsi="Times New Roman" w:cs="Times New Roman"/>
          <w:sz w:val="24"/>
          <w:szCs w:val="24"/>
        </w:rPr>
        <w:t>World Health Organization (WHO)</w:t>
      </w:r>
      <w:r w:rsidR="00226B7A" w:rsidRPr="00E9644F">
        <w:rPr>
          <w:rFonts w:ascii="Times New Roman" w:hAnsi="Times New Roman" w:cs="Times New Roman"/>
          <w:sz w:val="24"/>
          <w:szCs w:val="24"/>
        </w:rPr>
        <w:t xml:space="preserve"> </w:t>
      </w:r>
      <w:r w:rsidRPr="00E9644F">
        <w:rPr>
          <w:rFonts w:ascii="Times New Roman" w:hAnsi="Times New Roman" w:cs="Times New Roman"/>
          <w:sz w:val="24"/>
          <w:szCs w:val="24"/>
        </w:rPr>
        <w:t xml:space="preserve">susceptibility tube test </w:t>
      </w:r>
      <w:r w:rsidR="00226B7A" w:rsidRPr="00E9644F">
        <w:rPr>
          <w:rFonts w:ascii="Times New Roman" w:hAnsi="Times New Roman" w:cs="Times New Roman"/>
          <w:sz w:val="24"/>
          <w:szCs w:val="24"/>
        </w:rPr>
        <w:t xml:space="preserve">to assess the resistance intensity </w:t>
      </w:r>
      <w:r w:rsidR="000F53B9" w:rsidRPr="00E9644F">
        <w:rPr>
          <w:rFonts w:ascii="Times New Roman" w:hAnsi="Times New Roman" w:cs="Times New Roman"/>
          <w:sz w:val="24"/>
          <w:szCs w:val="24"/>
        </w:rPr>
        <w:t>using 150 mosquitoes per insecticide.</w:t>
      </w:r>
      <w:r w:rsidR="00835BE3" w:rsidRPr="00E9644F">
        <w:rPr>
          <w:rFonts w:ascii="Times New Roman" w:hAnsi="Times New Roman" w:cs="Times New Roman"/>
          <w:sz w:val="24"/>
          <w:szCs w:val="24"/>
        </w:rPr>
        <w:t xml:space="preserve"> </w:t>
      </w:r>
      <w:r w:rsidR="000F53B9" w:rsidRPr="00E9644F">
        <w:rPr>
          <w:rFonts w:ascii="Times New Roman" w:hAnsi="Times New Roman" w:cs="Times New Roman"/>
          <w:sz w:val="24"/>
          <w:szCs w:val="24"/>
        </w:rPr>
        <w:t>Six tubes consisting of f</w:t>
      </w:r>
      <w:r w:rsidR="00F16520" w:rsidRPr="00E9644F">
        <w:rPr>
          <w:rFonts w:ascii="Times New Roman" w:hAnsi="Times New Roman" w:cs="Times New Roman"/>
          <w:sz w:val="24"/>
          <w:szCs w:val="24"/>
        </w:rPr>
        <w:t>our test replicates and two controls</w:t>
      </w:r>
      <w:r w:rsidR="00EA7C74" w:rsidRPr="00E9644F">
        <w:rPr>
          <w:rFonts w:ascii="Times New Roman" w:hAnsi="Times New Roman" w:cs="Times New Roman"/>
          <w:sz w:val="24"/>
          <w:szCs w:val="24"/>
        </w:rPr>
        <w:t xml:space="preserve"> </w:t>
      </w:r>
      <w:r w:rsidR="000F53B9" w:rsidRPr="00E9644F">
        <w:rPr>
          <w:rFonts w:ascii="Times New Roman" w:hAnsi="Times New Roman" w:cs="Times New Roman"/>
          <w:sz w:val="24"/>
          <w:szCs w:val="24"/>
        </w:rPr>
        <w:t>were used for each insecticide according to WHO standard tube assay procedure</w:t>
      </w:r>
      <w:r w:rsidR="00C420DF" w:rsidRPr="00E9644F">
        <w:rPr>
          <w:rFonts w:ascii="Times New Roman" w:hAnsi="Times New Roman" w:cs="Times New Roman"/>
          <w:sz w:val="24"/>
          <w:szCs w:val="24"/>
        </w:rPr>
        <w:t xml:space="preserve"> </w:t>
      </w:r>
      <w:r w:rsidR="00592D02" w:rsidRPr="00E9644F">
        <w:rPr>
          <w:rStyle w:val="FootnoteReference"/>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{"citationItems":[{"id":"ITEM-1","itemData":{"author":[{"dropping-particle":"","family":"WHO","given":"","non-dropping-particle":"","parse-names":false,"suffix":""}],"container-title":"World Health Organization","id":"ITEM-1","issue":"January","issued":{"date-parts":[["2022"]]},"page":"17p","title":"Standard operating procedure for impregnation of filter papers for testing insecticide susceptibility of adult mosquitoes in WHO tube tests","type":"article-journal"},"uris":["http://www.mendeley.com/documents/?uuid=d1ad75e5-2f3b-45e4-af05-8823aad96a0f"]}],"mendeley":{"formattedCitation":"[16]","plainTextFormattedCitation":"[16]","previouslyFormattedCitation":"[15]"},"properties":{"noteIndex":0},"schema":"https://github.com/citation-style-language/schema/raw/master/csl-citation.json"}</w:instrText>
      </w:r>
      <w:r w:rsidR="00592D02" w:rsidRPr="00E9644F">
        <w:rPr>
          <w:rStyle w:val="FootnoteReference"/>
          <w:rFonts w:ascii="Times New Roman" w:hAnsi="Times New Roman" w:cs="Times New Roman"/>
          <w:sz w:val="24"/>
          <w:szCs w:val="24"/>
        </w:rPr>
        <w:fldChar w:fldCharType="separate"/>
      </w:r>
      <w:r w:rsidR="00DF7040" w:rsidRPr="00E9644F">
        <w:rPr>
          <w:rFonts w:ascii="Times New Roman" w:hAnsi="Times New Roman" w:cs="Times New Roman"/>
          <w:bCs/>
          <w:noProof/>
          <w:sz w:val="24"/>
          <w:szCs w:val="24"/>
        </w:rPr>
        <w:t>[16]</w:t>
      </w:r>
      <w:r w:rsidR="00592D02" w:rsidRPr="00E9644F">
        <w:rPr>
          <w:rStyle w:val="FootnoteReference"/>
          <w:rFonts w:ascii="Times New Roman" w:hAnsi="Times New Roman" w:cs="Times New Roman"/>
          <w:sz w:val="24"/>
          <w:szCs w:val="24"/>
        </w:rPr>
        <w:fldChar w:fldCharType="end"/>
      </w:r>
      <w:r w:rsidR="000F53B9" w:rsidRPr="00E9644F">
        <w:rPr>
          <w:rFonts w:ascii="Times New Roman" w:hAnsi="Times New Roman" w:cs="Times New Roman"/>
          <w:sz w:val="24"/>
          <w:szCs w:val="24"/>
        </w:rPr>
        <w:t>.</w:t>
      </w:r>
      <w:r w:rsidR="00D50B4A" w:rsidRPr="00E9644F">
        <w:rPr>
          <w:rFonts w:ascii="Times New Roman" w:hAnsi="Times New Roman" w:cs="Times New Roman"/>
          <w:sz w:val="24"/>
          <w:szCs w:val="24"/>
        </w:rPr>
        <w:t xml:space="preserve">WHO </w:t>
      </w:r>
      <w:r w:rsidR="00670A0B" w:rsidRPr="00E9644F">
        <w:rPr>
          <w:rFonts w:ascii="Times New Roman" w:hAnsi="Times New Roman" w:cs="Times New Roman"/>
          <w:sz w:val="24"/>
          <w:szCs w:val="24"/>
        </w:rPr>
        <w:t xml:space="preserve">insecticide </w:t>
      </w:r>
      <w:r w:rsidR="00D50B4A" w:rsidRPr="00E9644F">
        <w:rPr>
          <w:rFonts w:ascii="Times New Roman" w:hAnsi="Times New Roman" w:cs="Times New Roman"/>
          <w:sz w:val="24"/>
          <w:szCs w:val="24"/>
        </w:rPr>
        <w:t>test papers</w:t>
      </w:r>
      <w:r w:rsidR="00670A0B" w:rsidRPr="00E9644F">
        <w:rPr>
          <w:rFonts w:ascii="Times New Roman" w:hAnsi="Times New Roman" w:cs="Times New Roman"/>
          <w:sz w:val="24"/>
          <w:szCs w:val="24"/>
        </w:rPr>
        <w:t xml:space="preserve"> </w:t>
      </w:r>
      <w:r w:rsidR="00EA7C74" w:rsidRPr="00E9644F">
        <w:rPr>
          <w:rFonts w:ascii="Times New Roman" w:hAnsi="Times New Roman" w:cs="Times New Roman"/>
          <w:sz w:val="24"/>
          <w:szCs w:val="24"/>
        </w:rPr>
        <w:t>of</w:t>
      </w:r>
      <w:r w:rsidRPr="00E9644F">
        <w:rPr>
          <w:rFonts w:ascii="Times New Roman" w:hAnsi="Times New Roman" w:cs="Times New Roman"/>
          <w:sz w:val="24"/>
          <w:szCs w:val="24"/>
        </w:rPr>
        <w:t xml:space="preserve"> discriminating concentrations</w:t>
      </w:r>
      <w:r w:rsidR="00670A0B" w:rsidRPr="00E9644F">
        <w:rPr>
          <w:rFonts w:ascii="Times New Roman" w:hAnsi="Times New Roman" w:cs="Times New Roman"/>
          <w:sz w:val="24"/>
          <w:szCs w:val="24"/>
        </w:rPr>
        <w:t xml:space="preserve"> used were</w:t>
      </w:r>
      <w:r w:rsidR="00EA7C74" w:rsidRPr="00E9644F">
        <w:rPr>
          <w:rFonts w:ascii="Times New Roman" w:hAnsi="Times New Roman" w:cs="Times New Roman"/>
          <w:sz w:val="24"/>
          <w:szCs w:val="24"/>
        </w:rPr>
        <w:t xml:space="preserve">, </w:t>
      </w:r>
      <w:r w:rsidR="00EA7C74" w:rsidRPr="00E9644F">
        <w:rPr>
          <w:rFonts w:ascii="Times New Roman" w:eastAsia="Times New Roman" w:hAnsi="Times New Roman" w:cs="Times New Roman"/>
          <w:kern w:val="0"/>
          <w:sz w:val="24"/>
          <w:szCs w:val="24"/>
          <w14:ligatures w14:val="none"/>
        </w:rPr>
        <w:t>deltamethrin [1x (0.03%), (0.05%)], permethrin [1x (0.</w:t>
      </w:r>
      <w:r w:rsidR="00360A38" w:rsidRPr="00E9644F">
        <w:rPr>
          <w:rFonts w:ascii="Times New Roman" w:eastAsia="Times New Roman" w:hAnsi="Times New Roman" w:cs="Times New Roman"/>
          <w:kern w:val="0"/>
          <w:sz w:val="24"/>
          <w:szCs w:val="24"/>
          <w14:ligatures w14:val="none"/>
        </w:rPr>
        <w:t>2</w:t>
      </w:r>
      <w:r w:rsidR="00EA7C74" w:rsidRPr="00E9644F">
        <w:rPr>
          <w:rFonts w:ascii="Times New Roman" w:eastAsia="Times New Roman" w:hAnsi="Times New Roman" w:cs="Times New Roman"/>
          <w:kern w:val="0"/>
          <w:sz w:val="24"/>
          <w:szCs w:val="24"/>
          <w14:ligatures w14:val="none"/>
        </w:rPr>
        <w:t>5%), (0.</w:t>
      </w:r>
      <w:r w:rsidR="00360A38" w:rsidRPr="00E9644F">
        <w:rPr>
          <w:rFonts w:ascii="Times New Roman" w:eastAsia="Times New Roman" w:hAnsi="Times New Roman" w:cs="Times New Roman"/>
          <w:kern w:val="0"/>
          <w:sz w:val="24"/>
          <w:szCs w:val="24"/>
          <w14:ligatures w14:val="none"/>
        </w:rPr>
        <w:t>7</w:t>
      </w:r>
      <w:r w:rsidR="00EA7C74" w:rsidRPr="00E9644F">
        <w:rPr>
          <w:rFonts w:ascii="Times New Roman" w:eastAsia="Times New Roman" w:hAnsi="Times New Roman" w:cs="Times New Roman"/>
          <w:kern w:val="0"/>
          <w:sz w:val="24"/>
          <w:szCs w:val="24"/>
          <w14:ligatures w14:val="none"/>
        </w:rPr>
        <w:t>5%)</w:t>
      </w:r>
      <w:r w:rsidR="00F66E17" w:rsidRPr="00E9644F">
        <w:rPr>
          <w:rFonts w:ascii="Times New Roman" w:eastAsia="Times New Roman" w:hAnsi="Times New Roman" w:cs="Times New Roman"/>
          <w:kern w:val="0"/>
          <w:sz w:val="24"/>
          <w:szCs w:val="24"/>
          <w14:ligatures w14:val="none"/>
        </w:rPr>
        <w:t>]</w:t>
      </w:r>
      <w:r w:rsidR="00EA7C74" w:rsidRPr="00E9644F">
        <w:rPr>
          <w:rFonts w:ascii="Times New Roman" w:eastAsia="Times New Roman" w:hAnsi="Times New Roman" w:cs="Times New Roman"/>
          <w:kern w:val="0"/>
          <w:sz w:val="24"/>
          <w:szCs w:val="24"/>
          <w14:ligatures w14:val="none"/>
        </w:rPr>
        <w:t>,</w:t>
      </w:r>
      <w:r w:rsidR="00F66E17" w:rsidRPr="00E9644F">
        <w:rPr>
          <w:rFonts w:ascii="Times New Roman" w:eastAsia="Times New Roman" w:hAnsi="Times New Roman" w:cs="Times New Roman"/>
          <w:kern w:val="0"/>
          <w:sz w:val="24"/>
          <w:szCs w:val="24"/>
          <w14:ligatures w14:val="none"/>
        </w:rPr>
        <w:t xml:space="preserve"> </w:t>
      </w:r>
      <w:r w:rsidR="00360A38" w:rsidRPr="00E9644F">
        <w:rPr>
          <w:rFonts w:ascii="Times New Roman" w:eastAsia="Times New Roman" w:hAnsi="Times New Roman" w:cs="Times New Roman"/>
          <w:kern w:val="0"/>
          <w:sz w:val="24"/>
          <w:szCs w:val="24"/>
          <w14:ligatures w14:val="none"/>
        </w:rPr>
        <w:t xml:space="preserve">and </w:t>
      </w:r>
      <w:r w:rsidR="00F66E17" w:rsidRPr="00E9644F">
        <w:rPr>
          <w:rFonts w:ascii="Times New Roman" w:eastAsia="Times New Roman" w:hAnsi="Times New Roman" w:cs="Times New Roman"/>
          <w:kern w:val="0"/>
          <w:sz w:val="24"/>
          <w:szCs w:val="24"/>
          <w14:ligatures w14:val="none"/>
        </w:rPr>
        <w:t>pirimiphos-methyl [1x (0.25%)]</w:t>
      </w:r>
      <w:r w:rsidR="00C420DF" w:rsidRPr="00E9644F">
        <w:rPr>
          <w:rFonts w:ascii="Times New Roman" w:eastAsia="Times New Roman" w:hAnsi="Times New Roman" w:cs="Times New Roman"/>
          <w:kern w:val="0"/>
          <w:sz w:val="24"/>
          <w:szCs w:val="24"/>
          <w14:ligatures w14:val="none"/>
        </w:rPr>
        <w:t xml:space="preserve"> </w:t>
      </w:r>
      <w:r w:rsidR="00592D02" w:rsidRPr="00E9644F">
        <w:rPr>
          <w:rStyle w:val="FootnoteReference"/>
          <w:rFonts w:ascii="Times New Roman" w:eastAsia="Times New Roman" w:hAnsi="Times New Roman" w:cs="Times New Roman"/>
          <w:kern w:val="0"/>
          <w:sz w:val="24"/>
          <w:szCs w:val="24"/>
          <w14:ligatures w14:val="none"/>
        </w:rPr>
        <w:fldChar w:fldCharType="begin" w:fldLock="1"/>
      </w:r>
      <w:r w:rsidR="00DF7040" w:rsidRPr="00E9644F">
        <w:rPr>
          <w:rFonts w:ascii="Times New Roman" w:eastAsia="Times New Roman" w:hAnsi="Times New Roman" w:cs="Times New Roman"/>
          <w:kern w:val="0"/>
          <w:sz w:val="24"/>
          <w:szCs w:val="24"/>
          <w14:ligatures w14:val="none"/>
        </w:rPr>
        <w:instrText>ADDIN CSL_CITATION {"citationItems":[{"id":"ITEM-1","itemData":{"author":[{"dropping-particle":"","family":"WHO","given":"","non-dropping-particle":"","parse-names":false,"suffix":""}],"container-title":"World Health Organization","id":"ITEM-1","issue":"January","issued":{"date-parts":[["2022"]]},"page":"17p","title":"Standard operating procedure for impregnation of filter papers for testing insecticide susceptibility of adult mosquitoes in WHO tube tests","type":"article-journal"},"uris":["http://www.mendeley.com/documents/?uuid=d1ad75e5-2f3b-45e4-af05-8823aad96a0f"]}],"mendeley":{"formattedCitation":"[16]","plainTextFormattedCitation":"[16]","previouslyFormattedCitation":"[15]"},"properties":{"noteIndex":0},"schema":"https://github.com/citation-style-language/schema/raw/master/csl-citation.json"}</w:instrText>
      </w:r>
      <w:r w:rsidR="00592D02" w:rsidRPr="00E9644F">
        <w:rPr>
          <w:rStyle w:val="FootnoteReference"/>
          <w:rFonts w:ascii="Times New Roman" w:eastAsia="Times New Roman" w:hAnsi="Times New Roman" w:cs="Times New Roman"/>
          <w:kern w:val="0"/>
          <w:sz w:val="24"/>
          <w:szCs w:val="24"/>
          <w14:ligatures w14:val="none"/>
        </w:rPr>
        <w:fldChar w:fldCharType="separate"/>
      </w:r>
      <w:r w:rsidR="00DF7040" w:rsidRPr="00E9644F">
        <w:rPr>
          <w:rFonts w:ascii="Times New Roman" w:eastAsia="Times New Roman" w:hAnsi="Times New Roman" w:cs="Times New Roman"/>
          <w:noProof/>
          <w:kern w:val="0"/>
          <w:sz w:val="24"/>
          <w:szCs w:val="24"/>
          <w14:ligatures w14:val="none"/>
        </w:rPr>
        <w:t>[16]</w:t>
      </w:r>
      <w:r w:rsidR="00592D02" w:rsidRPr="00E9644F">
        <w:rPr>
          <w:rStyle w:val="FootnoteReference"/>
          <w:rFonts w:ascii="Times New Roman" w:eastAsia="Times New Roman" w:hAnsi="Times New Roman" w:cs="Times New Roman"/>
          <w:kern w:val="0"/>
          <w:sz w:val="24"/>
          <w:szCs w:val="24"/>
          <w14:ligatures w14:val="none"/>
        </w:rPr>
        <w:fldChar w:fldCharType="end"/>
      </w:r>
      <w:r w:rsidR="00F66E17" w:rsidRPr="00E9644F">
        <w:rPr>
          <w:rFonts w:ascii="Times New Roman" w:eastAsia="Times New Roman" w:hAnsi="Times New Roman" w:cs="Times New Roman"/>
          <w:kern w:val="0"/>
          <w:sz w:val="24"/>
          <w:szCs w:val="24"/>
          <w14:ligatures w14:val="none"/>
        </w:rPr>
        <w:t>.</w:t>
      </w:r>
      <w:r w:rsidR="00130F5A" w:rsidRPr="00E9644F">
        <w:rPr>
          <w:rFonts w:ascii="Times New Roman" w:hAnsi="Times New Roman" w:cs="Times New Roman"/>
          <w:sz w:val="24"/>
          <w:szCs w:val="24"/>
        </w:rPr>
        <w:t xml:space="preserve"> </w:t>
      </w:r>
      <w:bookmarkStart w:id="1" w:name="_Hlk207434146"/>
      <w:r w:rsidRPr="00E9644F">
        <w:rPr>
          <w:rFonts w:ascii="Times New Roman" w:hAnsi="Times New Roman" w:cs="Times New Roman"/>
          <w:sz w:val="24"/>
          <w:szCs w:val="24"/>
        </w:rPr>
        <w:t>Knockdown</w:t>
      </w:r>
      <w:bookmarkEnd w:id="1"/>
      <w:r w:rsidRPr="00E9644F">
        <w:rPr>
          <w:rFonts w:ascii="Times New Roman" w:hAnsi="Times New Roman" w:cs="Times New Roman"/>
          <w:sz w:val="24"/>
          <w:szCs w:val="24"/>
        </w:rPr>
        <w:t xml:space="preserve"> was recorded at regular intervals during exposure</w:t>
      </w:r>
      <w:r w:rsidR="00130F5A" w:rsidRPr="00E9644F">
        <w:rPr>
          <w:rFonts w:ascii="Times New Roman" w:hAnsi="Times New Roman" w:cs="Times New Roman"/>
          <w:sz w:val="24"/>
          <w:szCs w:val="24"/>
        </w:rPr>
        <w:t xml:space="preserve"> for an hour</w:t>
      </w:r>
      <w:r w:rsidRPr="00E9644F">
        <w:rPr>
          <w:rFonts w:ascii="Times New Roman" w:hAnsi="Times New Roman" w:cs="Times New Roman"/>
          <w:sz w:val="24"/>
          <w:szCs w:val="24"/>
        </w:rPr>
        <w:t>, and final mortality was scored after a 24-hour recovery period under insectary conditions with access to 10% sugar solution</w:t>
      </w:r>
      <w:r w:rsidR="0013776F" w:rsidRPr="00E9644F">
        <w:rPr>
          <w:rFonts w:ascii="Times New Roman" w:hAnsi="Times New Roman" w:cs="Times New Roman"/>
          <w:sz w:val="24"/>
          <w:szCs w:val="24"/>
        </w:rPr>
        <w:t xml:space="preserve">. </w:t>
      </w:r>
      <w:r w:rsidRPr="00E9644F">
        <w:rPr>
          <w:rFonts w:ascii="Times New Roman" w:hAnsi="Times New Roman" w:cs="Times New Roman"/>
          <w:sz w:val="24"/>
          <w:szCs w:val="24"/>
        </w:rPr>
        <w:t>Mortality rates were calculated and interpreted according to WHO criteria</w:t>
      </w:r>
      <w:r w:rsidR="009B6A1E" w:rsidRPr="00E9644F">
        <w:rPr>
          <w:rFonts w:ascii="Times New Roman" w:hAnsi="Times New Roman" w:cs="Times New Roman"/>
          <w:sz w:val="24"/>
          <w:szCs w:val="24"/>
        </w:rPr>
        <w:t xml:space="preserve"> </w:t>
      </w:r>
      <w:r w:rsidRPr="00E9644F">
        <w:rPr>
          <w:rFonts w:ascii="Times New Roman" w:hAnsi="Times New Roman" w:cs="Times New Roman"/>
          <w:sz w:val="24"/>
          <w:szCs w:val="24"/>
        </w:rPr>
        <w:t xml:space="preserve">: </w:t>
      </w:r>
      <w:r w:rsidRPr="00E9644F">
        <w:rPr>
          <w:rFonts w:ascii="Times New Roman" w:hAnsi="Times New Roman" w:cs="Times New Roman"/>
          <w:sz w:val="24"/>
          <w:szCs w:val="24"/>
        </w:rPr>
        <w:lastRenderedPageBreak/>
        <w:t xml:space="preserve">mortality rates of ≥98% indicated susceptibility, </w:t>
      </w:r>
      <w:r w:rsidR="00BD3F40" w:rsidRPr="00E9644F">
        <w:rPr>
          <w:rFonts w:ascii="Times New Roman" w:hAnsi="Times New Roman" w:cs="Times New Roman"/>
          <w:sz w:val="24"/>
          <w:szCs w:val="24"/>
        </w:rPr>
        <w:t xml:space="preserve">90–97% suggested possible resistance requiring confirmation </w:t>
      </w:r>
      <w:r w:rsidRPr="00E9644F">
        <w:rPr>
          <w:rFonts w:ascii="Times New Roman" w:hAnsi="Times New Roman" w:cs="Times New Roman"/>
          <w:sz w:val="24"/>
          <w:szCs w:val="24"/>
        </w:rPr>
        <w:t>and &lt;90% confirmed resistance</w:t>
      </w:r>
      <w:r w:rsidR="00C420DF" w:rsidRPr="00E9644F">
        <w:rPr>
          <w:rFonts w:ascii="Times New Roman" w:hAnsi="Times New Roman" w:cs="Times New Roman"/>
          <w:sz w:val="24"/>
          <w:szCs w:val="24"/>
        </w:rPr>
        <w:t xml:space="preserve"> </w:t>
      </w:r>
      <w:r w:rsidR="00F120EB" w:rsidRPr="00E9644F">
        <w:rPr>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{"citationItems":[{"id":"ITEM-1","itemData":{"author":[{"dropping-particle":"","family":"WHO","given":"","non-dropping-particle":"","parse-names":false,"suffix":""}],"container-title":"World Health Organization","id":"ITEM-1","issue":"January","issued":{"date-parts":[["2022"]]},"page":"17p","title":"Standard operating procedure for impregnation of filter papers for testing insecticide susceptibility of adult mosquitoes in WHO tube tests","type":"article-journal"},"uris":["http://www.mendeley.com/documents/?uuid=d1ad75e5-2f3b-45e4-af05-8823aad96a0f"]}],"mendeley":{"formattedCitation":"[16]","plainTextFormattedCitation":"[16]","previouslyFormattedCitation":"[15]"},"properties":{"noteIndex":0},"schema":"https://github.com/citation-style-language/schema/raw/master/csl-citation.json"}</w:instrText>
      </w:r>
      <w:r w:rsidR="00F120EB" w:rsidRPr="00E9644F">
        <w:rPr>
          <w:rFonts w:ascii="Times New Roman" w:hAnsi="Times New Roman" w:cs="Times New Roman"/>
          <w:sz w:val="24"/>
          <w:szCs w:val="24"/>
        </w:rPr>
        <w:fldChar w:fldCharType="separate"/>
      </w:r>
      <w:r w:rsidR="00DF7040" w:rsidRPr="00E9644F">
        <w:rPr>
          <w:rFonts w:ascii="Times New Roman" w:hAnsi="Times New Roman" w:cs="Times New Roman"/>
          <w:noProof/>
          <w:sz w:val="24"/>
          <w:szCs w:val="24"/>
        </w:rPr>
        <w:t>[16]</w:t>
      </w:r>
      <w:r w:rsidR="00F120EB" w:rsidRPr="00E9644F">
        <w:rPr>
          <w:rFonts w:ascii="Times New Roman" w:hAnsi="Times New Roman" w:cs="Times New Roman"/>
          <w:sz w:val="24"/>
          <w:szCs w:val="24"/>
        </w:rPr>
        <w:fldChar w:fldCharType="end"/>
      </w:r>
      <w:r w:rsidRPr="00E9644F">
        <w:rPr>
          <w:rFonts w:ascii="Times New Roman" w:hAnsi="Times New Roman" w:cs="Times New Roman"/>
          <w:sz w:val="24"/>
          <w:szCs w:val="24"/>
        </w:rPr>
        <w:t>.</w:t>
      </w:r>
    </w:p>
    <w:p w14:paraId="38B1C51C" w14:textId="7AA003C1" w:rsidR="00834233" w:rsidRPr="00E9644F" w:rsidRDefault="00E25F00" w:rsidP="00B76860">
      <w:pPr>
        <w:spacing w:line="36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Genotypic Resistance Determination</w:t>
      </w:r>
    </w:p>
    <w:p w14:paraId="09DB0421" w14:textId="538391D3" w:rsidR="0011406E" w:rsidRPr="00E9644F" w:rsidRDefault="0053351B" w:rsidP="00B7686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 xml:space="preserve">Mutation in the VGSC that confers resistance to </w:t>
      </w:r>
      <w:r w:rsidRPr="00E9644F">
        <w:rPr>
          <w:rFonts w:ascii="Times New Roman" w:hAnsi="Times New Roman" w:cs="Times New Roman"/>
          <w:i/>
          <w:iCs/>
          <w:sz w:val="24"/>
          <w:szCs w:val="24"/>
        </w:rPr>
        <w:t>Aedes</w:t>
      </w:r>
      <w:r w:rsidRPr="00E9644F">
        <w:rPr>
          <w:rFonts w:ascii="Times New Roman" w:hAnsi="Times New Roman" w:cs="Times New Roman"/>
          <w:sz w:val="24"/>
          <w:szCs w:val="24"/>
        </w:rPr>
        <w:t xml:space="preserve"> mosquitoes were determined using </w:t>
      </w:r>
      <w:r w:rsidR="0032141A" w:rsidRPr="00E9644F">
        <w:rPr>
          <w:rFonts w:ascii="Times New Roman" w:hAnsi="Times New Roman" w:cs="Times New Roman"/>
          <w:sz w:val="24"/>
          <w:szCs w:val="24"/>
        </w:rPr>
        <w:t>Linss et al.,</w:t>
      </w:r>
      <w:r w:rsidR="0032141A" w:rsidRPr="00E9644F">
        <w:rPr>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{"citationItems":[{"id":"ITEM-1","itemData":{"DOI":"10.1186/1756-3305-7-25","ISSN":"1756-3305","abstract":"The chemical control of the mosquito Aedes aegypti, the major vector of dengue, is being seriously threatened due to the development of pyrethroid resistance. Substitutions in the 1016 and 1534 sites of the voltage gated sodium channel (AaNaV), commonly known as kdr mutations, confer the mosquito with knockdown resistance. Our aim was to evaluate the allelic composition of natural populations of Brazilian Ae. aegypti at both kdr sites.","author":[{"dropping-particle":"","family":"Linss","given":"Jutta Gerlinde Birggitt","non-dropping-particle":"","parse-names":false,"suffix":""},{"dropping-particle":"","family":"Brito","given":"Luiz Paulo","non-dropping-particle":"","parse-names":false,"suffix":""},{"dropping-particle":"","family":"Garcia","given":"Gabriela Azambuja","non-dropping-particle":"","parse-names":false,"suffix":""},{"dropping-particle":"","family":"Araki","given":"Alejandra Saori","non-dropping-particle":"","parse-names":false,"suffix":""},{"dropping-particle":"","family":"Bruno","given":"Rafaela Vieira","non-dropping-particle":"","parse-names":false,"suffix":""},{"dropping-particle":"","family":"Lima","given":"José Bento Pereira","non-dropping-particle":"","parse-names":false,"suffix":""},{"dropping-particle":"","family":"Valle","given":"Denise","non-dropping-particle":"","parse-names":false,"suffix":""},{"dropping-particle":"","family":"Martins","given":"Ademir Jesus","non-dropping-particle":"","parse-names":false,"suffix":""}],"container-title":"Parasites &amp; Vectors","id":"ITEM-1","issue":"1","issued":{"date-parts":[["2014"]]},"page":"25","title":"Distribution and dissemination of the Val1016Ile and Phe1534Cys Kdr mutations in Aedes aegypti Brazilian natural populations","type":"article-journal","volume":"7"},"uris":["http://www.mendeley.com/documents/?uuid=db324c3f-17c7-4625-8b51-667800043aac"]}],"mendeley":{"formattedCitation":"[17]","plainTextFormattedCitation":"[17]","previouslyFormattedCitation":"[16]"},"properties":{"noteIndex":0},"schema":"https://github.com/citation-style-language/schema/raw/master/csl-citation.json"}</w:instrText>
      </w:r>
      <w:r w:rsidR="0032141A" w:rsidRPr="00E9644F">
        <w:rPr>
          <w:rFonts w:ascii="Times New Roman" w:hAnsi="Times New Roman" w:cs="Times New Roman"/>
          <w:sz w:val="24"/>
          <w:szCs w:val="24"/>
        </w:rPr>
        <w:fldChar w:fldCharType="separate"/>
      </w:r>
      <w:r w:rsidR="00DF7040" w:rsidRPr="00E9644F">
        <w:rPr>
          <w:rFonts w:ascii="Times New Roman" w:hAnsi="Times New Roman" w:cs="Times New Roman"/>
          <w:noProof/>
          <w:sz w:val="24"/>
          <w:szCs w:val="24"/>
        </w:rPr>
        <w:t>[17]</w:t>
      </w:r>
      <w:r w:rsidR="0032141A" w:rsidRPr="00E9644F">
        <w:rPr>
          <w:rFonts w:ascii="Times New Roman" w:hAnsi="Times New Roman" w:cs="Times New Roman"/>
          <w:sz w:val="24"/>
          <w:szCs w:val="24"/>
        </w:rPr>
        <w:fldChar w:fldCharType="end"/>
      </w:r>
      <w:r w:rsidR="0032141A" w:rsidRPr="00E9644F">
        <w:rPr>
          <w:rFonts w:ascii="Times New Roman" w:hAnsi="Times New Roman" w:cs="Times New Roman"/>
          <w:noProof/>
          <w:sz w:val="24"/>
          <w:szCs w:val="24"/>
        </w:rPr>
        <w:t xml:space="preserve"> </w:t>
      </w:r>
      <w:r w:rsidRPr="00E9644F">
        <w:rPr>
          <w:rFonts w:ascii="Times New Roman" w:hAnsi="Times New Roman" w:cs="Times New Roman"/>
          <w:sz w:val="24"/>
          <w:szCs w:val="24"/>
        </w:rPr>
        <w:t xml:space="preserve">and </w:t>
      </w:r>
      <w:r w:rsidR="0032141A" w:rsidRPr="00E9644F">
        <w:rPr>
          <w:rFonts w:ascii="Times New Roman" w:hAnsi="Times New Roman" w:cs="Times New Roman"/>
          <w:sz w:val="24"/>
          <w:szCs w:val="24"/>
        </w:rPr>
        <w:t>Villanueva-Segura et al.,</w:t>
      </w:r>
      <w:r w:rsidR="0032141A" w:rsidRPr="00E9644F">
        <w:rPr>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{"citationItems":[{"id":"ITEM-1","itemData":{"DOI":"10.1186/s13071-020-04193-0","ISSN":"1756-3305","abstract":"Knockdown resistance (kdr) is the main mechanism that confers resistance to pyrethroids and DDT. This is a product of non-synonymous mutations in the voltage-gated sodium channel (vgsc) gene, and these mutations produce a change of a single amino acid which reduces the affinity of the target site for the insecticide molecule. In Mexico, V410L, V1016I and F1534C mutations are common in pyrethroid-resistant Aedes aegypti (L.) populations.","author":[{"dropping-particle":"","family":"Villanueva-Segura","given":"Karina","non-dropping-particle":"","parse-names":false,"suffix":""},{"dropping-particle":"","family":"Ponce-Garcia","given":"Gustavo","non-dropping-particle":"","parse-names":false,"suffix":""},{"dropping-particle":"","family":"Lopez-Monroy","given":"Beatriz","non-dropping-particle":"","parse-names":false,"suffix":""},{"dropping-particle":"","family":"Mora-Jasso","given":"Esteban","non-dropping-particle":"","parse-names":false,"suffix":""},{"dropping-particle":"","family":"Perales","given":"Lucia","non-dropping-particle":"","parse-names":false,"suffix":""},{"dropping-particle":"","family":"Gonzalez-Santillan","given":"Francisco J","non-dropping-particle":"","parse-names":false,"suffix":""},{"dropping-particle":"","family":"Ontiveros-Zapata","given":"Kevin","non-dropping-particle":"","parse-names":false,"suffix":""},{"dropping-particle":"","family":"Davila-Barboza","given":"Jesus A","non-dropping-particle":"","parse-names":false,"suffix":""},{"dropping-particle":"","family":"Flores","given":"Adriana E","non-dropping-particle":"","parse-names":false,"suffix":""}],"container-title":"Parasites &amp; Vectors","id":"ITEM-1","issue":"1","issued":{"date-parts":[["2020"]]},"page":"325","title":"Multiplex PCR for simultaneous genotyping of kdr mutations V410L, V1016I and F1534C in Aedes aegypti (L.)","type":"article-journal","volume":"13"},"uris":["http://www.mendeley.com/documents/?uuid=c4e458d5-3f9a-4ab4-94db-7f1cd1931022"]}],"mendeley":{"formattedCitation":"[18]","plainTextFormattedCitation":"[18]","previouslyFormattedCitation":"[17]"},"properties":{"noteIndex":0},"schema":"https://github.com/citation-style-language/schema/raw/master/csl-citation.json"}</w:instrText>
      </w:r>
      <w:r w:rsidR="0032141A" w:rsidRPr="00E9644F">
        <w:rPr>
          <w:rFonts w:ascii="Times New Roman" w:hAnsi="Times New Roman" w:cs="Times New Roman"/>
          <w:sz w:val="24"/>
          <w:szCs w:val="24"/>
        </w:rPr>
        <w:fldChar w:fldCharType="separate"/>
      </w:r>
      <w:r w:rsidR="00DF7040" w:rsidRPr="00E9644F">
        <w:rPr>
          <w:rFonts w:ascii="Times New Roman" w:hAnsi="Times New Roman" w:cs="Times New Roman"/>
          <w:noProof/>
          <w:sz w:val="24"/>
          <w:szCs w:val="24"/>
        </w:rPr>
        <w:t>[18]</w:t>
      </w:r>
      <w:r w:rsidR="0032141A" w:rsidRPr="00E9644F">
        <w:rPr>
          <w:rFonts w:ascii="Times New Roman" w:hAnsi="Times New Roman" w:cs="Times New Roman"/>
          <w:sz w:val="24"/>
          <w:szCs w:val="24"/>
        </w:rPr>
        <w:fldChar w:fldCharType="end"/>
      </w:r>
      <w:r w:rsidRPr="00E9644F">
        <w:rPr>
          <w:rFonts w:ascii="Times New Roman" w:hAnsi="Times New Roman" w:cs="Times New Roman"/>
          <w:sz w:val="24"/>
          <w:szCs w:val="24"/>
        </w:rPr>
        <w:t xml:space="preserve"> protocol and Primers. Genotyping was done using Conventional </w:t>
      </w:r>
      <w:r w:rsidR="0032141A" w:rsidRPr="00E9644F">
        <w:rPr>
          <w:rFonts w:ascii="Times New Roman" w:hAnsi="Times New Roman" w:cs="Times New Roman"/>
          <w:sz w:val="24"/>
          <w:szCs w:val="24"/>
        </w:rPr>
        <w:t>allele-specific</w:t>
      </w:r>
      <w:r w:rsidRPr="00E9644F">
        <w:rPr>
          <w:rFonts w:ascii="Times New Roman" w:hAnsi="Times New Roman" w:cs="Times New Roman"/>
          <w:sz w:val="24"/>
          <w:szCs w:val="24"/>
        </w:rPr>
        <w:t xml:space="preserve"> PCR genotyped at V410, V1016 and F1534C positions of the VSGC by allele-specific PCR (AS-PCR)</w:t>
      </w:r>
    </w:p>
    <w:p w14:paraId="0F10BBC8" w14:textId="6C1DC294" w:rsidR="00D13F85" w:rsidRPr="00E9644F" w:rsidRDefault="00D13F85" w:rsidP="00B76860">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Data validation and Quality control</w:t>
      </w:r>
    </w:p>
    <w:p w14:paraId="48EB4AAA" w14:textId="2FC0BD51" w:rsidR="00D13F85" w:rsidRPr="00E9644F" w:rsidRDefault="00C268B8" w:rsidP="0053351B">
      <w:pPr>
        <w:spacing w:after="0" w:line="480" w:lineRule="auto"/>
        <w:jc w:val="both"/>
        <w:rPr>
          <w:rFonts w:ascii="Times New Roman" w:eastAsia="Times New Roman" w:hAnsi="Times New Roman" w:cs="Times New Roman"/>
          <w:sz w:val="24"/>
          <w:szCs w:val="24"/>
        </w:rPr>
      </w:pPr>
      <w:r w:rsidRPr="00E9644F">
        <w:rPr>
          <w:rFonts w:ascii="Times New Roman" w:hAnsi="Times New Roman" w:cs="Times New Roman"/>
          <w:sz w:val="24"/>
          <w:szCs w:val="24"/>
        </w:rPr>
        <w:t xml:space="preserve">All collected larvae and pupae were reared in the laboratory under standard procedures until adults emerged. </w:t>
      </w:r>
      <w:bookmarkStart w:id="2" w:name="_Hlk207434234"/>
      <w:r w:rsidRPr="00E9644F">
        <w:rPr>
          <w:rFonts w:ascii="Times New Roman" w:eastAsia="Times New Roman" w:hAnsi="Times New Roman" w:cs="Times New Roman"/>
          <w:sz w:val="24"/>
          <w:szCs w:val="24"/>
        </w:rPr>
        <w:t xml:space="preserve">Geographical Position System </w:t>
      </w:r>
      <w:bookmarkEnd w:id="2"/>
      <w:r w:rsidRPr="00E9644F">
        <w:rPr>
          <w:rFonts w:ascii="Times New Roman" w:eastAsia="Times New Roman" w:hAnsi="Times New Roman" w:cs="Times New Roman"/>
          <w:sz w:val="24"/>
          <w:szCs w:val="24"/>
        </w:rPr>
        <w:t>(GPS) positions of all collection points were taken.</w:t>
      </w:r>
    </w:p>
    <w:p w14:paraId="68E2B8A0" w14:textId="041EDD2F" w:rsidR="00C268B8" w:rsidRPr="00E9644F" w:rsidRDefault="00C268B8" w:rsidP="00B7686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 xml:space="preserve">Morphological identification of </w:t>
      </w:r>
      <w:r w:rsidRPr="00E9644F">
        <w:rPr>
          <w:rFonts w:ascii="Times New Roman" w:hAnsi="Times New Roman" w:cs="Times New Roman"/>
          <w:i/>
          <w:sz w:val="24"/>
          <w:szCs w:val="24"/>
        </w:rPr>
        <w:t>Aedes</w:t>
      </w:r>
      <w:r w:rsidRPr="00E9644F">
        <w:rPr>
          <w:rFonts w:ascii="Times New Roman" w:hAnsi="Times New Roman" w:cs="Times New Roman"/>
          <w:sz w:val="24"/>
          <w:szCs w:val="24"/>
        </w:rPr>
        <w:t xml:space="preserve"> mosquitoes were done by trained entomologist using identification keys by </w:t>
      </w:r>
      <w:r w:rsidR="00592D02" w:rsidRPr="00E9644F">
        <w:rPr>
          <w:rStyle w:val="FootnoteReference"/>
          <w:rFonts w:ascii="Times New Roman" w:hAnsi="Times New Roman" w:cs="Times New Roman"/>
          <w:sz w:val="24"/>
          <w:szCs w:val="24"/>
        </w:rPr>
        <w:fldChar w:fldCharType="begin" w:fldLock="1"/>
      </w:r>
      <w:r w:rsidR="00DF7040" w:rsidRPr="00E9644F">
        <w:rPr>
          <w:rFonts w:ascii="Times New Roman" w:hAnsi="Times New Roman" w:cs="Times New Roman"/>
          <w:sz w:val="24"/>
          <w:szCs w:val="24"/>
        </w:rPr>
        <w:instrText>ADDIN CSL_CITATION {"citationItems":[{"id":"ITEM-1","itemData":{"ISBN":"1877354562","author":[{"dropping-particle":"","family":"HUANG","given":"YIAU-MIN","non-dropping-particle":"","parse-names":false,"suffix":""}],"id":"ITEM-1","issued":{"date-parts":[["2004"]]},"number-of-pages":"120","title":"Zootaxa 700","type":"book"},"uris":["http://www.mendeley.com/documents/?uuid=7a5492e3-3d49-4726-967a-8912916367a1"]}],"mendeley":{"formattedCitation":"[19]","manualFormatting":"[15]","plainTextFormattedCitation":"[19]","previouslyFormattedCitation":"[18]"},"properties":{"noteIndex":0},"schema":"https://github.com/citation-style-language/schema/raw/master/csl-citation.json"}</w:instrText>
      </w:r>
      <w:r w:rsidR="00592D02" w:rsidRPr="00E9644F">
        <w:rPr>
          <w:rStyle w:val="FootnoteReference"/>
          <w:rFonts w:ascii="Times New Roman" w:hAnsi="Times New Roman" w:cs="Times New Roman"/>
          <w:sz w:val="24"/>
          <w:szCs w:val="24"/>
        </w:rPr>
        <w:fldChar w:fldCharType="separate"/>
      </w:r>
      <w:r w:rsidR="00535E27" w:rsidRPr="00E9644F">
        <w:rPr>
          <w:rFonts w:ascii="Times New Roman" w:hAnsi="Times New Roman" w:cs="Times New Roman"/>
          <w:noProof/>
          <w:sz w:val="24"/>
          <w:szCs w:val="24"/>
        </w:rPr>
        <w:t>[15]</w:t>
      </w:r>
      <w:r w:rsidR="00592D02" w:rsidRPr="00E9644F">
        <w:rPr>
          <w:rStyle w:val="FootnoteReference"/>
          <w:rFonts w:ascii="Times New Roman" w:hAnsi="Times New Roman" w:cs="Times New Roman"/>
          <w:sz w:val="24"/>
          <w:szCs w:val="24"/>
        </w:rPr>
        <w:fldChar w:fldCharType="end"/>
      </w:r>
      <w:r w:rsidRPr="00E9644F">
        <w:rPr>
          <w:rFonts w:ascii="Times New Roman" w:hAnsi="Times New Roman" w:cs="Times New Roman"/>
          <w:sz w:val="24"/>
          <w:szCs w:val="24"/>
        </w:rPr>
        <w:t xml:space="preserve"> to differentiate the </w:t>
      </w:r>
      <w:r w:rsidRPr="00E9644F">
        <w:rPr>
          <w:rFonts w:ascii="Times New Roman" w:hAnsi="Times New Roman" w:cs="Times New Roman"/>
          <w:i/>
          <w:sz w:val="24"/>
          <w:szCs w:val="24"/>
        </w:rPr>
        <w:t>Aedes</w:t>
      </w:r>
      <w:r w:rsidRPr="00E9644F">
        <w:rPr>
          <w:rFonts w:ascii="Times New Roman" w:hAnsi="Times New Roman" w:cs="Times New Roman"/>
          <w:sz w:val="24"/>
          <w:szCs w:val="24"/>
        </w:rPr>
        <w:t xml:space="preserve"> species.</w:t>
      </w:r>
    </w:p>
    <w:p w14:paraId="30B9E84E" w14:textId="6B58BC9C" w:rsidR="00994378" w:rsidRPr="00E9644F" w:rsidRDefault="00994378" w:rsidP="00CB7531">
      <w:pPr>
        <w:spacing w:after="0" w:line="480" w:lineRule="auto"/>
        <w:jc w:val="both"/>
        <w:rPr>
          <w:rFonts w:ascii="Times New Roman" w:eastAsia="Times New Roman" w:hAnsi="Times New Roman" w:cs="Times New Roman"/>
          <w:kern w:val="0"/>
          <w:sz w:val="24"/>
          <w:szCs w:val="24"/>
          <w14:ligatures w14:val="none"/>
        </w:rPr>
      </w:pPr>
      <w:r w:rsidRPr="00E9644F">
        <w:rPr>
          <w:rFonts w:ascii="Times New Roman" w:eastAsia="Times New Roman" w:hAnsi="Times New Roman" w:cs="Times New Roman"/>
          <w:kern w:val="0"/>
          <w:sz w:val="24"/>
          <w:szCs w:val="24"/>
          <w14:ligatures w14:val="none"/>
        </w:rPr>
        <w:t xml:space="preserve">The dataset was validated and published through GBIF’s Integrated Publishing Toolkit (IPT), which performs structural and content quality checks before release, with metadata fields available on the GBIF page to ensure transparency and facilitate reuse </w:t>
      </w:r>
      <w:r w:rsidRPr="00E9644F">
        <w:rPr>
          <w:rStyle w:val="FootnoteReference"/>
          <w:rFonts w:ascii="Times New Roman" w:hAnsi="Times New Roman" w:cs="Times New Roman"/>
          <w:sz w:val="24"/>
          <w:szCs w:val="24"/>
        </w:rPr>
        <w:fldChar w:fldCharType="begin" w:fldLock="1"/>
      </w:r>
      <w:r w:rsidR="00125F13" w:rsidRPr="00E9644F">
        <w:rPr>
          <w:rFonts w:ascii="Times New Roman" w:hAnsi="Times New Roman" w:cs="Times New Roman"/>
          <w:sz w:val="24"/>
          <w:szCs w:val="24"/>
        </w:rPr>
        <w:instrText>ADDIN CSL_CITATION {"citationItems":[{"id":"ITEM-1","itemData":{"ISBN":"1877354562","author":[{"dropping-particle":"","family":"HUANG","given":"YIAU-MIN","non-dropping-particle":"","parse-names":false,"suffix":""}],"id":"ITEM-1","issued":{"date-parts":[["2004"]]},"number-of-pages":"120","title":"Zootaxa 700","type":"book"},"uris":["http://www.mendeley.com/documents/?uuid=7a5492e3-3d49-4726-967a-8912916367a1"]}],"mendeley":{"formattedCitation":"[19]","manualFormatting":"[20]","plainTextFormattedCitation":"[19]","previouslyFormattedCitation":"[18]"},"properties":{"noteIndex":0},"schema":"https://github.com/citation-style-language/schema/raw/master/csl-citation.json"}</w:instrText>
      </w:r>
      <w:r w:rsidRPr="00E9644F">
        <w:rPr>
          <w:rStyle w:val="FootnoteReference"/>
          <w:rFonts w:ascii="Times New Roman" w:hAnsi="Times New Roman" w:cs="Times New Roman"/>
          <w:sz w:val="24"/>
          <w:szCs w:val="24"/>
        </w:rPr>
        <w:fldChar w:fldCharType="separate"/>
      </w:r>
      <w:r w:rsidRPr="00E9644F">
        <w:rPr>
          <w:rFonts w:ascii="Times New Roman" w:hAnsi="Times New Roman" w:cs="Times New Roman"/>
          <w:noProof/>
          <w:sz w:val="24"/>
          <w:szCs w:val="24"/>
        </w:rPr>
        <w:t>[</w:t>
      </w:r>
      <w:r w:rsidR="00125F13" w:rsidRPr="00E9644F">
        <w:rPr>
          <w:rFonts w:ascii="Times New Roman" w:hAnsi="Times New Roman" w:cs="Times New Roman"/>
          <w:noProof/>
          <w:sz w:val="24"/>
          <w:szCs w:val="24"/>
        </w:rPr>
        <w:t>20</w:t>
      </w:r>
      <w:r w:rsidRPr="00E9644F">
        <w:rPr>
          <w:rFonts w:ascii="Times New Roman" w:hAnsi="Times New Roman" w:cs="Times New Roman"/>
          <w:noProof/>
          <w:sz w:val="24"/>
          <w:szCs w:val="24"/>
        </w:rPr>
        <w:t>]</w:t>
      </w:r>
      <w:r w:rsidRPr="00E9644F">
        <w:rPr>
          <w:rStyle w:val="FootnoteReference"/>
          <w:rFonts w:ascii="Times New Roman" w:hAnsi="Times New Roman" w:cs="Times New Roman"/>
          <w:sz w:val="24"/>
          <w:szCs w:val="24"/>
        </w:rPr>
        <w:fldChar w:fldCharType="end"/>
      </w:r>
    </w:p>
    <w:p w14:paraId="5A213FE6" w14:textId="77777777" w:rsidR="00994378" w:rsidRPr="00E9644F" w:rsidRDefault="00994378" w:rsidP="00F8327E">
      <w:pPr>
        <w:spacing w:after="0" w:line="360" w:lineRule="auto"/>
        <w:jc w:val="both"/>
        <w:rPr>
          <w:rFonts w:ascii="Times New Roman" w:hAnsi="Times New Roman" w:cs="Times New Roman"/>
          <w:sz w:val="24"/>
          <w:szCs w:val="24"/>
        </w:rPr>
      </w:pPr>
    </w:p>
    <w:p w14:paraId="71D298B8" w14:textId="49DDF478" w:rsidR="008640D1" w:rsidRPr="00E9644F" w:rsidRDefault="00D02E70" w:rsidP="00F8327E">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Results</w:t>
      </w:r>
    </w:p>
    <w:p w14:paraId="643B2FD8" w14:textId="351668FF" w:rsidR="00552EE7" w:rsidRPr="00E9644F" w:rsidRDefault="008640D1" w:rsidP="00B76860">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Phenotypic Resistance</w:t>
      </w:r>
    </w:p>
    <w:p w14:paraId="668815C7" w14:textId="3B972D25" w:rsidR="002B263E" w:rsidRPr="00E9644F" w:rsidRDefault="00466DD7" w:rsidP="00B76860">
      <w:pPr>
        <w:spacing w:line="480" w:lineRule="auto"/>
        <w:jc w:val="both"/>
        <w:rPr>
          <w:rFonts w:ascii="Times New Roman" w:hAnsi="Times New Roman" w:cs="Times New Roman"/>
          <w:kern w:val="0"/>
          <w:sz w:val="24"/>
          <w:szCs w:val="24"/>
          <w14:ligatures w14:val="none"/>
        </w:rPr>
      </w:pPr>
      <w:r w:rsidRPr="00E9644F">
        <w:rPr>
          <w:rFonts w:ascii="Times New Roman" w:hAnsi="Times New Roman" w:cs="Times New Roman"/>
          <w:i/>
          <w:iCs/>
          <w:sz w:val="24"/>
          <w:szCs w:val="24"/>
        </w:rPr>
        <w:t>Ae. aegypti</w:t>
      </w:r>
      <w:r w:rsidRPr="00E9644F">
        <w:rPr>
          <w:rFonts w:ascii="Times New Roman" w:hAnsi="Times New Roman" w:cs="Times New Roman"/>
          <w:sz w:val="24"/>
          <w:szCs w:val="24"/>
        </w:rPr>
        <w:t xml:space="preserve"> </w:t>
      </w:r>
      <w:r w:rsidR="00552EE7" w:rsidRPr="00E9644F">
        <w:rPr>
          <w:rFonts w:ascii="Times New Roman" w:hAnsi="Times New Roman" w:cs="Times New Roman"/>
          <w:sz w:val="24"/>
          <w:szCs w:val="24"/>
        </w:rPr>
        <w:t xml:space="preserve">mosquitoes sampled from all the study sites </w:t>
      </w:r>
      <w:r w:rsidR="002C7460" w:rsidRPr="00E9644F">
        <w:rPr>
          <w:rFonts w:ascii="Times New Roman" w:hAnsi="Times New Roman" w:cs="Times New Roman"/>
          <w:sz w:val="24"/>
          <w:szCs w:val="24"/>
        </w:rPr>
        <w:t>except for Paga and Konongo showed resistan</w:t>
      </w:r>
      <w:r w:rsidR="002447E0" w:rsidRPr="00E9644F">
        <w:rPr>
          <w:rFonts w:ascii="Times New Roman" w:hAnsi="Times New Roman" w:cs="Times New Roman"/>
          <w:sz w:val="24"/>
          <w:szCs w:val="24"/>
        </w:rPr>
        <w:t>ce</w:t>
      </w:r>
      <w:r w:rsidR="002C7460" w:rsidRPr="00E9644F">
        <w:rPr>
          <w:rFonts w:ascii="Times New Roman" w:hAnsi="Times New Roman" w:cs="Times New Roman"/>
          <w:sz w:val="24"/>
          <w:szCs w:val="24"/>
        </w:rPr>
        <w:t xml:space="preserve"> to deltamethrin </w:t>
      </w:r>
      <w:r w:rsidR="002E4D22" w:rsidRPr="00E9644F">
        <w:rPr>
          <w:rFonts w:ascii="Times New Roman" w:hAnsi="Times New Roman" w:cs="Times New Roman"/>
          <w:sz w:val="24"/>
          <w:szCs w:val="24"/>
        </w:rPr>
        <w:t>[Mortality rate (MR) =</w:t>
      </w:r>
      <w:r w:rsidR="002C7460" w:rsidRPr="00E9644F">
        <w:rPr>
          <w:rFonts w:ascii="Times New Roman" w:hAnsi="Times New Roman" w:cs="Times New Roman"/>
          <w:sz w:val="24"/>
          <w:szCs w:val="24"/>
        </w:rPr>
        <w:t>33</w:t>
      </w:r>
      <w:r w:rsidR="00491CF4" w:rsidRPr="00E9644F">
        <w:rPr>
          <w:rFonts w:ascii="Times New Roman" w:hAnsi="Times New Roman" w:cs="Times New Roman"/>
          <w:sz w:val="24"/>
          <w:szCs w:val="24"/>
        </w:rPr>
        <w:t>.</w:t>
      </w:r>
      <w:r w:rsidR="002C7460" w:rsidRPr="00E9644F">
        <w:rPr>
          <w:rFonts w:ascii="Times New Roman" w:hAnsi="Times New Roman" w:cs="Times New Roman"/>
          <w:sz w:val="24"/>
          <w:szCs w:val="24"/>
        </w:rPr>
        <w:t>7</w:t>
      </w:r>
      <w:r w:rsidR="00491CF4" w:rsidRPr="00E9644F">
        <w:rPr>
          <w:rFonts w:ascii="Times New Roman" w:hAnsi="Times New Roman" w:cs="Times New Roman"/>
          <w:sz w:val="24"/>
          <w:szCs w:val="24"/>
        </w:rPr>
        <w:t>5</w:t>
      </w:r>
      <w:r w:rsidR="00FF76EF" w:rsidRPr="00E9644F">
        <w:rPr>
          <w:rFonts w:ascii="Times New Roman" w:hAnsi="Times New Roman" w:cs="Times New Roman"/>
          <w:sz w:val="24"/>
          <w:szCs w:val="24"/>
        </w:rPr>
        <w:t>%</w:t>
      </w:r>
      <w:r w:rsidR="00491CF4" w:rsidRPr="00E9644F">
        <w:rPr>
          <w:rFonts w:ascii="Times New Roman" w:hAnsi="Times New Roman" w:cs="Times New Roman"/>
          <w:sz w:val="24"/>
          <w:szCs w:val="24"/>
        </w:rPr>
        <w:t xml:space="preserve"> - </w:t>
      </w:r>
      <w:r w:rsidR="002C7460" w:rsidRPr="00E9644F">
        <w:rPr>
          <w:rFonts w:ascii="Times New Roman" w:hAnsi="Times New Roman" w:cs="Times New Roman"/>
          <w:sz w:val="24"/>
          <w:szCs w:val="24"/>
        </w:rPr>
        <w:t>88</w:t>
      </w:r>
      <w:r w:rsidR="00491CF4" w:rsidRPr="00E9644F">
        <w:rPr>
          <w:rFonts w:ascii="Times New Roman" w:hAnsi="Times New Roman" w:cs="Times New Roman"/>
          <w:sz w:val="24"/>
          <w:szCs w:val="24"/>
        </w:rPr>
        <w:t>.</w:t>
      </w:r>
      <w:r w:rsidR="002C7460" w:rsidRPr="00E9644F">
        <w:rPr>
          <w:rFonts w:ascii="Times New Roman" w:hAnsi="Times New Roman" w:cs="Times New Roman"/>
          <w:sz w:val="24"/>
          <w:szCs w:val="24"/>
        </w:rPr>
        <w:t>8</w:t>
      </w:r>
      <w:r w:rsidR="00FF76EF" w:rsidRPr="00E9644F">
        <w:rPr>
          <w:rFonts w:ascii="Times New Roman" w:hAnsi="Times New Roman" w:cs="Times New Roman"/>
          <w:sz w:val="24"/>
          <w:szCs w:val="24"/>
        </w:rPr>
        <w:t>%]</w:t>
      </w:r>
      <w:r w:rsidR="00552EE7" w:rsidRPr="00E9644F">
        <w:rPr>
          <w:rFonts w:ascii="Times New Roman" w:hAnsi="Times New Roman" w:cs="Times New Roman"/>
          <w:sz w:val="24"/>
          <w:szCs w:val="24"/>
        </w:rPr>
        <w:t>.</w:t>
      </w:r>
      <w:r w:rsidR="00372788" w:rsidRPr="00E9644F">
        <w:rPr>
          <w:rFonts w:ascii="Times New Roman" w:hAnsi="Times New Roman" w:cs="Times New Roman"/>
          <w:sz w:val="24"/>
          <w:szCs w:val="24"/>
        </w:rPr>
        <w:t xml:space="preserve"> </w:t>
      </w:r>
      <w:r w:rsidR="00372788" w:rsidRPr="00E9644F">
        <w:rPr>
          <w:rFonts w:ascii="Times New Roman" w:hAnsi="Times New Roman" w:cs="Times New Roman"/>
          <w:i/>
          <w:iCs/>
          <w:sz w:val="24"/>
          <w:szCs w:val="24"/>
        </w:rPr>
        <w:t>Ae.</w:t>
      </w:r>
      <w:r w:rsidR="009B6A1E" w:rsidRPr="00E9644F">
        <w:rPr>
          <w:rFonts w:ascii="Times New Roman" w:hAnsi="Times New Roman" w:cs="Times New Roman"/>
          <w:i/>
          <w:iCs/>
          <w:sz w:val="24"/>
          <w:szCs w:val="24"/>
        </w:rPr>
        <w:t xml:space="preserve"> </w:t>
      </w:r>
      <w:r w:rsidR="00372788" w:rsidRPr="00E9644F">
        <w:rPr>
          <w:rFonts w:ascii="Times New Roman" w:hAnsi="Times New Roman" w:cs="Times New Roman"/>
          <w:i/>
          <w:iCs/>
          <w:sz w:val="24"/>
          <w:szCs w:val="24"/>
        </w:rPr>
        <w:t>aegy</w:t>
      </w:r>
      <w:r w:rsidR="006E4198" w:rsidRPr="00E9644F">
        <w:rPr>
          <w:rFonts w:ascii="Times New Roman" w:hAnsi="Times New Roman" w:cs="Times New Roman"/>
          <w:i/>
          <w:iCs/>
          <w:sz w:val="24"/>
          <w:szCs w:val="24"/>
        </w:rPr>
        <w:t>p</w:t>
      </w:r>
      <w:r w:rsidR="00372788" w:rsidRPr="00E9644F">
        <w:rPr>
          <w:rFonts w:ascii="Times New Roman" w:hAnsi="Times New Roman" w:cs="Times New Roman"/>
          <w:i/>
          <w:iCs/>
          <w:sz w:val="24"/>
          <w:szCs w:val="24"/>
        </w:rPr>
        <w:t>ti</w:t>
      </w:r>
      <w:r w:rsidR="00372788" w:rsidRPr="00E9644F">
        <w:rPr>
          <w:rFonts w:ascii="Times New Roman" w:hAnsi="Times New Roman" w:cs="Times New Roman"/>
          <w:sz w:val="24"/>
          <w:szCs w:val="24"/>
        </w:rPr>
        <w:t xml:space="preserve"> from Paga and Konongo</w:t>
      </w:r>
      <w:r w:rsidR="00552EE7" w:rsidRPr="00E9644F">
        <w:rPr>
          <w:rFonts w:ascii="Times New Roman" w:hAnsi="Times New Roman" w:cs="Times New Roman"/>
          <w:sz w:val="24"/>
          <w:szCs w:val="24"/>
        </w:rPr>
        <w:t xml:space="preserve"> </w:t>
      </w:r>
      <w:r w:rsidR="00372788" w:rsidRPr="00E9644F">
        <w:rPr>
          <w:rFonts w:ascii="Times New Roman" w:hAnsi="Times New Roman" w:cs="Times New Roman"/>
          <w:sz w:val="24"/>
          <w:szCs w:val="24"/>
        </w:rPr>
        <w:t>showed partial resistan</w:t>
      </w:r>
      <w:r w:rsidR="002447E0" w:rsidRPr="00E9644F">
        <w:rPr>
          <w:rFonts w:ascii="Times New Roman" w:hAnsi="Times New Roman" w:cs="Times New Roman"/>
          <w:sz w:val="24"/>
          <w:szCs w:val="24"/>
        </w:rPr>
        <w:t>ce</w:t>
      </w:r>
      <w:r w:rsidR="00372788" w:rsidRPr="00E9644F">
        <w:rPr>
          <w:rFonts w:ascii="Times New Roman" w:hAnsi="Times New Roman" w:cs="Times New Roman"/>
          <w:sz w:val="24"/>
          <w:szCs w:val="24"/>
        </w:rPr>
        <w:t xml:space="preserve"> to </w:t>
      </w:r>
      <w:r w:rsidR="00A11FA9" w:rsidRPr="00E9644F">
        <w:rPr>
          <w:rFonts w:ascii="Times New Roman" w:hAnsi="Times New Roman" w:cs="Times New Roman"/>
          <w:sz w:val="24"/>
          <w:szCs w:val="24"/>
        </w:rPr>
        <w:t>deltamethrin</w:t>
      </w:r>
      <w:r w:rsidR="00372788" w:rsidRPr="00E9644F">
        <w:rPr>
          <w:rFonts w:ascii="Times New Roman" w:hAnsi="Times New Roman" w:cs="Times New Roman"/>
          <w:sz w:val="24"/>
          <w:szCs w:val="24"/>
        </w:rPr>
        <w:t xml:space="preserve"> [MR = 92.5% – 93%]. </w:t>
      </w:r>
      <w:r w:rsidR="00A11FA9" w:rsidRPr="00E9644F">
        <w:rPr>
          <w:rFonts w:ascii="Times New Roman" w:hAnsi="Times New Roman" w:cs="Times New Roman"/>
          <w:i/>
          <w:iCs/>
          <w:sz w:val="24"/>
          <w:szCs w:val="24"/>
        </w:rPr>
        <w:t xml:space="preserve">Ae. aegypti </w:t>
      </w:r>
      <w:r w:rsidR="00A11FA9" w:rsidRPr="00E9644F">
        <w:rPr>
          <w:rFonts w:ascii="Times New Roman" w:hAnsi="Times New Roman" w:cs="Times New Roman"/>
          <w:sz w:val="24"/>
          <w:szCs w:val="24"/>
        </w:rPr>
        <w:t>sampled from all the sites except for Kpalsogu, Pagaza and Paga showed resistant to permethrin [MR = 65% – 89%]</w:t>
      </w:r>
      <w:r w:rsidR="00CE7C0C" w:rsidRPr="00E9644F">
        <w:rPr>
          <w:rFonts w:ascii="Times New Roman" w:hAnsi="Times New Roman" w:cs="Times New Roman"/>
          <w:sz w:val="24"/>
          <w:szCs w:val="24"/>
        </w:rPr>
        <w:t xml:space="preserve">, </w:t>
      </w:r>
      <w:r w:rsidR="00A11FA9" w:rsidRPr="00E9644F">
        <w:rPr>
          <w:rFonts w:ascii="Times New Roman" w:hAnsi="Times New Roman" w:cs="Times New Roman"/>
          <w:sz w:val="24"/>
          <w:szCs w:val="24"/>
        </w:rPr>
        <w:t xml:space="preserve">whiles partial resistant in </w:t>
      </w:r>
      <w:r w:rsidR="00A11FA9" w:rsidRPr="00E9644F">
        <w:rPr>
          <w:rFonts w:ascii="Times New Roman" w:hAnsi="Times New Roman" w:cs="Times New Roman"/>
          <w:i/>
          <w:iCs/>
          <w:sz w:val="24"/>
          <w:szCs w:val="24"/>
        </w:rPr>
        <w:t>Ae.</w:t>
      </w:r>
      <w:r w:rsidR="009B6A1E" w:rsidRPr="00E9644F">
        <w:rPr>
          <w:rFonts w:ascii="Times New Roman" w:hAnsi="Times New Roman" w:cs="Times New Roman"/>
          <w:i/>
          <w:iCs/>
          <w:sz w:val="24"/>
          <w:szCs w:val="24"/>
        </w:rPr>
        <w:t xml:space="preserve"> </w:t>
      </w:r>
      <w:r w:rsidR="00A11FA9" w:rsidRPr="00E9644F">
        <w:rPr>
          <w:rFonts w:ascii="Times New Roman" w:hAnsi="Times New Roman" w:cs="Times New Roman"/>
          <w:i/>
          <w:iCs/>
          <w:sz w:val="24"/>
          <w:szCs w:val="24"/>
        </w:rPr>
        <w:t>aegy</w:t>
      </w:r>
      <w:r w:rsidR="009B6A1E" w:rsidRPr="00E9644F">
        <w:rPr>
          <w:rFonts w:ascii="Times New Roman" w:hAnsi="Times New Roman" w:cs="Times New Roman"/>
          <w:i/>
          <w:iCs/>
          <w:sz w:val="24"/>
          <w:szCs w:val="24"/>
        </w:rPr>
        <w:t>p</w:t>
      </w:r>
      <w:r w:rsidR="00A11FA9" w:rsidRPr="00E9644F">
        <w:rPr>
          <w:rFonts w:ascii="Times New Roman" w:hAnsi="Times New Roman" w:cs="Times New Roman"/>
          <w:i/>
          <w:iCs/>
          <w:sz w:val="24"/>
          <w:szCs w:val="24"/>
        </w:rPr>
        <w:t>ti</w:t>
      </w:r>
      <w:r w:rsidR="00A11FA9" w:rsidRPr="00E9644F">
        <w:rPr>
          <w:rFonts w:ascii="Times New Roman" w:hAnsi="Times New Roman" w:cs="Times New Roman"/>
          <w:sz w:val="24"/>
          <w:szCs w:val="24"/>
        </w:rPr>
        <w:t xml:space="preserve"> </w:t>
      </w:r>
      <w:r w:rsidR="00A659A1" w:rsidRPr="00E9644F">
        <w:rPr>
          <w:rFonts w:ascii="Times New Roman" w:hAnsi="Times New Roman" w:cs="Times New Roman"/>
          <w:sz w:val="24"/>
          <w:szCs w:val="24"/>
        </w:rPr>
        <w:t xml:space="preserve">to permethrin </w:t>
      </w:r>
      <w:r w:rsidR="00A11FA9" w:rsidRPr="00E9644F">
        <w:rPr>
          <w:rFonts w:ascii="Times New Roman" w:hAnsi="Times New Roman" w:cs="Times New Roman"/>
          <w:sz w:val="24"/>
          <w:szCs w:val="24"/>
        </w:rPr>
        <w:t>was observed in K</w:t>
      </w:r>
      <w:r w:rsidR="00A659A1" w:rsidRPr="00E9644F">
        <w:rPr>
          <w:rFonts w:ascii="Times New Roman" w:hAnsi="Times New Roman" w:cs="Times New Roman"/>
          <w:sz w:val="24"/>
          <w:szCs w:val="24"/>
        </w:rPr>
        <w:t>a</w:t>
      </w:r>
      <w:r w:rsidR="00A11FA9" w:rsidRPr="00E9644F">
        <w:rPr>
          <w:rFonts w:ascii="Times New Roman" w:hAnsi="Times New Roman" w:cs="Times New Roman"/>
          <w:sz w:val="24"/>
          <w:szCs w:val="24"/>
        </w:rPr>
        <w:t xml:space="preserve">plsogu, </w:t>
      </w:r>
      <w:r w:rsidR="00A11FA9" w:rsidRPr="00E9644F">
        <w:rPr>
          <w:rFonts w:ascii="Times New Roman" w:hAnsi="Times New Roman" w:cs="Times New Roman"/>
          <w:sz w:val="24"/>
          <w:szCs w:val="24"/>
        </w:rPr>
        <w:lastRenderedPageBreak/>
        <w:t>Pagaza and Paga [MR = 95% – 9</w:t>
      </w:r>
      <w:r w:rsidR="00A659A1" w:rsidRPr="00E9644F">
        <w:rPr>
          <w:rFonts w:ascii="Times New Roman" w:hAnsi="Times New Roman" w:cs="Times New Roman"/>
          <w:sz w:val="24"/>
          <w:szCs w:val="24"/>
        </w:rPr>
        <w:t>6.5</w:t>
      </w:r>
      <w:r w:rsidR="00A11FA9" w:rsidRPr="00E9644F">
        <w:rPr>
          <w:rFonts w:ascii="Times New Roman" w:hAnsi="Times New Roman" w:cs="Times New Roman"/>
          <w:sz w:val="24"/>
          <w:szCs w:val="24"/>
        </w:rPr>
        <w:t>%].</w:t>
      </w:r>
      <w:r w:rsidR="009F6B8D" w:rsidRPr="00E9644F">
        <w:rPr>
          <w:rFonts w:ascii="Times New Roman" w:hAnsi="Times New Roman" w:cs="Times New Roman"/>
          <w:sz w:val="24"/>
          <w:szCs w:val="24"/>
        </w:rPr>
        <w:t xml:space="preserve"> </w:t>
      </w:r>
      <w:r w:rsidR="009F6B8D" w:rsidRPr="00E9644F">
        <w:rPr>
          <w:rFonts w:ascii="Times New Roman" w:hAnsi="Times New Roman" w:cs="Times New Roman"/>
          <w:i/>
          <w:iCs/>
          <w:sz w:val="24"/>
          <w:szCs w:val="24"/>
        </w:rPr>
        <w:t>Ae</w:t>
      </w:r>
      <w:r w:rsidR="009B6A1E" w:rsidRPr="00E9644F">
        <w:rPr>
          <w:rFonts w:ascii="Times New Roman" w:hAnsi="Times New Roman" w:cs="Times New Roman"/>
          <w:i/>
          <w:iCs/>
          <w:sz w:val="24"/>
          <w:szCs w:val="24"/>
        </w:rPr>
        <w:t xml:space="preserve">des </w:t>
      </w:r>
      <w:r w:rsidR="009F6B8D" w:rsidRPr="00E9644F">
        <w:rPr>
          <w:rFonts w:ascii="Times New Roman" w:hAnsi="Times New Roman" w:cs="Times New Roman"/>
          <w:i/>
          <w:iCs/>
          <w:sz w:val="24"/>
          <w:szCs w:val="24"/>
        </w:rPr>
        <w:t>aegy</w:t>
      </w:r>
      <w:r w:rsidR="009B6A1E" w:rsidRPr="00E9644F">
        <w:rPr>
          <w:rFonts w:ascii="Times New Roman" w:hAnsi="Times New Roman" w:cs="Times New Roman"/>
          <w:i/>
          <w:iCs/>
          <w:sz w:val="24"/>
          <w:szCs w:val="24"/>
        </w:rPr>
        <w:t>p</w:t>
      </w:r>
      <w:r w:rsidR="009F6B8D" w:rsidRPr="00E9644F">
        <w:rPr>
          <w:rFonts w:ascii="Times New Roman" w:hAnsi="Times New Roman" w:cs="Times New Roman"/>
          <w:i/>
          <w:iCs/>
          <w:sz w:val="24"/>
          <w:szCs w:val="24"/>
        </w:rPr>
        <w:t>ti</w:t>
      </w:r>
      <w:r w:rsidR="009F6B8D" w:rsidRPr="00E9644F">
        <w:rPr>
          <w:rFonts w:ascii="Times New Roman" w:hAnsi="Times New Roman" w:cs="Times New Roman"/>
          <w:sz w:val="24"/>
          <w:szCs w:val="24"/>
        </w:rPr>
        <w:t xml:space="preserve"> mosquitoes from Kpalsogu and Konongo </w:t>
      </w:r>
      <w:r w:rsidR="009B6A1E" w:rsidRPr="00E9644F">
        <w:rPr>
          <w:rFonts w:ascii="Times New Roman" w:hAnsi="Times New Roman" w:cs="Times New Roman"/>
          <w:sz w:val="24"/>
          <w:szCs w:val="24"/>
        </w:rPr>
        <w:t xml:space="preserve">were </w:t>
      </w:r>
      <w:r w:rsidR="009F6B8D" w:rsidRPr="00E9644F">
        <w:rPr>
          <w:rFonts w:ascii="Times New Roman" w:hAnsi="Times New Roman" w:cs="Times New Roman"/>
          <w:sz w:val="24"/>
          <w:szCs w:val="24"/>
        </w:rPr>
        <w:t>res</w:t>
      </w:r>
      <w:r w:rsidR="009B6A1E" w:rsidRPr="00E9644F">
        <w:rPr>
          <w:rFonts w:ascii="Times New Roman" w:hAnsi="Times New Roman" w:cs="Times New Roman"/>
          <w:sz w:val="24"/>
          <w:szCs w:val="24"/>
        </w:rPr>
        <w:t>i</w:t>
      </w:r>
      <w:r w:rsidR="009F6B8D" w:rsidRPr="00E9644F">
        <w:rPr>
          <w:rFonts w:ascii="Times New Roman" w:hAnsi="Times New Roman" w:cs="Times New Roman"/>
          <w:sz w:val="24"/>
          <w:szCs w:val="24"/>
        </w:rPr>
        <w:t>stant to pirimiphos-met</w:t>
      </w:r>
      <w:r w:rsidR="009B6A1E" w:rsidRPr="00E9644F">
        <w:rPr>
          <w:rFonts w:ascii="Times New Roman" w:hAnsi="Times New Roman" w:cs="Times New Roman"/>
          <w:sz w:val="24"/>
          <w:szCs w:val="24"/>
        </w:rPr>
        <w:t>h</w:t>
      </w:r>
      <w:r w:rsidR="009F6B8D" w:rsidRPr="00E9644F">
        <w:rPr>
          <w:rFonts w:ascii="Times New Roman" w:hAnsi="Times New Roman" w:cs="Times New Roman"/>
          <w:sz w:val="24"/>
          <w:szCs w:val="24"/>
        </w:rPr>
        <w:t>yl [MR = 31.7% – 63.75%], w</w:t>
      </w:r>
      <w:r w:rsidR="002B263E" w:rsidRPr="00E9644F">
        <w:rPr>
          <w:rFonts w:ascii="Times New Roman" w:hAnsi="Times New Roman" w:cs="Times New Roman"/>
          <w:sz w:val="24"/>
          <w:szCs w:val="24"/>
        </w:rPr>
        <w:t>hereas,</w:t>
      </w:r>
      <w:r w:rsidR="009F6B8D" w:rsidRPr="00E9644F">
        <w:rPr>
          <w:rFonts w:ascii="Times New Roman" w:hAnsi="Times New Roman" w:cs="Times New Roman"/>
          <w:sz w:val="24"/>
          <w:szCs w:val="24"/>
        </w:rPr>
        <w:t xml:space="preserve"> partial resistant was observed in Larabanga, Pagaza, Navrongo, Ada and Tema [MR = 92.5% – 97.5%]</w:t>
      </w:r>
      <w:r w:rsidR="005E3C1C" w:rsidRPr="00E9644F">
        <w:rPr>
          <w:rFonts w:ascii="Times New Roman" w:hAnsi="Times New Roman" w:cs="Times New Roman"/>
          <w:sz w:val="24"/>
          <w:szCs w:val="24"/>
        </w:rPr>
        <w:t xml:space="preserve">. </w:t>
      </w:r>
      <w:r w:rsidR="00372788" w:rsidRPr="00E9644F">
        <w:rPr>
          <w:rFonts w:ascii="Times New Roman" w:hAnsi="Times New Roman" w:cs="Times New Roman"/>
          <w:sz w:val="24"/>
          <w:szCs w:val="24"/>
        </w:rPr>
        <w:t>However</w:t>
      </w:r>
      <w:r w:rsidR="00C90F6A" w:rsidRPr="00E9644F">
        <w:rPr>
          <w:rFonts w:ascii="Times New Roman" w:hAnsi="Times New Roman" w:cs="Times New Roman"/>
          <w:sz w:val="24"/>
          <w:szCs w:val="24"/>
        </w:rPr>
        <w:t xml:space="preserve">, </w:t>
      </w:r>
      <w:r w:rsidR="00552EE7" w:rsidRPr="00E9644F">
        <w:rPr>
          <w:rFonts w:ascii="Times New Roman" w:hAnsi="Times New Roman" w:cs="Times New Roman"/>
          <w:i/>
          <w:iCs/>
          <w:sz w:val="24"/>
          <w:szCs w:val="24"/>
        </w:rPr>
        <w:t xml:space="preserve">Ae. aegypti </w:t>
      </w:r>
      <w:r w:rsidR="00552EE7" w:rsidRPr="00E9644F">
        <w:rPr>
          <w:rFonts w:ascii="Times New Roman" w:hAnsi="Times New Roman" w:cs="Times New Roman"/>
          <w:sz w:val="24"/>
          <w:szCs w:val="24"/>
        </w:rPr>
        <w:t xml:space="preserve">sampled from </w:t>
      </w:r>
      <w:r w:rsidR="005E3C1C" w:rsidRPr="00E9644F">
        <w:rPr>
          <w:rFonts w:ascii="Times New Roman" w:hAnsi="Times New Roman" w:cs="Times New Roman"/>
          <w:sz w:val="24"/>
          <w:szCs w:val="24"/>
        </w:rPr>
        <w:t>Paga,</w:t>
      </w:r>
      <w:r w:rsidR="009B6A1E" w:rsidRPr="00E9644F">
        <w:rPr>
          <w:rFonts w:ascii="Times New Roman" w:hAnsi="Times New Roman" w:cs="Times New Roman"/>
          <w:sz w:val="24"/>
          <w:szCs w:val="24"/>
        </w:rPr>
        <w:t xml:space="preserve"> </w:t>
      </w:r>
      <w:r w:rsidR="00552EE7" w:rsidRPr="00E9644F">
        <w:rPr>
          <w:rFonts w:ascii="Times New Roman" w:hAnsi="Times New Roman" w:cs="Times New Roman"/>
          <w:sz w:val="24"/>
          <w:szCs w:val="24"/>
        </w:rPr>
        <w:t xml:space="preserve">Takoradi </w:t>
      </w:r>
      <w:r w:rsidR="005E3C1C" w:rsidRPr="00E9644F">
        <w:rPr>
          <w:rFonts w:ascii="Times New Roman" w:hAnsi="Times New Roman" w:cs="Times New Roman"/>
          <w:sz w:val="24"/>
          <w:szCs w:val="24"/>
        </w:rPr>
        <w:t xml:space="preserve">and Accra </w:t>
      </w:r>
      <w:r w:rsidR="00552EE7" w:rsidRPr="00E9644F">
        <w:rPr>
          <w:rFonts w:ascii="Times New Roman" w:hAnsi="Times New Roman" w:cs="Times New Roman"/>
          <w:sz w:val="24"/>
          <w:szCs w:val="24"/>
        </w:rPr>
        <w:t>were susceptible to pirimiphos-met</w:t>
      </w:r>
      <w:r w:rsidR="009B6A1E" w:rsidRPr="00E9644F">
        <w:rPr>
          <w:rFonts w:ascii="Times New Roman" w:hAnsi="Times New Roman" w:cs="Times New Roman"/>
          <w:sz w:val="24"/>
          <w:szCs w:val="24"/>
        </w:rPr>
        <w:t>h</w:t>
      </w:r>
      <w:r w:rsidR="00552EE7" w:rsidRPr="00E9644F">
        <w:rPr>
          <w:rFonts w:ascii="Times New Roman" w:hAnsi="Times New Roman" w:cs="Times New Roman"/>
          <w:sz w:val="24"/>
          <w:szCs w:val="24"/>
        </w:rPr>
        <w:t xml:space="preserve">yl </w:t>
      </w:r>
      <w:r w:rsidR="00C90F6A" w:rsidRPr="00E9644F">
        <w:rPr>
          <w:rFonts w:ascii="Times New Roman" w:hAnsi="Times New Roman" w:cs="Times New Roman"/>
          <w:kern w:val="0"/>
          <w:sz w:val="24"/>
          <w:szCs w:val="24"/>
          <w14:ligatures w14:val="none"/>
        </w:rPr>
        <w:t xml:space="preserve">(Figure 1). </w:t>
      </w:r>
    </w:p>
    <w:p w14:paraId="79AA0750" w14:textId="77777777" w:rsidR="008158FB" w:rsidRPr="00E9644F" w:rsidRDefault="008158FB" w:rsidP="00B76860">
      <w:pPr>
        <w:spacing w:line="480" w:lineRule="auto"/>
        <w:jc w:val="both"/>
        <w:rPr>
          <w:rFonts w:ascii="Times New Roman" w:hAnsi="Times New Roman" w:cs="Times New Roman"/>
          <w:sz w:val="24"/>
          <w:szCs w:val="24"/>
        </w:rPr>
      </w:pPr>
    </w:p>
    <w:p w14:paraId="1B68CDD7" w14:textId="4513773C" w:rsidR="00BB02E6" w:rsidRPr="00E9644F" w:rsidRDefault="005735C5" w:rsidP="00EA19C7">
      <w:pPr>
        <w:spacing w:after="0" w:line="480" w:lineRule="auto"/>
        <w:jc w:val="both"/>
        <w:rPr>
          <w:rFonts w:ascii="Times New Roman" w:hAnsi="Times New Roman" w:cs="Times New Roman"/>
          <w:b/>
          <w:bCs/>
          <w:kern w:val="0"/>
          <w:sz w:val="24"/>
          <w:szCs w:val="24"/>
          <w14:ligatures w14:val="none"/>
        </w:rPr>
      </w:pPr>
      <w:r w:rsidRPr="00E9644F">
        <w:rPr>
          <w:noProof/>
        </w:rPr>
        <w:t xml:space="preserve"> </w:t>
      </w:r>
      <w:r w:rsidR="007D2DB9" w:rsidRPr="00E9644F">
        <w:rPr>
          <w:rFonts w:ascii="Times New Roman" w:hAnsi="Times New Roman" w:cs="Times New Roman"/>
          <w:b/>
          <w:bCs/>
          <w:sz w:val="24"/>
          <w:szCs w:val="24"/>
        </w:rPr>
        <w:t xml:space="preserve">Figure 1: </w:t>
      </w:r>
      <w:r w:rsidR="00E6322E" w:rsidRPr="00E9644F">
        <w:rPr>
          <w:rFonts w:ascii="Times New Roman" w:hAnsi="Times New Roman" w:cs="Times New Roman"/>
          <w:b/>
          <w:bCs/>
          <w:kern w:val="0"/>
          <w:sz w:val="24"/>
          <w:szCs w:val="24"/>
          <w14:ligatures w14:val="none"/>
        </w:rPr>
        <w:t xml:space="preserve">24-hr mortalities </w:t>
      </w:r>
      <w:r w:rsidR="008158FB" w:rsidRPr="00E9644F">
        <w:rPr>
          <w:rFonts w:ascii="Times New Roman" w:hAnsi="Times New Roman" w:cs="Times New Roman"/>
          <w:b/>
          <w:bCs/>
          <w:kern w:val="0"/>
          <w:sz w:val="24"/>
          <w:szCs w:val="24"/>
          <w14:ligatures w14:val="none"/>
        </w:rPr>
        <w:t xml:space="preserve">of </w:t>
      </w:r>
      <w:r w:rsidR="00E6322E" w:rsidRPr="00E9644F">
        <w:rPr>
          <w:rFonts w:ascii="Times New Roman" w:hAnsi="Times New Roman" w:cs="Times New Roman"/>
          <w:b/>
          <w:bCs/>
          <w:i/>
          <w:iCs/>
          <w:kern w:val="0"/>
          <w:sz w:val="24"/>
          <w:szCs w:val="24"/>
          <w14:ligatures w14:val="none"/>
        </w:rPr>
        <w:t>Aedes</w:t>
      </w:r>
      <w:r w:rsidR="00E6322E" w:rsidRPr="00E9644F">
        <w:rPr>
          <w:rFonts w:ascii="Times New Roman" w:hAnsi="Times New Roman" w:cs="Times New Roman"/>
          <w:b/>
          <w:bCs/>
          <w:kern w:val="0"/>
          <w:sz w:val="24"/>
          <w:szCs w:val="24"/>
          <w14:ligatures w14:val="none"/>
        </w:rPr>
        <w:t xml:space="preserve"> </w:t>
      </w:r>
      <w:r w:rsidR="008158FB" w:rsidRPr="00E9644F">
        <w:rPr>
          <w:rFonts w:ascii="Times New Roman" w:hAnsi="Times New Roman" w:cs="Times New Roman"/>
          <w:b/>
          <w:bCs/>
          <w:i/>
          <w:iCs/>
          <w:kern w:val="0"/>
          <w:sz w:val="24"/>
          <w:szCs w:val="24"/>
          <w14:ligatures w14:val="none"/>
        </w:rPr>
        <w:t>aeg</w:t>
      </w:r>
      <w:r w:rsidR="009B6A1E" w:rsidRPr="00E9644F">
        <w:rPr>
          <w:rFonts w:ascii="Times New Roman" w:hAnsi="Times New Roman" w:cs="Times New Roman"/>
          <w:b/>
          <w:bCs/>
          <w:i/>
          <w:iCs/>
          <w:kern w:val="0"/>
          <w:sz w:val="24"/>
          <w:szCs w:val="24"/>
          <w14:ligatures w14:val="none"/>
        </w:rPr>
        <w:t>y</w:t>
      </w:r>
      <w:r w:rsidR="008158FB" w:rsidRPr="00E9644F">
        <w:rPr>
          <w:rFonts w:ascii="Times New Roman" w:hAnsi="Times New Roman" w:cs="Times New Roman"/>
          <w:b/>
          <w:bCs/>
          <w:i/>
          <w:iCs/>
          <w:kern w:val="0"/>
          <w:sz w:val="24"/>
          <w:szCs w:val="24"/>
          <w14:ligatures w14:val="none"/>
        </w:rPr>
        <w:t>pti</w:t>
      </w:r>
      <w:r w:rsidR="008158FB" w:rsidRPr="00E9644F">
        <w:rPr>
          <w:rFonts w:ascii="Times New Roman" w:hAnsi="Times New Roman" w:cs="Times New Roman"/>
          <w:b/>
          <w:bCs/>
          <w:kern w:val="0"/>
          <w:sz w:val="24"/>
          <w:szCs w:val="24"/>
          <w14:ligatures w14:val="none"/>
        </w:rPr>
        <w:t xml:space="preserve"> </w:t>
      </w:r>
      <w:r w:rsidR="00E6322E" w:rsidRPr="00E9644F">
        <w:rPr>
          <w:rFonts w:ascii="Times New Roman" w:hAnsi="Times New Roman" w:cs="Times New Roman"/>
          <w:b/>
          <w:bCs/>
          <w:kern w:val="0"/>
          <w:sz w:val="24"/>
          <w:szCs w:val="24"/>
          <w14:ligatures w14:val="none"/>
        </w:rPr>
        <w:t>mosquitoes exposed to different insecticide classes</w:t>
      </w:r>
    </w:p>
    <w:p w14:paraId="1E169347" w14:textId="77777777" w:rsidR="006715F1" w:rsidRPr="00E9644F" w:rsidRDefault="006715F1" w:rsidP="006715F1">
      <w:pPr>
        <w:spacing w:after="0" w:line="360" w:lineRule="auto"/>
        <w:jc w:val="both"/>
        <w:rPr>
          <w:rFonts w:ascii="Times New Roman" w:hAnsi="Times New Roman" w:cs="Times New Roman"/>
          <w:b/>
          <w:bCs/>
          <w:kern w:val="0"/>
          <w:sz w:val="24"/>
          <w:szCs w:val="24"/>
          <w14:ligatures w14:val="none"/>
        </w:rPr>
      </w:pPr>
    </w:p>
    <w:p w14:paraId="6351ED3A" w14:textId="696E04D3" w:rsidR="006E4198" w:rsidRPr="00E9644F" w:rsidRDefault="006E4198" w:rsidP="006E4198">
      <w:pPr>
        <w:spacing w:line="480" w:lineRule="auto"/>
        <w:jc w:val="both"/>
        <w:rPr>
          <w:rFonts w:ascii="Times New Roman" w:hAnsi="Times New Roman" w:cs="Times New Roman"/>
          <w:sz w:val="24"/>
          <w:szCs w:val="24"/>
        </w:rPr>
      </w:pPr>
      <w:r w:rsidRPr="00E9644F">
        <w:rPr>
          <w:rFonts w:ascii="Times New Roman" w:hAnsi="Times New Roman" w:cs="Times New Roman"/>
          <w:i/>
          <w:iCs/>
          <w:kern w:val="0"/>
          <w:sz w:val="24"/>
          <w:szCs w:val="24"/>
          <w14:ligatures w14:val="none"/>
        </w:rPr>
        <w:t>Aedes vittatus</w:t>
      </w:r>
      <w:r w:rsidRPr="00E9644F">
        <w:rPr>
          <w:rFonts w:ascii="Times New Roman" w:hAnsi="Times New Roman" w:cs="Times New Roman"/>
          <w:kern w:val="0"/>
          <w:sz w:val="24"/>
          <w:szCs w:val="24"/>
          <w14:ligatures w14:val="none"/>
        </w:rPr>
        <w:t xml:space="preserve"> mosquitoes sampled from Tema were resistant to pyrethroids [MR =78.1% - 79.2%]. </w:t>
      </w:r>
      <w:r w:rsidRPr="00E9644F">
        <w:rPr>
          <w:rFonts w:ascii="Times New Roman" w:hAnsi="Times New Roman" w:cs="Times New Roman"/>
          <w:i/>
          <w:iCs/>
          <w:kern w:val="0"/>
          <w:sz w:val="24"/>
          <w:szCs w:val="24"/>
          <w14:ligatures w14:val="none"/>
        </w:rPr>
        <w:t>Ae. vittatus</w:t>
      </w:r>
      <w:r w:rsidRPr="00E9644F">
        <w:rPr>
          <w:rFonts w:ascii="Times New Roman" w:hAnsi="Times New Roman" w:cs="Times New Roman"/>
          <w:kern w:val="0"/>
          <w:sz w:val="24"/>
          <w:szCs w:val="24"/>
          <w14:ligatures w14:val="none"/>
        </w:rPr>
        <w:t xml:space="preserve"> sampled from Industrial area and Korle-Bu showed partial resistance to pyrethroids [MR = 91.25% - 97.5%]. </w:t>
      </w:r>
      <w:r w:rsidRPr="00E9644F">
        <w:rPr>
          <w:rFonts w:ascii="Times New Roman" w:hAnsi="Times New Roman" w:cs="Times New Roman"/>
          <w:i/>
          <w:iCs/>
          <w:kern w:val="0"/>
          <w:sz w:val="24"/>
          <w:szCs w:val="24"/>
          <w14:ligatures w14:val="none"/>
        </w:rPr>
        <w:t>Ae. albopictus</w:t>
      </w:r>
      <w:r w:rsidRPr="00E9644F">
        <w:rPr>
          <w:rFonts w:ascii="Times New Roman" w:hAnsi="Times New Roman" w:cs="Times New Roman"/>
          <w:kern w:val="0"/>
          <w:sz w:val="24"/>
          <w:szCs w:val="24"/>
          <w14:ligatures w14:val="none"/>
        </w:rPr>
        <w:t xml:space="preserve"> mosquitoes sampled </w:t>
      </w:r>
      <w:r w:rsidR="00FC3A7B" w:rsidRPr="00E9644F">
        <w:rPr>
          <w:rFonts w:ascii="Times New Roman" w:hAnsi="Times New Roman" w:cs="Times New Roman"/>
          <w:kern w:val="0"/>
          <w:sz w:val="24"/>
          <w:szCs w:val="24"/>
          <w14:ligatures w14:val="none"/>
        </w:rPr>
        <w:t xml:space="preserve">from Takoradi </w:t>
      </w:r>
      <w:r w:rsidRPr="00E9644F">
        <w:rPr>
          <w:rFonts w:ascii="Times New Roman" w:hAnsi="Times New Roman" w:cs="Times New Roman"/>
          <w:kern w:val="0"/>
          <w:sz w:val="24"/>
          <w:szCs w:val="24"/>
          <w14:ligatures w14:val="none"/>
        </w:rPr>
        <w:t>were susceptible to all insecticides tested (Figure 2).</w:t>
      </w:r>
      <w:r w:rsidR="00FC3A7B" w:rsidRPr="00E9644F">
        <w:rPr>
          <w:rFonts w:ascii="Times New Roman" w:hAnsi="Times New Roman" w:cs="Times New Roman"/>
          <w:kern w:val="0"/>
          <w:sz w:val="24"/>
          <w:szCs w:val="24"/>
          <w14:ligatures w14:val="none"/>
        </w:rPr>
        <w:t xml:space="preserve"> Resistance to </w:t>
      </w:r>
      <w:r w:rsidR="00FC3A7B" w:rsidRPr="00E9644F">
        <w:rPr>
          <w:rFonts w:ascii="Times New Roman" w:hAnsi="Times New Roman" w:cs="Times New Roman"/>
          <w:i/>
          <w:iCs/>
          <w:kern w:val="0"/>
          <w:sz w:val="24"/>
          <w:szCs w:val="24"/>
          <w14:ligatures w14:val="none"/>
        </w:rPr>
        <w:t>Ae. albopictus</w:t>
      </w:r>
      <w:r w:rsidR="00FC3A7B" w:rsidRPr="00E9644F">
        <w:rPr>
          <w:rFonts w:ascii="Times New Roman" w:hAnsi="Times New Roman" w:cs="Times New Roman"/>
          <w:kern w:val="0"/>
          <w:sz w:val="24"/>
          <w:szCs w:val="24"/>
          <w14:ligatures w14:val="none"/>
        </w:rPr>
        <w:t xml:space="preserve"> was </w:t>
      </w:r>
      <w:r w:rsidR="00C43CAD" w:rsidRPr="00E9644F">
        <w:rPr>
          <w:rFonts w:ascii="Times New Roman" w:hAnsi="Times New Roman" w:cs="Times New Roman"/>
          <w:kern w:val="0"/>
          <w:sz w:val="24"/>
          <w:szCs w:val="24"/>
          <w14:ligatures w14:val="none"/>
        </w:rPr>
        <w:t xml:space="preserve">only done in Takoradi. </w:t>
      </w:r>
      <w:r w:rsidR="00C43CAD" w:rsidRPr="00E9644F">
        <w:rPr>
          <w:rFonts w:ascii="Times New Roman" w:hAnsi="Times New Roman" w:cs="Times New Roman"/>
          <w:i/>
          <w:iCs/>
          <w:kern w:val="0"/>
          <w:sz w:val="24"/>
          <w:szCs w:val="24"/>
          <w14:ligatures w14:val="none"/>
        </w:rPr>
        <w:t>Ae. albopictus</w:t>
      </w:r>
      <w:r w:rsidR="00C43CAD" w:rsidRPr="00E9644F">
        <w:rPr>
          <w:rFonts w:ascii="Times New Roman" w:hAnsi="Times New Roman" w:cs="Times New Roman"/>
          <w:kern w:val="0"/>
          <w:sz w:val="24"/>
          <w:szCs w:val="24"/>
          <w14:ligatures w14:val="none"/>
        </w:rPr>
        <w:t xml:space="preserve"> larvae were not found </w:t>
      </w:r>
      <w:r w:rsidR="00E9644F" w:rsidRPr="00E9644F">
        <w:rPr>
          <w:rFonts w:ascii="Times New Roman" w:hAnsi="Times New Roman" w:cs="Times New Roman"/>
          <w:kern w:val="0"/>
          <w:sz w:val="24"/>
          <w:szCs w:val="24"/>
          <w14:ligatures w14:val="none"/>
        </w:rPr>
        <w:t xml:space="preserve">sufficiently </w:t>
      </w:r>
      <w:r w:rsidR="00C43CAD" w:rsidRPr="00E9644F">
        <w:rPr>
          <w:rFonts w:ascii="Times New Roman" w:hAnsi="Times New Roman" w:cs="Times New Roman"/>
          <w:kern w:val="0"/>
          <w:sz w:val="24"/>
          <w:szCs w:val="24"/>
          <w14:ligatures w14:val="none"/>
        </w:rPr>
        <w:t>in the other sites.</w:t>
      </w:r>
    </w:p>
    <w:p w14:paraId="5C48449A" w14:textId="77777777" w:rsidR="007704F8" w:rsidRPr="00E9644F" w:rsidRDefault="007704F8" w:rsidP="007704F8">
      <w:pPr>
        <w:spacing w:after="0" w:line="360" w:lineRule="auto"/>
        <w:jc w:val="both"/>
        <w:rPr>
          <w:rFonts w:ascii="Times New Roman" w:hAnsi="Times New Roman" w:cs="Times New Roman"/>
          <w:b/>
          <w:bCs/>
          <w:kern w:val="0"/>
          <w:sz w:val="20"/>
          <w:szCs w:val="20"/>
          <w14:ligatures w14:val="none"/>
        </w:rPr>
      </w:pPr>
    </w:p>
    <w:p w14:paraId="2D237620" w14:textId="46C3A078" w:rsidR="003D1DC9" w:rsidRPr="00E9644F" w:rsidRDefault="003D1DC9" w:rsidP="003D1DC9">
      <w:pPr>
        <w:spacing w:line="360" w:lineRule="auto"/>
        <w:jc w:val="both"/>
        <w:rPr>
          <w:rFonts w:ascii="Times New Roman" w:hAnsi="Times New Roman" w:cs="Times New Roman"/>
          <w:b/>
          <w:bCs/>
          <w:kern w:val="0"/>
          <w14:ligatures w14:val="none"/>
        </w:rPr>
      </w:pPr>
      <w:r w:rsidRPr="00E9644F">
        <w:rPr>
          <w:rFonts w:ascii="Times New Roman" w:hAnsi="Times New Roman" w:cs="Times New Roman"/>
          <w:b/>
          <w:bCs/>
        </w:rPr>
        <w:t xml:space="preserve">Figure </w:t>
      </w:r>
      <w:r w:rsidR="002E59AD" w:rsidRPr="00E9644F">
        <w:rPr>
          <w:rFonts w:ascii="Times New Roman" w:hAnsi="Times New Roman" w:cs="Times New Roman"/>
          <w:b/>
          <w:bCs/>
        </w:rPr>
        <w:t>2</w:t>
      </w:r>
      <w:r w:rsidRPr="00E9644F">
        <w:rPr>
          <w:rFonts w:ascii="Times New Roman" w:hAnsi="Times New Roman" w:cs="Times New Roman"/>
          <w:b/>
          <w:bCs/>
        </w:rPr>
        <w:t xml:space="preserve">: </w:t>
      </w:r>
      <w:r w:rsidRPr="00E9644F">
        <w:rPr>
          <w:rFonts w:ascii="Times New Roman" w:hAnsi="Times New Roman" w:cs="Times New Roman"/>
          <w:b/>
          <w:bCs/>
          <w:kern w:val="0"/>
          <w14:ligatures w14:val="none"/>
        </w:rPr>
        <w:t xml:space="preserve">24-hr mortalities of </w:t>
      </w:r>
      <w:r w:rsidRPr="00E9644F">
        <w:rPr>
          <w:rFonts w:ascii="Times New Roman" w:hAnsi="Times New Roman" w:cs="Times New Roman"/>
          <w:b/>
          <w:bCs/>
          <w:i/>
          <w:iCs/>
          <w:kern w:val="0"/>
          <w14:ligatures w14:val="none"/>
        </w:rPr>
        <w:t>Aedes</w:t>
      </w:r>
      <w:r w:rsidRPr="00E9644F">
        <w:rPr>
          <w:rFonts w:ascii="Times New Roman" w:hAnsi="Times New Roman" w:cs="Times New Roman"/>
          <w:b/>
          <w:bCs/>
          <w:kern w:val="0"/>
          <w14:ligatures w14:val="none"/>
        </w:rPr>
        <w:t xml:space="preserve"> </w:t>
      </w:r>
      <w:r w:rsidR="00776D5D" w:rsidRPr="00E9644F">
        <w:rPr>
          <w:rFonts w:ascii="Times New Roman" w:hAnsi="Times New Roman" w:cs="Times New Roman"/>
          <w:b/>
          <w:bCs/>
          <w:i/>
          <w:iCs/>
          <w:kern w:val="0"/>
          <w14:ligatures w14:val="none"/>
        </w:rPr>
        <w:t>vittatus and Ae. albopictus</w:t>
      </w:r>
      <w:r w:rsidRPr="00E9644F">
        <w:rPr>
          <w:rFonts w:ascii="Times New Roman" w:hAnsi="Times New Roman" w:cs="Times New Roman"/>
          <w:b/>
          <w:bCs/>
          <w:kern w:val="0"/>
          <w14:ligatures w14:val="none"/>
        </w:rPr>
        <w:t xml:space="preserve"> exposed to different insecticide classes</w:t>
      </w:r>
    </w:p>
    <w:p w14:paraId="7556A1C9" w14:textId="77777777" w:rsidR="002B263E" w:rsidRPr="00E9644F" w:rsidRDefault="002B263E" w:rsidP="002B263E">
      <w:pPr>
        <w:spacing w:after="0" w:line="360" w:lineRule="auto"/>
        <w:jc w:val="both"/>
        <w:rPr>
          <w:rFonts w:ascii="Times New Roman" w:hAnsi="Times New Roman" w:cs="Times New Roman"/>
          <w:b/>
          <w:bCs/>
          <w:kern w:val="0"/>
          <w14:ligatures w14:val="none"/>
        </w:rPr>
      </w:pPr>
    </w:p>
    <w:p w14:paraId="778AE79D" w14:textId="1ED16168" w:rsidR="007D2DB9" w:rsidRPr="00E9644F" w:rsidRDefault="007D2DB9" w:rsidP="00B76860">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 xml:space="preserve">Genotypic resistance of </w:t>
      </w:r>
      <w:r w:rsidRPr="00E9644F">
        <w:rPr>
          <w:rFonts w:ascii="Times New Roman" w:hAnsi="Times New Roman" w:cs="Times New Roman"/>
          <w:b/>
          <w:bCs/>
          <w:i/>
          <w:iCs/>
          <w:sz w:val="24"/>
          <w:szCs w:val="24"/>
        </w:rPr>
        <w:t>Aedes</w:t>
      </w:r>
      <w:r w:rsidRPr="00E9644F">
        <w:rPr>
          <w:rFonts w:ascii="Times New Roman" w:hAnsi="Times New Roman" w:cs="Times New Roman"/>
          <w:b/>
          <w:bCs/>
          <w:sz w:val="24"/>
          <w:szCs w:val="24"/>
        </w:rPr>
        <w:t xml:space="preserve"> mosquitoes </w:t>
      </w:r>
      <w:r w:rsidR="00776D5D" w:rsidRPr="00E9644F">
        <w:rPr>
          <w:rFonts w:ascii="Times New Roman" w:hAnsi="Times New Roman" w:cs="Times New Roman"/>
          <w:b/>
          <w:bCs/>
          <w:sz w:val="24"/>
          <w:szCs w:val="24"/>
        </w:rPr>
        <w:t>in the study sites</w:t>
      </w:r>
      <w:r w:rsidR="00020CB1" w:rsidRPr="00E9644F">
        <w:rPr>
          <w:rFonts w:ascii="Times New Roman" w:hAnsi="Times New Roman" w:cs="Times New Roman"/>
          <w:b/>
          <w:bCs/>
          <w:sz w:val="24"/>
          <w:szCs w:val="24"/>
        </w:rPr>
        <w:t xml:space="preserve"> in Ghana</w:t>
      </w:r>
    </w:p>
    <w:p w14:paraId="442DC4BB" w14:textId="593BA40E" w:rsidR="002E4D22" w:rsidRPr="00E9644F" w:rsidRDefault="007D2DB9" w:rsidP="00F8327E">
      <w:pPr>
        <w:spacing w:after="0" w:line="480" w:lineRule="auto"/>
        <w:jc w:val="both"/>
        <w:rPr>
          <w:rFonts w:ascii="Times New Roman" w:eastAsia="Times New Roman" w:hAnsi="Times New Roman" w:cs="Times New Roman"/>
          <w:color w:val="000000"/>
          <w:kern w:val="0"/>
          <w:sz w:val="24"/>
          <w:szCs w:val="24"/>
          <w14:ligatures w14:val="none"/>
        </w:rPr>
      </w:pPr>
      <w:r w:rsidRPr="00E9644F">
        <w:rPr>
          <w:rFonts w:ascii="Times New Roman" w:hAnsi="Times New Roman" w:cs="Times New Roman"/>
          <w:sz w:val="24"/>
          <w:szCs w:val="24"/>
        </w:rPr>
        <w:t xml:space="preserve">A subset of </w:t>
      </w:r>
      <w:r w:rsidR="00A11ADC" w:rsidRPr="00E9644F">
        <w:rPr>
          <w:rFonts w:ascii="Times New Roman" w:hAnsi="Times New Roman" w:cs="Times New Roman"/>
          <w:sz w:val="24"/>
          <w:szCs w:val="24"/>
        </w:rPr>
        <w:t>887</w:t>
      </w:r>
      <w:r w:rsidR="00D8176F" w:rsidRPr="00E9644F">
        <w:rPr>
          <w:rFonts w:ascii="Times New Roman" w:hAnsi="Times New Roman" w:cs="Times New Roman"/>
          <w:sz w:val="24"/>
          <w:szCs w:val="24"/>
        </w:rPr>
        <w:t xml:space="preserve"> mosquitoes</w:t>
      </w:r>
      <w:r w:rsidR="002E4D22" w:rsidRPr="00E9644F">
        <w:rPr>
          <w:rFonts w:ascii="Times New Roman" w:hAnsi="Times New Roman" w:cs="Times New Roman"/>
          <w:sz w:val="24"/>
          <w:szCs w:val="24"/>
        </w:rPr>
        <w:t xml:space="preserve"> [</w:t>
      </w:r>
      <w:r w:rsidR="00A11ADC" w:rsidRPr="00E9644F">
        <w:rPr>
          <w:rFonts w:ascii="Times New Roman" w:hAnsi="Times New Roman" w:cs="Times New Roman"/>
          <w:sz w:val="24"/>
          <w:szCs w:val="24"/>
        </w:rPr>
        <w:t>689</w:t>
      </w:r>
      <w:r w:rsidRPr="00E9644F">
        <w:rPr>
          <w:rFonts w:ascii="Times New Roman" w:hAnsi="Times New Roman" w:cs="Times New Roman"/>
          <w:sz w:val="24"/>
          <w:szCs w:val="24"/>
        </w:rPr>
        <w:t xml:space="preserve"> </w:t>
      </w:r>
      <w:r w:rsidRPr="00E9644F">
        <w:rPr>
          <w:rFonts w:ascii="Times New Roman" w:hAnsi="Times New Roman" w:cs="Times New Roman"/>
          <w:i/>
          <w:iCs/>
          <w:sz w:val="24"/>
          <w:szCs w:val="24"/>
        </w:rPr>
        <w:t>Ae. aegypti</w:t>
      </w:r>
      <w:r w:rsidR="000F5FFC" w:rsidRPr="00E9644F">
        <w:rPr>
          <w:rFonts w:ascii="Times New Roman" w:hAnsi="Times New Roman" w:cs="Times New Roman"/>
          <w:sz w:val="24"/>
          <w:szCs w:val="24"/>
        </w:rPr>
        <w:t xml:space="preserve">, 114 </w:t>
      </w:r>
      <w:r w:rsidR="000F5FFC" w:rsidRPr="00E9644F">
        <w:rPr>
          <w:rFonts w:ascii="Times New Roman" w:hAnsi="Times New Roman" w:cs="Times New Roman"/>
          <w:i/>
          <w:iCs/>
          <w:sz w:val="24"/>
          <w:szCs w:val="24"/>
        </w:rPr>
        <w:t>Ae. albopictus</w:t>
      </w:r>
      <w:r w:rsidR="000F5FFC" w:rsidRPr="00E9644F">
        <w:rPr>
          <w:rFonts w:ascii="Times New Roman" w:hAnsi="Times New Roman" w:cs="Times New Roman"/>
          <w:sz w:val="24"/>
          <w:szCs w:val="24"/>
        </w:rPr>
        <w:t xml:space="preserve"> and 84 </w:t>
      </w:r>
      <w:r w:rsidR="000F5FFC" w:rsidRPr="00E9644F">
        <w:rPr>
          <w:rFonts w:ascii="Times New Roman" w:hAnsi="Times New Roman" w:cs="Times New Roman"/>
          <w:i/>
          <w:iCs/>
          <w:sz w:val="24"/>
          <w:szCs w:val="24"/>
        </w:rPr>
        <w:t>Ae. vit</w:t>
      </w:r>
      <w:r w:rsidR="00C420DF" w:rsidRPr="00E9644F">
        <w:rPr>
          <w:rFonts w:ascii="Times New Roman" w:hAnsi="Times New Roman" w:cs="Times New Roman"/>
          <w:i/>
          <w:iCs/>
          <w:sz w:val="24"/>
          <w:szCs w:val="24"/>
        </w:rPr>
        <w:t>t</w:t>
      </w:r>
      <w:r w:rsidR="000F5FFC" w:rsidRPr="00E9644F">
        <w:rPr>
          <w:rFonts w:ascii="Times New Roman" w:hAnsi="Times New Roman" w:cs="Times New Roman"/>
          <w:i/>
          <w:iCs/>
          <w:sz w:val="24"/>
          <w:szCs w:val="24"/>
        </w:rPr>
        <w:t>atus</w:t>
      </w:r>
      <w:r w:rsidR="002E4D22" w:rsidRPr="00E9644F">
        <w:rPr>
          <w:rFonts w:ascii="Times New Roman" w:hAnsi="Times New Roman" w:cs="Times New Roman"/>
          <w:sz w:val="24"/>
          <w:szCs w:val="24"/>
        </w:rPr>
        <w:t>]</w:t>
      </w:r>
      <w:r w:rsidR="000F5FFC" w:rsidRPr="00E9644F">
        <w:rPr>
          <w:rFonts w:ascii="Times New Roman" w:hAnsi="Times New Roman" w:cs="Times New Roman"/>
          <w:sz w:val="24"/>
          <w:szCs w:val="24"/>
        </w:rPr>
        <w:t xml:space="preserve"> </w:t>
      </w:r>
      <w:r w:rsidRPr="00E9644F">
        <w:rPr>
          <w:rFonts w:ascii="Times New Roman" w:hAnsi="Times New Roman" w:cs="Times New Roman"/>
          <w:sz w:val="24"/>
          <w:szCs w:val="24"/>
        </w:rPr>
        <w:t>obtained from the phenotypic assays were genotyped for the F1534C, V1016I and V410L kdr mutations</w:t>
      </w:r>
      <w:r w:rsidR="002E4D22" w:rsidRPr="00E9644F">
        <w:rPr>
          <w:rFonts w:ascii="Times New Roman" w:hAnsi="Times New Roman" w:cs="Times New Roman"/>
          <w:sz w:val="24"/>
          <w:szCs w:val="24"/>
        </w:rPr>
        <w:t xml:space="preserve">, </w:t>
      </w:r>
      <w:r w:rsidRPr="00E9644F">
        <w:rPr>
          <w:rFonts w:ascii="Times New Roman" w:hAnsi="Times New Roman" w:cs="Times New Roman"/>
          <w:sz w:val="24"/>
          <w:szCs w:val="24"/>
        </w:rPr>
        <w:t xml:space="preserve">Table </w:t>
      </w:r>
      <w:r w:rsidR="00A11ADC" w:rsidRPr="00E9644F">
        <w:rPr>
          <w:rFonts w:ascii="Times New Roman" w:hAnsi="Times New Roman" w:cs="Times New Roman"/>
          <w:sz w:val="24"/>
          <w:szCs w:val="24"/>
        </w:rPr>
        <w:t>1</w:t>
      </w:r>
      <w:r w:rsidRPr="00E9644F">
        <w:rPr>
          <w:rFonts w:ascii="Times New Roman" w:hAnsi="Times New Roman" w:cs="Times New Roman"/>
          <w:sz w:val="24"/>
          <w:szCs w:val="24"/>
        </w:rPr>
        <w:t xml:space="preserve">. </w:t>
      </w:r>
      <w:r w:rsidR="002E4D22" w:rsidRPr="00E9644F">
        <w:rPr>
          <w:rFonts w:ascii="Times New Roman" w:hAnsi="Times New Roman" w:cs="Times New Roman"/>
          <w:sz w:val="24"/>
          <w:szCs w:val="24"/>
        </w:rPr>
        <w:t xml:space="preserve">High allelic frequencies (F) of </w:t>
      </w:r>
      <w:r w:rsidRPr="00E9644F">
        <w:rPr>
          <w:rFonts w:ascii="Times New Roman" w:hAnsi="Times New Roman" w:cs="Times New Roman"/>
          <w:sz w:val="24"/>
          <w:szCs w:val="24"/>
        </w:rPr>
        <w:t xml:space="preserve">1534C kdr mutation </w:t>
      </w:r>
      <w:r w:rsidR="000F5FFC" w:rsidRPr="00E9644F">
        <w:rPr>
          <w:rFonts w:ascii="Times New Roman" w:hAnsi="Times New Roman" w:cs="Times New Roman"/>
          <w:sz w:val="24"/>
          <w:szCs w:val="24"/>
        </w:rPr>
        <w:t xml:space="preserve">in </w:t>
      </w:r>
      <w:r w:rsidR="002E4D22" w:rsidRPr="00E9644F">
        <w:rPr>
          <w:rFonts w:ascii="Times New Roman" w:hAnsi="Times New Roman" w:cs="Times New Roman"/>
          <w:sz w:val="24"/>
          <w:szCs w:val="24"/>
        </w:rPr>
        <w:t xml:space="preserve">pyrethroid-resistant </w:t>
      </w:r>
      <w:r w:rsidR="000F5FFC" w:rsidRPr="00E9644F">
        <w:rPr>
          <w:rFonts w:ascii="Times New Roman" w:hAnsi="Times New Roman" w:cs="Times New Roman"/>
          <w:i/>
          <w:iCs/>
          <w:sz w:val="24"/>
          <w:szCs w:val="24"/>
        </w:rPr>
        <w:t>Ae. aegypti</w:t>
      </w:r>
      <w:r w:rsidR="000F5FFC" w:rsidRPr="00E9644F">
        <w:rPr>
          <w:rFonts w:ascii="Times New Roman" w:hAnsi="Times New Roman" w:cs="Times New Roman"/>
          <w:sz w:val="24"/>
          <w:szCs w:val="24"/>
        </w:rPr>
        <w:t xml:space="preserve"> </w:t>
      </w:r>
      <w:r w:rsidRPr="00E9644F">
        <w:rPr>
          <w:rFonts w:ascii="Times New Roman" w:hAnsi="Times New Roman" w:cs="Times New Roman"/>
          <w:sz w:val="24"/>
          <w:szCs w:val="24"/>
        </w:rPr>
        <w:t xml:space="preserve">was detected </w:t>
      </w:r>
      <w:r w:rsidR="000F5FFC" w:rsidRPr="00E9644F">
        <w:rPr>
          <w:rFonts w:ascii="Times New Roman" w:eastAsia="Times New Roman" w:hAnsi="Times New Roman" w:cs="Times New Roman"/>
          <w:color w:val="000000"/>
          <w:kern w:val="0"/>
          <w:sz w:val="24"/>
          <w:szCs w:val="24"/>
          <w14:ligatures w14:val="none"/>
        </w:rPr>
        <w:t xml:space="preserve">in </w:t>
      </w:r>
      <w:r w:rsidR="006E4198" w:rsidRPr="00E9644F">
        <w:rPr>
          <w:rFonts w:ascii="Times New Roman" w:eastAsia="Times New Roman" w:hAnsi="Times New Roman" w:cs="Times New Roman"/>
          <w:color w:val="000000"/>
          <w:kern w:val="0"/>
          <w:sz w:val="24"/>
          <w:szCs w:val="24"/>
          <w14:ligatures w14:val="none"/>
        </w:rPr>
        <w:t>Ko</w:t>
      </w:r>
      <w:r w:rsidR="00604DCE" w:rsidRPr="00E9644F">
        <w:rPr>
          <w:rFonts w:ascii="Times New Roman" w:eastAsia="Times New Roman" w:hAnsi="Times New Roman" w:cs="Times New Roman"/>
          <w:color w:val="000000"/>
          <w:kern w:val="0"/>
          <w:sz w:val="24"/>
          <w:szCs w:val="24"/>
          <w14:ligatures w14:val="none"/>
        </w:rPr>
        <w:t>nongo</w:t>
      </w:r>
      <w:r w:rsidR="000F5FFC" w:rsidRPr="00E9644F">
        <w:rPr>
          <w:rFonts w:ascii="Times New Roman" w:eastAsia="Times New Roman" w:hAnsi="Times New Roman" w:cs="Times New Roman"/>
          <w:color w:val="000000"/>
          <w:kern w:val="0"/>
          <w:sz w:val="24"/>
          <w:szCs w:val="24"/>
          <w14:ligatures w14:val="none"/>
        </w:rPr>
        <w:t xml:space="preserve"> </w:t>
      </w:r>
      <w:r w:rsidR="002E4D22" w:rsidRPr="00E9644F">
        <w:rPr>
          <w:rFonts w:ascii="Times New Roman" w:eastAsia="Times New Roman" w:hAnsi="Times New Roman" w:cs="Times New Roman"/>
          <w:color w:val="000000"/>
          <w:kern w:val="0"/>
          <w:sz w:val="24"/>
          <w:szCs w:val="24"/>
          <w14:ligatures w14:val="none"/>
        </w:rPr>
        <w:t xml:space="preserve">[F = </w:t>
      </w:r>
      <w:r w:rsidR="00A36194" w:rsidRPr="00E9644F">
        <w:rPr>
          <w:rFonts w:ascii="Times New Roman" w:eastAsia="Times New Roman" w:hAnsi="Times New Roman" w:cs="Times New Roman"/>
          <w:color w:val="000000"/>
          <w:kern w:val="0"/>
          <w:sz w:val="24"/>
          <w:szCs w:val="24"/>
          <w14:ligatures w14:val="none"/>
        </w:rPr>
        <w:t>0</w:t>
      </w:r>
      <w:r w:rsidR="00604DCE" w:rsidRPr="00E9644F">
        <w:rPr>
          <w:rFonts w:ascii="Times New Roman" w:eastAsia="Times New Roman" w:hAnsi="Times New Roman" w:cs="Times New Roman"/>
          <w:color w:val="000000"/>
          <w:kern w:val="0"/>
          <w:sz w:val="24"/>
          <w:szCs w:val="24"/>
          <w14:ligatures w14:val="none"/>
        </w:rPr>
        <w:t>.</w:t>
      </w:r>
      <w:r w:rsidR="00A36194" w:rsidRPr="00E9644F">
        <w:rPr>
          <w:rFonts w:ascii="Times New Roman" w:eastAsia="Times New Roman" w:hAnsi="Times New Roman" w:cs="Times New Roman"/>
          <w:color w:val="000000"/>
          <w:kern w:val="0"/>
          <w:sz w:val="24"/>
          <w:szCs w:val="24"/>
          <w14:ligatures w14:val="none"/>
        </w:rPr>
        <w:t>97</w:t>
      </w:r>
      <w:r w:rsidR="002E4D22" w:rsidRPr="00E9644F">
        <w:rPr>
          <w:rFonts w:ascii="Times New Roman" w:eastAsia="Times New Roman" w:hAnsi="Times New Roman" w:cs="Times New Roman"/>
          <w:color w:val="000000"/>
          <w:kern w:val="0"/>
          <w:sz w:val="24"/>
          <w:szCs w:val="24"/>
          <w14:ligatures w14:val="none"/>
        </w:rPr>
        <w:t>]</w:t>
      </w:r>
      <w:r w:rsidR="00A36194" w:rsidRPr="00E9644F">
        <w:rPr>
          <w:rFonts w:ascii="Times New Roman" w:eastAsia="Times New Roman" w:hAnsi="Times New Roman" w:cs="Times New Roman"/>
          <w:color w:val="000000"/>
          <w:kern w:val="0"/>
          <w:sz w:val="24"/>
          <w:szCs w:val="24"/>
          <w14:ligatures w14:val="none"/>
        </w:rPr>
        <w:t xml:space="preserve"> and</w:t>
      </w:r>
      <w:r w:rsidR="000F5FFC" w:rsidRPr="00E9644F">
        <w:rPr>
          <w:rFonts w:ascii="Times New Roman" w:eastAsia="Times New Roman" w:hAnsi="Times New Roman" w:cs="Times New Roman"/>
          <w:color w:val="000000"/>
          <w:kern w:val="0"/>
          <w:sz w:val="24"/>
          <w:szCs w:val="24"/>
          <w14:ligatures w14:val="none"/>
        </w:rPr>
        <w:t xml:space="preserve"> </w:t>
      </w:r>
      <w:r w:rsidR="00604DCE" w:rsidRPr="00E9644F">
        <w:rPr>
          <w:rFonts w:ascii="Times New Roman" w:eastAsia="Times New Roman" w:hAnsi="Times New Roman" w:cs="Times New Roman"/>
          <w:color w:val="000000"/>
          <w:kern w:val="0"/>
          <w:sz w:val="24"/>
          <w:szCs w:val="24"/>
          <w14:ligatures w14:val="none"/>
        </w:rPr>
        <w:t xml:space="preserve">Navrongo [F = 0.97], Ada [F = 0.96], Tema [F = 0.93], Wench [F = 0.90], </w:t>
      </w:r>
      <w:r w:rsidR="00D54FA1" w:rsidRPr="00E9644F">
        <w:rPr>
          <w:rFonts w:ascii="Times New Roman" w:eastAsia="Times New Roman" w:hAnsi="Times New Roman" w:cs="Times New Roman"/>
          <w:color w:val="000000"/>
          <w:kern w:val="0"/>
          <w:sz w:val="24"/>
          <w:szCs w:val="24"/>
          <w14:ligatures w14:val="none"/>
        </w:rPr>
        <w:t xml:space="preserve">Accra [F = 0.88], </w:t>
      </w:r>
      <w:r w:rsidR="00566FAC" w:rsidRPr="00E9644F">
        <w:rPr>
          <w:rFonts w:ascii="Times New Roman" w:eastAsia="Times New Roman" w:hAnsi="Times New Roman" w:cs="Times New Roman"/>
          <w:color w:val="000000"/>
          <w:kern w:val="0"/>
          <w:sz w:val="24"/>
          <w:szCs w:val="24"/>
          <w14:ligatures w14:val="none"/>
        </w:rPr>
        <w:t xml:space="preserve">and </w:t>
      </w:r>
      <w:r w:rsidR="000F5FFC" w:rsidRPr="00E9644F">
        <w:rPr>
          <w:rFonts w:ascii="Times New Roman" w:eastAsia="Times New Roman" w:hAnsi="Times New Roman" w:cs="Times New Roman"/>
          <w:color w:val="000000"/>
          <w:kern w:val="0"/>
          <w:sz w:val="24"/>
          <w:szCs w:val="24"/>
          <w14:ligatures w14:val="none"/>
        </w:rPr>
        <w:t>Takoradi</w:t>
      </w:r>
      <w:r w:rsidR="002E4D22" w:rsidRPr="00E9644F">
        <w:rPr>
          <w:rFonts w:ascii="Times New Roman" w:eastAsia="Times New Roman" w:hAnsi="Times New Roman" w:cs="Times New Roman"/>
          <w:color w:val="000000"/>
          <w:kern w:val="0"/>
          <w:sz w:val="24"/>
          <w:szCs w:val="24"/>
          <w14:ligatures w14:val="none"/>
        </w:rPr>
        <w:t xml:space="preserve"> [F = 0.72]</w:t>
      </w:r>
      <w:r w:rsidRPr="00E9644F">
        <w:rPr>
          <w:rFonts w:ascii="Times New Roman" w:hAnsi="Times New Roman" w:cs="Times New Roman"/>
          <w:sz w:val="24"/>
          <w:szCs w:val="24"/>
        </w:rPr>
        <w:t>.</w:t>
      </w:r>
      <w:r w:rsidR="000F5FFC" w:rsidRPr="00E9644F">
        <w:rPr>
          <w:rFonts w:ascii="Times New Roman" w:hAnsi="Times New Roman" w:cs="Times New Roman"/>
          <w:sz w:val="24"/>
          <w:szCs w:val="24"/>
        </w:rPr>
        <w:t xml:space="preserve"> </w:t>
      </w:r>
      <w:r w:rsidR="002E4D22" w:rsidRPr="00E9644F">
        <w:rPr>
          <w:rFonts w:ascii="Times New Roman" w:hAnsi="Times New Roman" w:cs="Times New Roman"/>
          <w:sz w:val="24"/>
          <w:szCs w:val="24"/>
        </w:rPr>
        <w:t xml:space="preserve">However, low frequencies of </w:t>
      </w:r>
      <w:r w:rsidR="000F5FFC" w:rsidRPr="00E9644F">
        <w:rPr>
          <w:rFonts w:ascii="Times New Roman" w:hAnsi="Times New Roman" w:cs="Times New Roman"/>
          <w:sz w:val="24"/>
          <w:szCs w:val="24"/>
        </w:rPr>
        <w:t xml:space="preserve">1534C kdr mutation </w:t>
      </w:r>
      <w:r w:rsidR="002E4D22" w:rsidRPr="00E9644F">
        <w:rPr>
          <w:rFonts w:ascii="Times New Roman" w:hAnsi="Times New Roman" w:cs="Times New Roman"/>
          <w:sz w:val="24"/>
          <w:szCs w:val="24"/>
        </w:rPr>
        <w:t>was observed</w:t>
      </w:r>
      <w:r w:rsidR="000F5FFC" w:rsidRPr="00E9644F">
        <w:rPr>
          <w:rFonts w:ascii="Times New Roman" w:hAnsi="Times New Roman" w:cs="Times New Roman"/>
          <w:sz w:val="24"/>
          <w:szCs w:val="24"/>
        </w:rPr>
        <w:t xml:space="preserve"> in </w:t>
      </w:r>
      <w:r w:rsidR="000F5FFC" w:rsidRPr="00E9644F">
        <w:rPr>
          <w:rFonts w:ascii="Times New Roman" w:hAnsi="Times New Roman" w:cs="Times New Roman"/>
          <w:i/>
          <w:iCs/>
          <w:sz w:val="24"/>
          <w:szCs w:val="24"/>
        </w:rPr>
        <w:t>Ae. albopictus</w:t>
      </w:r>
      <w:r w:rsidR="000F5FFC" w:rsidRPr="00E9644F">
        <w:rPr>
          <w:rFonts w:ascii="Times New Roman" w:hAnsi="Times New Roman" w:cs="Times New Roman"/>
          <w:sz w:val="24"/>
          <w:szCs w:val="24"/>
        </w:rPr>
        <w:t xml:space="preserve"> </w:t>
      </w:r>
      <w:r w:rsidR="002E4D22" w:rsidRPr="00E9644F">
        <w:rPr>
          <w:rFonts w:ascii="Times New Roman" w:hAnsi="Times New Roman" w:cs="Times New Roman"/>
          <w:sz w:val="24"/>
          <w:szCs w:val="24"/>
        </w:rPr>
        <w:t xml:space="preserve">[F = </w:t>
      </w:r>
      <w:r w:rsidR="000F5FFC" w:rsidRPr="00E9644F">
        <w:rPr>
          <w:rFonts w:ascii="Times New Roman" w:eastAsia="Times New Roman" w:hAnsi="Times New Roman" w:cs="Times New Roman"/>
          <w:color w:val="000000"/>
          <w:kern w:val="0"/>
          <w:sz w:val="24"/>
          <w:szCs w:val="24"/>
          <w14:ligatures w14:val="none"/>
        </w:rPr>
        <w:t>0.346</w:t>
      </w:r>
      <w:r w:rsidR="002E4D22" w:rsidRPr="00E9644F">
        <w:rPr>
          <w:rFonts w:ascii="Times New Roman" w:eastAsia="Times New Roman" w:hAnsi="Times New Roman" w:cs="Times New Roman"/>
          <w:color w:val="000000"/>
          <w:kern w:val="0"/>
          <w:sz w:val="24"/>
          <w:szCs w:val="24"/>
          <w14:ligatures w14:val="none"/>
        </w:rPr>
        <w:t>]</w:t>
      </w:r>
      <w:r w:rsidR="000F5FFC" w:rsidRPr="00E9644F">
        <w:rPr>
          <w:rFonts w:ascii="Times New Roman" w:eastAsia="Times New Roman" w:hAnsi="Times New Roman" w:cs="Times New Roman"/>
          <w:color w:val="000000"/>
          <w:kern w:val="0"/>
          <w:sz w:val="24"/>
          <w:szCs w:val="24"/>
          <w14:ligatures w14:val="none"/>
        </w:rPr>
        <w:t xml:space="preserve">. </w:t>
      </w:r>
    </w:p>
    <w:p w14:paraId="0988FFF6" w14:textId="1F1C8982" w:rsidR="002E59AD" w:rsidRPr="00E9644F" w:rsidRDefault="00A67D2A" w:rsidP="005D7C18">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lastRenderedPageBreak/>
        <w:t xml:space="preserve">The 1534C kdr mutation frequency in </w:t>
      </w:r>
      <w:r w:rsidRPr="00E9644F">
        <w:rPr>
          <w:rFonts w:ascii="Times New Roman" w:hAnsi="Times New Roman" w:cs="Times New Roman"/>
          <w:i/>
          <w:iCs/>
          <w:sz w:val="24"/>
          <w:szCs w:val="24"/>
        </w:rPr>
        <w:t>Ae. vit</w:t>
      </w:r>
      <w:r w:rsidR="00C420DF" w:rsidRPr="00E9644F">
        <w:rPr>
          <w:rFonts w:ascii="Times New Roman" w:hAnsi="Times New Roman" w:cs="Times New Roman"/>
          <w:i/>
          <w:iCs/>
          <w:sz w:val="24"/>
          <w:szCs w:val="24"/>
        </w:rPr>
        <w:t>t</w:t>
      </w:r>
      <w:r w:rsidRPr="00E9644F">
        <w:rPr>
          <w:rFonts w:ascii="Times New Roman" w:hAnsi="Times New Roman" w:cs="Times New Roman"/>
          <w:i/>
          <w:iCs/>
          <w:sz w:val="24"/>
          <w:szCs w:val="24"/>
        </w:rPr>
        <w:t>atus</w:t>
      </w:r>
      <w:r w:rsidRPr="00E9644F">
        <w:rPr>
          <w:rFonts w:ascii="Times New Roman" w:hAnsi="Times New Roman" w:cs="Times New Roman"/>
          <w:sz w:val="24"/>
          <w:szCs w:val="24"/>
        </w:rPr>
        <w:t xml:space="preserve"> was </w:t>
      </w:r>
      <w:r w:rsidRPr="00E9644F">
        <w:rPr>
          <w:rFonts w:ascii="Times New Roman" w:eastAsia="Times New Roman" w:hAnsi="Times New Roman" w:cs="Times New Roman"/>
          <w:color w:val="000000"/>
          <w:kern w:val="0"/>
          <w:sz w:val="24"/>
          <w:szCs w:val="24"/>
          <w14:ligatures w14:val="none"/>
        </w:rPr>
        <w:t>0.3</w:t>
      </w:r>
      <w:r w:rsidR="00566FAC" w:rsidRPr="00E9644F">
        <w:rPr>
          <w:rFonts w:ascii="Times New Roman" w:eastAsia="Times New Roman" w:hAnsi="Times New Roman" w:cs="Times New Roman"/>
          <w:color w:val="000000"/>
          <w:kern w:val="0"/>
          <w:sz w:val="24"/>
          <w:szCs w:val="24"/>
          <w14:ligatures w14:val="none"/>
        </w:rPr>
        <w:t>2</w:t>
      </w:r>
      <w:r w:rsidRPr="00E9644F">
        <w:rPr>
          <w:rFonts w:ascii="Times New Roman" w:eastAsia="Times New Roman" w:hAnsi="Times New Roman" w:cs="Times New Roman"/>
          <w:color w:val="000000"/>
          <w:kern w:val="0"/>
          <w:sz w:val="24"/>
          <w:szCs w:val="24"/>
          <w14:ligatures w14:val="none"/>
        </w:rPr>
        <w:t xml:space="preserve"> in Korle</w:t>
      </w:r>
      <w:r w:rsidR="006E4198" w:rsidRPr="00E9644F">
        <w:rPr>
          <w:rFonts w:ascii="Times New Roman" w:eastAsia="Times New Roman" w:hAnsi="Times New Roman" w:cs="Times New Roman"/>
          <w:color w:val="000000"/>
          <w:kern w:val="0"/>
          <w:sz w:val="24"/>
          <w:szCs w:val="24"/>
          <w14:ligatures w14:val="none"/>
        </w:rPr>
        <w:t>-</w:t>
      </w:r>
      <w:r w:rsidRPr="00E9644F">
        <w:rPr>
          <w:rFonts w:ascii="Times New Roman" w:eastAsia="Times New Roman" w:hAnsi="Times New Roman" w:cs="Times New Roman"/>
          <w:color w:val="000000"/>
          <w:kern w:val="0"/>
          <w:sz w:val="24"/>
          <w:szCs w:val="24"/>
          <w14:ligatures w14:val="none"/>
        </w:rPr>
        <w:t xml:space="preserve">Bu and 0.05 in </w:t>
      </w:r>
      <w:r w:rsidR="00566FAC" w:rsidRPr="00E9644F">
        <w:rPr>
          <w:rFonts w:ascii="Times New Roman" w:eastAsia="Times New Roman" w:hAnsi="Times New Roman" w:cs="Times New Roman"/>
          <w:color w:val="000000"/>
          <w:kern w:val="0"/>
          <w:sz w:val="24"/>
          <w:szCs w:val="24"/>
          <w14:ligatures w14:val="none"/>
        </w:rPr>
        <w:t>Accra</w:t>
      </w:r>
      <w:r w:rsidRPr="00E9644F">
        <w:rPr>
          <w:rFonts w:ascii="Times New Roman" w:eastAsia="Times New Roman" w:hAnsi="Times New Roman" w:cs="Times New Roman"/>
          <w:color w:val="000000"/>
          <w:kern w:val="0"/>
          <w:sz w:val="24"/>
          <w:szCs w:val="24"/>
          <w14:ligatures w14:val="none"/>
        </w:rPr>
        <w:t>.</w:t>
      </w:r>
      <w:r w:rsidRPr="00E9644F">
        <w:rPr>
          <w:rFonts w:ascii="Times New Roman" w:hAnsi="Times New Roman" w:cs="Times New Roman"/>
          <w:sz w:val="24"/>
          <w:szCs w:val="24"/>
        </w:rPr>
        <w:t xml:space="preserve"> </w:t>
      </w:r>
      <w:r w:rsidR="007D2DB9" w:rsidRPr="00E9644F">
        <w:rPr>
          <w:rFonts w:ascii="Times New Roman" w:hAnsi="Times New Roman" w:cs="Times New Roman"/>
          <w:sz w:val="24"/>
          <w:szCs w:val="24"/>
        </w:rPr>
        <w:t xml:space="preserve">The V1016L mutation was also detected in </w:t>
      </w:r>
      <w:r w:rsidR="002E4D22" w:rsidRPr="00E9644F">
        <w:rPr>
          <w:rFonts w:ascii="Times New Roman" w:hAnsi="Times New Roman" w:cs="Times New Roman"/>
          <w:sz w:val="24"/>
          <w:szCs w:val="24"/>
        </w:rPr>
        <w:t xml:space="preserve">all species at </w:t>
      </w:r>
      <w:r w:rsidR="007D2DB9" w:rsidRPr="00E9644F">
        <w:rPr>
          <w:rFonts w:ascii="Times New Roman" w:hAnsi="Times New Roman" w:cs="Times New Roman"/>
          <w:sz w:val="24"/>
          <w:szCs w:val="24"/>
        </w:rPr>
        <w:t>all the sites with allelic frequencies ranging from 0.</w:t>
      </w:r>
      <w:r w:rsidR="000F5FFC" w:rsidRPr="00E9644F">
        <w:rPr>
          <w:rFonts w:ascii="Times New Roman" w:hAnsi="Times New Roman" w:cs="Times New Roman"/>
          <w:sz w:val="24"/>
          <w:szCs w:val="24"/>
        </w:rPr>
        <w:t>0</w:t>
      </w:r>
      <w:r w:rsidR="00566FAC" w:rsidRPr="00E9644F">
        <w:rPr>
          <w:rFonts w:ascii="Times New Roman" w:hAnsi="Times New Roman" w:cs="Times New Roman"/>
          <w:sz w:val="24"/>
          <w:szCs w:val="24"/>
        </w:rPr>
        <w:t>2</w:t>
      </w:r>
      <w:r w:rsidR="007D2DB9" w:rsidRPr="00E9644F">
        <w:rPr>
          <w:rFonts w:ascii="Times New Roman" w:hAnsi="Times New Roman" w:cs="Times New Roman"/>
          <w:sz w:val="24"/>
          <w:szCs w:val="24"/>
        </w:rPr>
        <w:t xml:space="preserve"> to 0.</w:t>
      </w:r>
      <w:r w:rsidR="000F5FFC" w:rsidRPr="00E9644F">
        <w:rPr>
          <w:rFonts w:ascii="Times New Roman" w:hAnsi="Times New Roman" w:cs="Times New Roman"/>
          <w:sz w:val="24"/>
          <w:szCs w:val="24"/>
        </w:rPr>
        <w:t>8</w:t>
      </w:r>
      <w:r w:rsidR="00566FAC" w:rsidRPr="00E9644F">
        <w:rPr>
          <w:rFonts w:ascii="Times New Roman" w:hAnsi="Times New Roman" w:cs="Times New Roman"/>
          <w:sz w:val="24"/>
          <w:szCs w:val="24"/>
        </w:rPr>
        <w:t>0</w:t>
      </w:r>
      <w:r w:rsidR="007D2DB9" w:rsidRPr="00E9644F">
        <w:rPr>
          <w:rFonts w:ascii="Times New Roman" w:hAnsi="Times New Roman" w:cs="Times New Roman"/>
          <w:sz w:val="24"/>
          <w:szCs w:val="24"/>
        </w:rPr>
        <w:t>.</w:t>
      </w:r>
      <w:r w:rsidR="000F5FFC" w:rsidRPr="00E9644F">
        <w:rPr>
          <w:rFonts w:ascii="Times New Roman" w:hAnsi="Times New Roman" w:cs="Times New Roman"/>
          <w:sz w:val="24"/>
          <w:szCs w:val="24"/>
        </w:rPr>
        <w:t xml:space="preserve"> </w:t>
      </w:r>
      <w:r w:rsidRPr="00E9644F">
        <w:rPr>
          <w:rFonts w:ascii="Times New Roman" w:hAnsi="Times New Roman" w:cs="Times New Roman"/>
          <w:sz w:val="24"/>
          <w:szCs w:val="24"/>
        </w:rPr>
        <w:t>V410 mutation frequency was 0.</w:t>
      </w:r>
      <w:r w:rsidR="00566FAC" w:rsidRPr="00E9644F">
        <w:rPr>
          <w:rFonts w:ascii="Times New Roman" w:hAnsi="Times New Roman" w:cs="Times New Roman"/>
          <w:sz w:val="24"/>
          <w:szCs w:val="24"/>
        </w:rPr>
        <w:t>30</w:t>
      </w:r>
      <w:r w:rsidRPr="00E9644F">
        <w:rPr>
          <w:rFonts w:ascii="Times New Roman" w:hAnsi="Times New Roman" w:cs="Times New Roman"/>
          <w:sz w:val="24"/>
          <w:szCs w:val="24"/>
        </w:rPr>
        <w:t xml:space="preserve"> in </w:t>
      </w:r>
      <w:r w:rsidRPr="00E9644F">
        <w:rPr>
          <w:rFonts w:ascii="Times New Roman" w:hAnsi="Times New Roman" w:cs="Times New Roman"/>
          <w:i/>
          <w:iCs/>
          <w:sz w:val="24"/>
          <w:szCs w:val="24"/>
        </w:rPr>
        <w:t>Ae. aegypti</w:t>
      </w:r>
      <w:r w:rsidRPr="00E9644F">
        <w:rPr>
          <w:rFonts w:ascii="Times New Roman" w:hAnsi="Times New Roman" w:cs="Times New Roman"/>
          <w:sz w:val="24"/>
          <w:szCs w:val="24"/>
        </w:rPr>
        <w:t xml:space="preserve"> mosquitoes sampled in Takoradi and 0.</w:t>
      </w:r>
      <w:r w:rsidR="00566FAC" w:rsidRPr="00E9644F">
        <w:rPr>
          <w:rFonts w:ascii="Times New Roman" w:hAnsi="Times New Roman" w:cs="Times New Roman"/>
          <w:sz w:val="24"/>
          <w:szCs w:val="24"/>
        </w:rPr>
        <w:t>27</w:t>
      </w:r>
      <w:r w:rsidRPr="00E9644F">
        <w:rPr>
          <w:rFonts w:ascii="Times New Roman" w:hAnsi="Times New Roman" w:cs="Times New Roman"/>
          <w:sz w:val="24"/>
          <w:szCs w:val="24"/>
        </w:rPr>
        <w:t xml:space="preserve"> in </w:t>
      </w:r>
      <w:r w:rsidRPr="00E9644F">
        <w:rPr>
          <w:rFonts w:ascii="Times New Roman" w:hAnsi="Times New Roman" w:cs="Times New Roman"/>
          <w:i/>
          <w:iCs/>
          <w:sz w:val="24"/>
          <w:szCs w:val="24"/>
        </w:rPr>
        <w:t>Ae. albopictus</w:t>
      </w:r>
      <w:r w:rsidRPr="00E9644F">
        <w:rPr>
          <w:rFonts w:ascii="Times New Roman" w:hAnsi="Times New Roman" w:cs="Times New Roman"/>
          <w:sz w:val="24"/>
          <w:szCs w:val="24"/>
        </w:rPr>
        <w:t xml:space="preserve"> mosquitoes sampled from Takoradi</w:t>
      </w:r>
      <w:r w:rsidR="002E4D22" w:rsidRPr="00E9644F">
        <w:rPr>
          <w:rFonts w:ascii="Times New Roman" w:hAnsi="Times New Roman" w:cs="Times New Roman"/>
          <w:sz w:val="24"/>
          <w:szCs w:val="24"/>
        </w:rPr>
        <w:t>. Table 2</w:t>
      </w:r>
      <w:r w:rsidRPr="00E9644F">
        <w:rPr>
          <w:rFonts w:ascii="Times New Roman" w:hAnsi="Times New Roman" w:cs="Times New Roman"/>
          <w:sz w:val="24"/>
          <w:szCs w:val="24"/>
        </w:rPr>
        <w:t>.</w:t>
      </w:r>
    </w:p>
    <w:p w14:paraId="1B98B1C0" w14:textId="375753F4" w:rsidR="00D223CF" w:rsidRPr="00E9644F" w:rsidRDefault="00426CC2" w:rsidP="00055A2D">
      <w:pPr>
        <w:spacing w:line="36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 xml:space="preserve">Table </w:t>
      </w:r>
      <w:r w:rsidR="000E0B80" w:rsidRPr="00E9644F">
        <w:rPr>
          <w:rFonts w:ascii="Times New Roman" w:hAnsi="Times New Roman" w:cs="Times New Roman"/>
          <w:b/>
          <w:bCs/>
          <w:sz w:val="24"/>
          <w:szCs w:val="24"/>
        </w:rPr>
        <w:t>1</w:t>
      </w:r>
      <w:r w:rsidR="00F0068C" w:rsidRPr="00E9644F">
        <w:rPr>
          <w:rFonts w:ascii="Times New Roman" w:hAnsi="Times New Roman" w:cs="Times New Roman"/>
          <w:b/>
          <w:bCs/>
          <w:sz w:val="24"/>
          <w:szCs w:val="24"/>
        </w:rPr>
        <w:t xml:space="preserve">: Genotypes and frequencies of the F1534, V410, and V1016 mutations in the voltage-gated sodium channel gene of </w:t>
      </w:r>
      <w:r w:rsidR="00F0068C" w:rsidRPr="00E9644F">
        <w:rPr>
          <w:rFonts w:ascii="Times New Roman" w:hAnsi="Times New Roman" w:cs="Times New Roman"/>
          <w:b/>
          <w:bCs/>
          <w:i/>
          <w:iCs/>
          <w:sz w:val="24"/>
          <w:szCs w:val="24"/>
        </w:rPr>
        <w:t>Aedes</w:t>
      </w:r>
      <w:r w:rsidR="00F0068C" w:rsidRPr="00E9644F">
        <w:rPr>
          <w:rFonts w:ascii="Times New Roman" w:hAnsi="Times New Roman" w:cs="Times New Roman"/>
          <w:b/>
          <w:bCs/>
          <w:sz w:val="24"/>
          <w:szCs w:val="24"/>
        </w:rPr>
        <w:t xml:space="preserve"> mosquitoes</w:t>
      </w:r>
    </w:p>
    <w:tbl>
      <w:tblPr>
        <w:tblpPr w:leftFromText="180" w:rightFromText="180" w:vertAnchor="text" w:horzAnchor="margin" w:tblpXSpec="center" w:tblpY="-6"/>
        <w:tblW w:w="12068" w:type="dxa"/>
        <w:tblLook w:val="04A0" w:firstRow="1" w:lastRow="0" w:firstColumn="1" w:lastColumn="0" w:noHBand="0" w:noVBand="1"/>
      </w:tblPr>
      <w:tblGrid>
        <w:gridCol w:w="1161"/>
        <w:gridCol w:w="1161"/>
        <w:gridCol w:w="1989"/>
        <w:gridCol w:w="575"/>
        <w:gridCol w:w="884"/>
        <w:gridCol w:w="483"/>
        <w:gridCol w:w="483"/>
        <w:gridCol w:w="705"/>
        <w:gridCol w:w="515"/>
        <w:gridCol w:w="630"/>
        <w:gridCol w:w="551"/>
        <w:gridCol w:w="709"/>
        <w:gridCol w:w="483"/>
        <w:gridCol w:w="529"/>
        <w:gridCol w:w="505"/>
        <w:gridCol w:w="705"/>
      </w:tblGrid>
      <w:tr w:rsidR="007E77BD" w:rsidRPr="00E9644F" w14:paraId="0A3EF744" w14:textId="77777777" w:rsidTr="007E77BD">
        <w:trPr>
          <w:trHeight w:val="294"/>
        </w:trPr>
        <w:tc>
          <w:tcPr>
            <w:tcW w:w="1161" w:type="dxa"/>
            <w:tcBorders>
              <w:top w:val="single" w:sz="8" w:space="0" w:color="auto"/>
              <w:left w:val="nil"/>
              <w:bottom w:val="single" w:sz="8" w:space="0" w:color="000000"/>
              <w:right w:val="nil"/>
            </w:tcBorders>
          </w:tcPr>
          <w:p w14:paraId="5766726B" w14:textId="5907F6E6"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Ecozones</w:t>
            </w:r>
          </w:p>
        </w:tc>
        <w:tc>
          <w:tcPr>
            <w:tcW w:w="1161" w:type="dxa"/>
            <w:vMerge w:val="restart"/>
            <w:tcBorders>
              <w:top w:val="single" w:sz="8" w:space="0" w:color="auto"/>
              <w:left w:val="nil"/>
              <w:bottom w:val="single" w:sz="8" w:space="0" w:color="000000"/>
              <w:right w:val="nil"/>
            </w:tcBorders>
            <w:noWrap/>
            <w:vAlign w:val="center"/>
            <w:hideMark/>
          </w:tcPr>
          <w:p w14:paraId="386E528A" w14:textId="6E47E699"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Study Site</w:t>
            </w:r>
          </w:p>
        </w:tc>
        <w:tc>
          <w:tcPr>
            <w:tcW w:w="1989" w:type="dxa"/>
            <w:vMerge w:val="restart"/>
            <w:tcBorders>
              <w:top w:val="single" w:sz="8" w:space="0" w:color="auto"/>
              <w:left w:val="nil"/>
              <w:right w:val="nil"/>
            </w:tcBorders>
            <w:noWrap/>
            <w:vAlign w:val="center"/>
            <w:hideMark/>
          </w:tcPr>
          <w:p w14:paraId="7B61550A" w14:textId="6B9A852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 xml:space="preserve">     Species</w:t>
            </w:r>
          </w:p>
          <w:p w14:paraId="600869D3"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575" w:type="dxa"/>
            <w:vMerge w:val="restart"/>
            <w:tcBorders>
              <w:top w:val="single" w:sz="8" w:space="0" w:color="auto"/>
              <w:left w:val="nil"/>
              <w:bottom w:val="single" w:sz="8" w:space="0" w:color="000000"/>
              <w:right w:val="nil"/>
            </w:tcBorders>
            <w:noWrap/>
            <w:vAlign w:val="center"/>
            <w:hideMark/>
          </w:tcPr>
          <w:p w14:paraId="3DD0B3F8"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n</w:t>
            </w:r>
          </w:p>
        </w:tc>
        <w:tc>
          <w:tcPr>
            <w:tcW w:w="2555" w:type="dxa"/>
            <w:gridSpan w:val="4"/>
            <w:tcBorders>
              <w:top w:val="single" w:sz="8" w:space="0" w:color="auto"/>
              <w:left w:val="nil"/>
              <w:bottom w:val="single" w:sz="8" w:space="0" w:color="auto"/>
              <w:right w:val="nil"/>
            </w:tcBorders>
            <w:noWrap/>
            <w:vAlign w:val="center"/>
            <w:hideMark/>
          </w:tcPr>
          <w:p w14:paraId="0A9515A7"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F1534C</w:t>
            </w:r>
          </w:p>
        </w:tc>
        <w:tc>
          <w:tcPr>
            <w:tcW w:w="2405" w:type="dxa"/>
            <w:gridSpan w:val="4"/>
            <w:tcBorders>
              <w:top w:val="single" w:sz="8" w:space="0" w:color="auto"/>
              <w:left w:val="nil"/>
              <w:bottom w:val="single" w:sz="8" w:space="0" w:color="auto"/>
              <w:right w:val="nil"/>
            </w:tcBorders>
            <w:noWrap/>
            <w:vAlign w:val="center"/>
            <w:hideMark/>
          </w:tcPr>
          <w:p w14:paraId="146C5201"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V1016l</w:t>
            </w:r>
          </w:p>
        </w:tc>
        <w:tc>
          <w:tcPr>
            <w:tcW w:w="2222" w:type="dxa"/>
            <w:gridSpan w:val="4"/>
            <w:tcBorders>
              <w:top w:val="single" w:sz="8" w:space="0" w:color="auto"/>
              <w:left w:val="nil"/>
              <w:bottom w:val="single" w:sz="8" w:space="0" w:color="auto"/>
              <w:right w:val="nil"/>
            </w:tcBorders>
            <w:noWrap/>
            <w:vAlign w:val="center"/>
            <w:hideMark/>
          </w:tcPr>
          <w:p w14:paraId="1A92BBE5"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V410L</w:t>
            </w:r>
          </w:p>
        </w:tc>
      </w:tr>
      <w:tr w:rsidR="007E77BD" w:rsidRPr="00E9644F" w14:paraId="0CA14BB5" w14:textId="77777777" w:rsidTr="007E77BD">
        <w:trPr>
          <w:trHeight w:val="280"/>
        </w:trPr>
        <w:tc>
          <w:tcPr>
            <w:tcW w:w="1161" w:type="dxa"/>
            <w:tcBorders>
              <w:top w:val="single" w:sz="8" w:space="0" w:color="auto"/>
              <w:left w:val="nil"/>
              <w:bottom w:val="single" w:sz="8" w:space="0" w:color="000000"/>
              <w:right w:val="nil"/>
            </w:tcBorders>
          </w:tcPr>
          <w:p w14:paraId="0E4A2E1A" w14:textId="77777777" w:rsidR="007E77BD" w:rsidRPr="00E9644F" w:rsidRDefault="007E77BD" w:rsidP="002E59AD">
            <w:pPr>
              <w:spacing w:after="0" w:line="240" w:lineRule="auto"/>
              <w:rPr>
                <w:rFonts w:ascii="Times New Roman" w:eastAsia="Times New Roman" w:hAnsi="Times New Roman" w:cs="Times New Roman"/>
                <w:color w:val="000000"/>
                <w:kern w:val="0"/>
                <w:sz w:val="20"/>
                <w:szCs w:val="20"/>
                <w14:ligatures w14:val="none"/>
              </w:rPr>
            </w:pPr>
          </w:p>
        </w:tc>
        <w:tc>
          <w:tcPr>
            <w:tcW w:w="1161" w:type="dxa"/>
            <w:vMerge/>
            <w:tcBorders>
              <w:top w:val="single" w:sz="8" w:space="0" w:color="auto"/>
              <w:left w:val="nil"/>
              <w:bottom w:val="single" w:sz="8" w:space="0" w:color="000000"/>
              <w:right w:val="nil"/>
            </w:tcBorders>
            <w:vAlign w:val="center"/>
            <w:hideMark/>
          </w:tcPr>
          <w:p w14:paraId="2BEFF7E4" w14:textId="10405003" w:rsidR="007E77BD" w:rsidRPr="00E9644F" w:rsidRDefault="007E77BD" w:rsidP="002E59AD">
            <w:pPr>
              <w:spacing w:after="0" w:line="240" w:lineRule="auto"/>
              <w:rPr>
                <w:rFonts w:ascii="Times New Roman" w:eastAsia="Times New Roman" w:hAnsi="Times New Roman" w:cs="Times New Roman"/>
                <w:color w:val="000000"/>
                <w:kern w:val="0"/>
                <w:sz w:val="20"/>
                <w:szCs w:val="20"/>
                <w14:ligatures w14:val="none"/>
              </w:rPr>
            </w:pPr>
          </w:p>
        </w:tc>
        <w:tc>
          <w:tcPr>
            <w:tcW w:w="1989" w:type="dxa"/>
            <w:vMerge/>
            <w:tcBorders>
              <w:left w:val="nil"/>
              <w:right w:val="nil"/>
            </w:tcBorders>
            <w:vAlign w:val="center"/>
            <w:hideMark/>
          </w:tcPr>
          <w:p w14:paraId="30059FAD"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575" w:type="dxa"/>
            <w:vMerge/>
            <w:tcBorders>
              <w:top w:val="single" w:sz="8" w:space="0" w:color="auto"/>
              <w:left w:val="nil"/>
              <w:bottom w:val="single" w:sz="8" w:space="0" w:color="000000"/>
              <w:right w:val="nil"/>
            </w:tcBorders>
            <w:vAlign w:val="center"/>
            <w:hideMark/>
          </w:tcPr>
          <w:p w14:paraId="62CB6C03"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884" w:type="dxa"/>
            <w:vMerge w:val="restart"/>
            <w:tcBorders>
              <w:top w:val="nil"/>
              <w:left w:val="nil"/>
              <w:bottom w:val="single" w:sz="8" w:space="0" w:color="000000"/>
              <w:right w:val="nil"/>
            </w:tcBorders>
            <w:noWrap/>
            <w:vAlign w:val="center"/>
            <w:hideMark/>
          </w:tcPr>
          <w:p w14:paraId="30FBA9D3" w14:textId="73A70B8D"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CC</w:t>
            </w:r>
          </w:p>
        </w:tc>
        <w:tc>
          <w:tcPr>
            <w:tcW w:w="483" w:type="dxa"/>
            <w:vMerge w:val="restart"/>
            <w:tcBorders>
              <w:top w:val="nil"/>
              <w:left w:val="nil"/>
              <w:bottom w:val="single" w:sz="8" w:space="0" w:color="000000"/>
              <w:right w:val="nil"/>
            </w:tcBorders>
            <w:noWrap/>
            <w:vAlign w:val="center"/>
            <w:hideMark/>
          </w:tcPr>
          <w:p w14:paraId="41AECB5C" w14:textId="7C7862C1"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FC</w:t>
            </w:r>
          </w:p>
        </w:tc>
        <w:tc>
          <w:tcPr>
            <w:tcW w:w="483" w:type="dxa"/>
            <w:vMerge w:val="restart"/>
            <w:tcBorders>
              <w:top w:val="nil"/>
              <w:left w:val="nil"/>
              <w:bottom w:val="single" w:sz="8" w:space="0" w:color="000000"/>
              <w:right w:val="nil"/>
            </w:tcBorders>
            <w:noWrap/>
            <w:vAlign w:val="center"/>
            <w:hideMark/>
          </w:tcPr>
          <w:p w14:paraId="69BC5BBD" w14:textId="18DDD7C5"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FF</w:t>
            </w:r>
          </w:p>
        </w:tc>
        <w:tc>
          <w:tcPr>
            <w:tcW w:w="705" w:type="dxa"/>
            <w:tcBorders>
              <w:top w:val="nil"/>
              <w:left w:val="nil"/>
              <w:bottom w:val="nil"/>
              <w:right w:val="nil"/>
            </w:tcBorders>
            <w:noWrap/>
            <w:vAlign w:val="center"/>
            <w:hideMark/>
          </w:tcPr>
          <w:p w14:paraId="7A186143"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Allele</w:t>
            </w:r>
          </w:p>
        </w:tc>
        <w:tc>
          <w:tcPr>
            <w:tcW w:w="515" w:type="dxa"/>
            <w:vMerge w:val="restart"/>
            <w:tcBorders>
              <w:top w:val="nil"/>
              <w:left w:val="nil"/>
              <w:bottom w:val="single" w:sz="8" w:space="0" w:color="000000"/>
              <w:right w:val="nil"/>
            </w:tcBorders>
            <w:noWrap/>
            <w:vAlign w:val="center"/>
            <w:hideMark/>
          </w:tcPr>
          <w:p w14:paraId="14582DFF" w14:textId="58B6D928"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ll</w:t>
            </w:r>
          </w:p>
        </w:tc>
        <w:tc>
          <w:tcPr>
            <w:tcW w:w="630" w:type="dxa"/>
            <w:vMerge w:val="restart"/>
            <w:tcBorders>
              <w:top w:val="nil"/>
              <w:left w:val="nil"/>
              <w:bottom w:val="single" w:sz="8" w:space="0" w:color="000000"/>
              <w:right w:val="nil"/>
            </w:tcBorders>
            <w:noWrap/>
            <w:vAlign w:val="center"/>
            <w:hideMark/>
          </w:tcPr>
          <w:p w14:paraId="15E93D6C" w14:textId="33FA60E1"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Vl</w:t>
            </w:r>
          </w:p>
        </w:tc>
        <w:tc>
          <w:tcPr>
            <w:tcW w:w="551" w:type="dxa"/>
            <w:vMerge w:val="restart"/>
            <w:tcBorders>
              <w:top w:val="nil"/>
              <w:left w:val="nil"/>
              <w:bottom w:val="single" w:sz="8" w:space="0" w:color="000000"/>
              <w:right w:val="nil"/>
            </w:tcBorders>
            <w:noWrap/>
            <w:vAlign w:val="center"/>
            <w:hideMark/>
          </w:tcPr>
          <w:p w14:paraId="2FE60B09" w14:textId="6F4C0D00"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VV</w:t>
            </w:r>
          </w:p>
        </w:tc>
        <w:tc>
          <w:tcPr>
            <w:tcW w:w="709" w:type="dxa"/>
            <w:tcBorders>
              <w:top w:val="nil"/>
              <w:left w:val="nil"/>
              <w:bottom w:val="nil"/>
              <w:right w:val="nil"/>
            </w:tcBorders>
            <w:noWrap/>
            <w:vAlign w:val="center"/>
            <w:hideMark/>
          </w:tcPr>
          <w:p w14:paraId="274237F4"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Allele</w:t>
            </w:r>
          </w:p>
        </w:tc>
        <w:tc>
          <w:tcPr>
            <w:tcW w:w="483" w:type="dxa"/>
            <w:vMerge w:val="restart"/>
            <w:tcBorders>
              <w:top w:val="nil"/>
              <w:left w:val="nil"/>
              <w:bottom w:val="single" w:sz="8" w:space="0" w:color="000000"/>
              <w:right w:val="nil"/>
            </w:tcBorders>
            <w:noWrap/>
            <w:vAlign w:val="center"/>
            <w:hideMark/>
          </w:tcPr>
          <w:p w14:paraId="326963C2" w14:textId="4F75F6E6"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LL</w:t>
            </w:r>
          </w:p>
        </w:tc>
        <w:tc>
          <w:tcPr>
            <w:tcW w:w="529" w:type="dxa"/>
            <w:vMerge w:val="restart"/>
            <w:tcBorders>
              <w:top w:val="nil"/>
              <w:left w:val="nil"/>
              <w:bottom w:val="single" w:sz="8" w:space="0" w:color="000000"/>
              <w:right w:val="nil"/>
            </w:tcBorders>
            <w:noWrap/>
            <w:vAlign w:val="center"/>
            <w:hideMark/>
          </w:tcPr>
          <w:p w14:paraId="1024D455" w14:textId="049FF21A"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VL</w:t>
            </w:r>
          </w:p>
        </w:tc>
        <w:tc>
          <w:tcPr>
            <w:tcW w:w="505" w:type="dxa"/>
            <w:vMerge w:val="restart"/>
            <w:tcBorders>
              <w:top w:val="nil"/>
              <w:left w:val="nil"/>
              <w:bottom w:val="single" w:sz="8" w:space="0" w:color="000000"/>
              <w:right w:val="nil"/>
            </w:tcBorders>
            <w:noWrap/>
            <w:vAlign w:val="center"/>
            <w:hideMark/>
          </w:tcPr>
          <w:p w14:paraId="6FF285F6" w14:textId="3220207A"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VV</w:t>
            </w:r>
          </w:p>
        </w:tc>
        <w:tc>
          <w:tcPr>
            <w:tcW w:w="705" w:type="dxa"/>
            <w:tcBorders>
              <w:top w:val="nil"/>
              <w:left w:val="nil"/>
              <w:bottom w:val="nil"/>
              <w:right w:val="nil"/>
            </w:tcBorders>
            <w:noWrap/>
            <w:vAlign w:val="center"/>
            <w:hideMark/>
          </w:tcPr>
          <w:p w14:paraId="460A1A57"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Allele</w:t>
            </w:r>
          </w:p>
        </w:tc>
      </w:tr>
      <w:tr w:rsidR="007E77BD" w:rsidRPr="00E9644F" w14:paraId="00953421" w14:textId="77777777" w:rsidTr="007E77BD">
        <w:trPr>
          <w:trHeight w:val="294"/>
        </w:trPr>
        <w:tc>
          <w:tcPr>
            <w:tcW w:w="1161" w:type="dxa"/>
            <w:tcBorders>
              <w:top w:val="single" w:sz="8" w:space="0" w:color="auto"/>
              <w:left w:val="nil"/>
              <w:right w:val="nil"/>
            </w:tcBorders>
          </w:tcPr>
          <w:p w14:paraId="367CB414" w14:textId="2DC821AF" w:rsidR="007E77BD" w:rsidRPr="00E9644F" w:rsidRDefault="007E77BD" w:rsidP="002E59AD">
            <w:pPr>
              <w:spacing w:after="0" w:line="240" w:lineRule="auto"/>
              <w:rPr>
                <w:rFonts w:ascii="Times New Roman" w:eastAsia="Times New Roman" w:hAnsi="Times New Roman" w:cs="Times New Roman"/>
                <w:color w:val="000000"/>
                <w:kern w:val="0"/>
                <w:sz w:val="20"/>
                <w:szCs w:val="20"/>
                <w14:ligatures w14:val="none"/>
              </w:rPr>
            </w:pPr>
          </w:p>
        </w:tc>
        <w:tc>
          <w:tcPr>
            <w:tcW w:w="1161" w:type="dxa"/>
            <w:vMerge/>
            <w:tcBorders>
              <w:top w:val="single" w:sz="8" w:space="0" w:color="auto"/>
              <w:left w:val="nil"/>
              <w:right w:val="nil"/>
            </w:tcBorders>
            <w:vAlign w:val="center"/>
            <w:hideMark/>
          </w:tcPr>
          <w:p w14:paraId="56E20798" w14:textId="4ED758F6" w:rsidR="007E77BD" w:rsidRPr="00E9644F" w:rsidRDefault="007E77BD" w:rsidP="002E59AD">
            <w:pPr>
              <w:spacing w:after="0" w:line="240" w:lineRule="auto"/>
              <w:rPr>
                <w:rFonts w:ascii="Times New Roman" w:eastAsia="Times New Roman" w:hAnsi="Times New Roman" w:cs="Times New Roman"/>
                <w:color w:val="000000"/>
                <w:kern w:val="0"/>
                <w:sz w:val="20"/>
                <w:szCs w:val="20"/>
                <w14:ligatures w14:val="none"/>
              </w:rPr>
            </w:pPr>
          </w:p>
        </w:tc>
        <w:tc>
          <w:tcPr>
            <w:tcW w:w="1989" w:type="dxa"/>
            <w:vMerge/>
            <w:tcBorders>
              <w:left w:val="nil"/>
              <w:right w:val="nil"/>
            </w:tcBorders>
            <w:noWrap/>
            <w:vAlign w:val="center"/>
            <w:hideMark/>
          </w:tcPr>
          <w:p w14:paraId="384A3C78" w14:textId="77777777" w:rsidR="007E77BD" w:rsidRPr="00E9644F" w:rsidRDefault="007E77BD" w:rsidP="002E59AD">
            <w:pPr>
              <w:spacing w:after="0" w:line="240" w:lineRule="auto"/>
              <w:rPr>
                <w:rFonts w:ascii="Times New Roman" w:eastAsia="Times New Roman" w:hAnsi="Times New Roman" w:cs="Times New Roman"/>
                <w:b/>
                <w:bCs/>
                <w:i/>
                <w:iCs/>
                <w:color w:val="000000"/>
                <w:kern w:val="0"/>
                <w:sz w:val="20"/>
                <w:szCs w:val="20"/>
                <w14:ligatures w14:val="none"/>
              </w:rPr>
            </w:pPr>
          </w:p>
        </w:tc>
        <w:tc>
          <w:tcPr>
            <w:tcW w:w="575" w:type="dxa"/>
            <w:vMerge/>
            <w:tcBorders>
              <w:top w:val="single" w:sz="8" w:space="0" w:color="auto"/>
              <w:left w:val="nil"/>
              <w:right w:val="nil"/>
            </w:tcBorders>
            <w:vAlign w:val="center"/>
            <w:hideMark/>
          </w:tcPr>
          <w:p w14:paraId="12FE90CD"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884" w:type="dxa"/>
            <w:vMerge/>
            <w:tcBorders>
              <w:top w:val="nil"/>
              <w:left w:val="nil"/>
              <w:right w:val="nil"/>
            </w:tcBorders>
            <w:vAlign w:val="center"/>
            <w:hideMark/>
          </w:tcPr>
          <w:p w14:paraId="4B05CDB5"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483" w:type="dxa"/>
            <w:vMerge/>
            <w:tcBorders>
              <w:top w:val="nil"/>
              <w:left w:val="nil"/>
              <w:right w:val="nil"/>
            </w:tcBorders>
            <w:vAlign w:val="center"/>
            <w:hideMark/>
          </w:tcPr>
          <w:p w14:paraId="38B16C4D"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483" w:type="dxa"/>
            <w:vMerge/>
            <w:tcBorders>
              <w:top w:val="nil"/>
              <w:left w:val="nil"/>
              <w:right w:val="nil"/>
            </w:tcBorders>
            <w:vAlign w:val="center"/>
            <w:hideMark/>
          </w:tcPr>
          <w:p w14:paraId="09948DC2"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705" w:type="dxa"/>
            <w:tcBorders>
              <w:top w:val="nil"/>
              <w:left w:val="nil"/>
              <w:right w:val="nil"/>
            </w:tcBorders>
            <w:noWrap/>
            <w:vAlign w:val="center"/>
            <w:hideMark/>
          </w:tcPr>
          <w:p w14:paraId="230EFF67"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 xml:space="preserve">Freq. </w:t>
            </w:r>
          </w:p>
        </w:tc>
        <w:tc>
          <w:tcPr>
            <w:tcW w:w="515" w:type="dxa"/>
            <w:vMerge/>
            <w:tcBorders>
              <w:top w:val="nil"/>
              <w:left w:val="nil"/>
              <w:right w:val="nil"/>
            </w:tcBorders>
            <w:vAlign w:val="center"/>
            <w:hideMark/>
          </w:tcPr>
          <w:p w14:paraId="1168E78A"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630" w:type="dxa"/>
            <w:vMerge/>
            <w:tcBorders>
              <w:top w:val="nil"/>
              <w:left w:val="nil"/>
              <w:right w:val="nil"/>
            </w:tcBorders>
            <w:vAlign w:val="center"/>
            <w:hideMark/>
          </w:tcPr>
          <w:p w14:paraId="008759CD"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551" w:type="dxa"/>
            <w:vMerge/>
            <w:tcBorders>
              <w:top w:val="nil"/>
              <w:left w:val="nil"/>
              <w:right w:val="nil"/>
            </w:tcBorders>
            <w:vAlign w:val="center"/>
            <w:hideMark/>
          </w:tcPr>
          <w:p w14:paraId="638CB795"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709" w:type="dxa"/>
            <w:tcBorders>
              <w:top w:val="nil"/>
              <w:left w:val="nil"/>
              <w:right w:val="nil"/>
            </w:tcBorders>
            <w:noWrap/>
            <w:vAlign w:val="center"/>
            <w:hideMark/>
          </w:tcPr>
          <w:p w14:paraId="286BAC1E"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Freq.</w:t>
            </w:r>
          </w:p>
        </w:tc>
        <w:tc>
          <w:tcPr>
            <w:tcW w:w="483" w:type="dxa"/>
            <w:vMerge/>
            <w:tcBorders>
              <w:top w:val="nil"/>
              <w:left w:val="nil"/>
              <w:right w:val="nil"/>
            </w:tcBorders>
            <w:vAlign w:val="center"/>
            <w:hideMark/>
          </w:tcPr>
          <w:p w14:paraId="45B6C9CC"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529" w:type="dxa"/>
            <w:vMerge/>
            <w:tcBorders>
              <w:top w:val="nil"/>
              <w:left w:val="nil"/>
              <w:right w:val="nil"/>
            </w:tcBorders>
            <w:vAlign w:val="center"/>
            <w:hideMark/>
          </w:tcPr>
          <w:p w14:paraId="10687B38"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505" w:type="dxa"/>
            <w:vMerge/>
            <w:tcBorders>
              <w:top w:val="nil"/>
              <w:left w:val="nil"/>
              <w:right w:val="nil"/>
            </w:tcBorders>
            <w:vAlign w:val="center"/>
            <w:hideMark/>
          </w:tcPr>
          <w:p w14:paraId="134BBA3C" w14:textId="77777777" w:rsidR="007E77BD" w:rsidRPr="00E9644F" w:rsidRDefault="007E77BD" w:rsidP="002E59AD">
            <w:pPr>
              <w:spacing w:after="0" w:line="240" w:lineRule="auto"/>
              <w:rPr>
                <w:rFonts w:ascii="Times New Roman" w:eastAsia="Times New Roman" w:hAnsi="Times New Roman" w:cs="Times New Roman"/>
                <w:b/>
                <w:bCs/>
                <w:color w:val="000000"/>
                <w:kern w:val="0"/>
                <w:sz w:val="20"/>
                <w:szCs w:val="20"/>
                <w14:ligatures w14:val="none"/>
              </w:rPr>
            </w:pPr>
          </w:p>
        </w:tc>
        <w:tc>
          <w:tcPr>
            <w:tcW w:w="705" w:type="dxa"/>
            <w:tcBorders>
              <w:top w:val="nil"/>
              <w:left w:val="nil"/>
              <w:right w:val="nil"/>
            </w:tcBorders>
            <w:noWrap/>
            <w:vAlign w:val="center"/>
            <w:hideMark/>
          </w:tcPr>
          <w:p w14:paraId="5B344DB0" w14:textId="77777777" w:rsidR="007E77BD" w:rsidRPr="00E9644F" w:rsidRDefault="007E77BD" w:rsidP="002E59A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 xml:space="preserve">Freq.  </w:t>
            </w:r>
          </w:p>
        </w:tc>
      </w:tr>
      <w:tr w:rsidR="00C43CAD" w:rsidRPr="00E9644F" w14:paraId="33BD9D49" w14:textId="77777777" w:rsidTr="001834B2">
        <w:trPr>
          <w:trHeight w:val="280"/>
        </w:trPr>
        <w:tc>
          <w:tcPr>
            <w:tcW w:w="1161" w:type="dxa"/>
            <w:vMerge w:val="restart"/>
            <w:tcBorders>
              <w:top w:val="nil"/>
              <w:left w:val="nil"/>
              <w:right w:val="nil"/>
            </w:tcBorders>
          </w:tcPr>
          <w:p w14:paraId="6C802161" w14:textId="26C2CF8F"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Sahel-savannah</w:t>
            </w:r>
          </w:p>
        </w:tc>
        <w:tc>
          <w:tcPr>
            <w:tcW w:w="1161" w:type="dxa"/>
            <w:tcBorders>
              <w:top w:val="nil"/>
              <w:left w:val="nil"/>
              <w:bottom w:val="nil"/>
              <w:right w:val="nil"/>
            </w:tcBorders>
            <w:noWrap/>
            <w:vAlign w:val="center"/>
            <w:hideMark/>
          </w:tcPr>
          <w:p w14:paraId="77E2C826" w14:textId="69152D84"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Navrongo</w:t>
            </w:r>
          </w:p>
        </w:tc>
        <w:tc>
          <w:tcPr>
            <w:tcW w:w="1989" w:type="dxa"/>
            <w:vMerge w:val="restart"/>
            <w:tcBorders>
              <w:top w:val="nil"/>
              <w:left w:val="nil"/>
              <w:bottom w:val="nil"/>
              <w:right w:val="nil"/>
            </w:tcBorders>
            <w:noWrap/>
            <w:vAlign w:val="center"/>
            <w:hideMark/>
          </w:tcPr>
          <w:p w14:paraId="522560C0" w14:textId="1082B8E0" w:rsidR="00C43CAD" w:rsidRPr="00E9644F" w:rsidRDefault="00C43CAD" w:rsidP="007E77BD">
            <w:pPr>
              <w:spacing w:after="0" w:line="240" w:lineRule="auto"/>
              <w:rPr>
                <w:rFonts w:ascii="Times New Roman" w:eastAsia="Times New Roman" w:hAnsi="Times New Roman" w:cs="Times New Roman"/>
                <w:i/>
                <w:iCs/>
                <w:color w:val="000000"/>
                <w:kern w:val="0"/>
                <w:sz w:val="20"/>
                <w:szCs w:val="20"/>
                <w14:ligatures w14:val="none"/>
              </w:rPr>
            </w:pPr>
            <w:r w:rsidRPr="00E9644F">
              <w:rPr>
                <w:rFonts w:ascii="Times New Roman" w:eastAsia="Times New Roman" w:hAnsi="Times New Roman" w:cs="Times New Roman"/>
                <w:i/>
                <w:iCs/>
                <w:color w:val="000000"/>
                <w:kern w:val="0"/>
                <w:sz w:val="20"/>
                <w:szCs w:val="20"/>
                <w14:ligatures w14:val="none"/>
              </w:rPr>
              <w:t>Ae. aegypti</w:t>
            </w:r>
          </w:p>
        </w:tc>
        <w:tc>
          <w:tcPr>
            <w:tcW w:w="575" w:type="dxa"/>
            <w:tcBorders>
              <w:top w:val="nil"/>
              <w:left w:val="nil"/>
              <w:bottom w:val="nil"/>
              <w:right w:val="nil"/>
            </w:tcBorders>
            <w:noWrap/>
            <w:vAlign w:val="center"/>
            <w:hideMark/>
          </w:tcPr>
          <w:p w14:paraId="7EFD84D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69</w:t>
            </w:r>
          </w:p>
        </w:tc>
        <w:tc>
          <w:tcPr>
            <w:tcW w:w="884" w:type="dxa"/>
            <w:tcBorders>
              <w:top w:val="nil"/>
              <w:left w:val="nil"/>
              <w:bottom w:val="nil"/>
              <w:right w:val="nil"/>
            </w:tcBorders>
            <w:noWrap/>
            <w:vAlign w:val="center"/>
            <w:hideMark/>
          </w:tcPr>
          <w:p w14:paraId="5EDDCC79"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67</w:t>
            </w:r>
          </w:p>
        </w:tc>
        <w:tc>
          <w:tcPr>
            <w:tcW w:w="483" w:type="dxa"/>
            <w:tcBorders>
              <w:top w:val="nil"/>
              <w:left w:val="nil"/>
              <w:bottom w:val="nil"/>
              <w:right w:val="nil"/>
            </w:tcBorders>
            <w:noWrap/>
            <w:vAlign w:val="center"/>
            <w:hideMark/>
          </w:tcPr>
          <w:p w14:paraId="7DFA29C6"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483" w:type="dxa"/>
            <w:tcBorders>
              <w:top w:val="nil"/>
              <w:left w:val="nil"/>
              <w:bottom w:val="nil"/>
              <w:right w:val="nil"/>
            </w:tcBorders>
            <w:noWrap/>
            <w:vAlign w:val="center"/>
            <w:hideMark/>
          </w:tcPr>
          <w:p w14:paraId="01219FB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2</w:t>
            </w:r>
          </w:p>
        </w:tc>
        <w:tc>
          <w:tcPr>
            <w:tcW w:w="705" w:type="dxa"/>
            <w:tcBorders>
              <w:top w:val="nil"/>
              <w:left w:val="nil"/>
              <w:bottom w:val="nil"/>
              <w:right w:val="nil"/>
            </w:tcBorders>
            <w:noWrap/>
            <w:vAlign w:val="center"/>
            <w:hideMark/>
          </w:tcPr>
          <w:p w14:paraId="01FA1DF5"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0.97</w:t>
            </w:r>
          </w:p>
        </w:tc>
        <w:tc>
          <w:tcPr>
            <w:tcW w:w="515" w:type="dxa"/>
            <w:tcBorders>
              <w:top w:val="nil"/>
              <w:left w:val="nil"/>
              <w:bottom w:val="nil"/>
              <w:right w:val="nil"/>
            </w:tcBorders>
            <w:noWrap/>
            <w:vAlign w:val="center"/>
            <w:hideMark/>
          </w:tcPr>
          <w:p w14:paraId="735C02FD"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52</w:t>
            </w:r>
          </w:p>
        </w:tc>
        <w:tc>
          <w:tcPr>
            <w:tcW w:w="630" w:type="dxa"/>
            <w:tcBorders>
              <w:top w:val="nil"/>
              <w:left w:val="nil"/>
              <w:bottom w:val="nil"/>
              <w:right w:val="nil"/>
            </w:tcBorders>
            <w:noWrap/>
            <w:vAlign w:val="center"/>
            <w:hideMark/>
          </w:tcPr>
          <w:p w14:paraId="2BEB9816"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7</w:t>
            </w:r>
          </w:p>
        </w:tc>
        <w:tc>
          <w:tcPr>
            <w:tcW w:w="551" w:type="dxa"/>
            <w:tcBorders>
              <w:top w:val="nil"/>
              <w:left w:val="nil"/>
              <w:bottom w:val="nil"/>
              <w:right w:val="nil"/>
            </w:tcBorders>
            <w:noWrap/>
            <w:vAlign w:val="center"/>
            <w:hideMark/>
          </w:tcPr>
          <w:p w14:paraId="08364C01"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10</w:t>
            </w:r>
          </w:p>
        </w:tc>
        <w:tc>
          <w:tcPr>
            <w:tcW w:w="709" w:type="dxa"/>
            <w:tcBorders>
              <w:top w:val="nil"/>
              <w:left w:val="nil"/>
              <w:bottom w:val="nil"/>
              <w:right w:val="nil"/>
            </w:tcBorders>
            <w:noWrap/>
            <w:vAlign w:val="center"/>
            <w:hideMark/>
          </w:tcPr>
          <w:p w14:paraId="260E64D5"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0.80</w:t>
            </w:r>
          </w:p>
        </w:tc>
        <w:tc>
          <w:tcPr>
            <w:tcW w:w="483" w:type="dxa"/>
            <w:tcBorders>
              <w:top w:val="nil"/>
              <w:left w:val="nil"/>
              <w:bottom w:val="nil"/>
              <w:right w:val="nil"/>
            </w:tcBorders>
            <w:noWrap/>
            <w:vAlign w:val="center"/>
            <w:hideMark/>
          </w:tcPr>
          <w:p w14:paraId="113F0823"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6</w:t>
            </w:r>
          </w:p>
        </w:tc>
        <w:tc>
          <w:tcPr>
            <w:tcW w:w="529" w:type="dxa"/>
            <w:tcBorders>
              <w:top w:val="nil"/>
              <w:left w:val="nil"/>
              <w:bottom w:val="nil"/>
              <w:right w:val="nil"/>
            </w:tcBorders>
            <w:noWrap/>
            <w:vAlign w:val="center"/>
            <w:hideMark/>
          </w:tcPr>
          <w:p w14:paraId="3A27E881"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w:t>
            </w:r>
          </w:p>
        </w:tc>
        <w:tc>
          <w:tcPr>
            <w:tcW w:w="505" w:type="dxa"/>
            <w:tcBorders>
              <w:top w:val="nil"/>
              <w:left w:val="nil"/>
              <w:bottom w:val="nil"/>
              <w:right w:val="nil"/>
            </w:tcBorders>
            <w:noWrap/>
            <w:vAlign w:val="center"/>
            <w:hideMark/>
          </w:tcPr>
          <w:p w14:paraId="280F62C6"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60</w:t>
            </w:r>
          </w:p>
        </w:tc>
        <w:tc>
          <w:tcPr>
            <w:tcW w:w="705" w:type="dxa"/>
            <w:tcBorders>
              <w:top w:val="nil"/>
              <w:left w:val="nil"/>
              <w:bottom w:val="nil"/>
              <w:right w:val="nil"/>
            </w:tcBorders>
            <w:noWrap/>
            <w:vAlign w:val="center"/>
            <w:hideMark/>
          </w:tcPr>
          <w:p w14:paraId="714D0B76"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0.11</w:t>
            </w:r>
          </w:p>
        </w:tc>
      </w:tr>
      <w:tr w:rsidR="00C43CAD" w:rsidRPr="00E9644F" w14:paraId="4AAD3DB6" w14:textId="77777777" w:rsidTr="001834B2">
        <w:trPr>
          <w:trHeight w:val="280"/>
        </w:trPr>
        <w:tc>
          <w:tcPr>
            <w:tcW w:w="1161" w:type="dxa"/>
            <w:vMerge/>
            <w:tcBorders>
              <w:left w:val="nil"/>
              <w:right w:val="nil"/>
            </w:tcBorders>
          </w:tcPr>
          <w:p w14:paraId="6E945B06"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nil"/>
              <w:left w:val="nil"/>
              <w:bottom w:val="nil"/>
              <w:right w:val="nil"/>
            </w:tcBorders>
            <w:noWrap/>
            <w:vAlign w:val="center"/>
            <w:hideMark/>
          </w:tcPr>
          <w:p w14:paraId="3B19BB5F" w14:textId="0A8D6CD2"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Kpalsogu</w:t>
            </w:r>
          </w:p>
        </w:tc>
        <w:tc>
          <w:tcPr>
            <w:tcW w:w="1989" w:type="dxa"/>
            <w:vMerge/>
            <w:tcBorders>
              <w:top w:val="nil"/>
              <w:left w:val="nil"/>
              <w:bottom w:val="nil"/>
              <w:right w:val="nil"/>
            </w:tcBorders>
            <w:vAlign w:val="center"/>
            <w:hideMark/>
          </w:tcPr>
          <w:p w14:paraId="6535EE6C"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top w:val="nil"/>
              <w:left w:val="nil"/>
              <w:bottom w:val="nil"/>
              <w:right w:val="nil"/>
            </w:tcBorders>
            <w:noWrap/>
            <w:vAlign w:val="center"/>
            <w:hideMark/>
          </w:tcPr>
          <w:p w14:paraId="610886F0"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44</w:t>
            </w:r>
          </w:p>
        </w:tc>
        <w:tc>
          <w:tcPr>
            <w:tcW w:w="884" w:type="dxa"/>
            <w:tcBorders>
              <w:top w:val="nil"/>
              <w:left w:val="nil"/>
              <w:bottom w:val="nil"/>
              <w:right w:val="nil"/>
            </w:tcBorders>
            <w:noWrap/>
            <w:vAlign w:val="center"/>
            <w:hideMark/>
          </w:tcPr>
          <w:p w14:paraId="1F2D9FF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12</w:t>
            </w:r>
          </w:p>
        </w:tc>
        <w:tc>
          <w:tcPr>
            <w:tcW w:w="483" w:type="dxa"/>
            <w:tcBorders>
              <w:top w:val="nil"/>
              <w:left w:val="nil"/>
              <w:bottom w:val="nil"/>
              <w:right w:val="nil"/>
            </w:tcBorders>
            <w:noWrap/>
            <w:vAlign w:val="center"/>
            <w:hideMark/>
          </w:tcPr>
          <w:p w14:paraId="345FC850"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7</w:t>
            </w:r>
          </w:p>
        </w:tc>
        <w:tc>
          <w:tcPr>
            <w:tcW w:w="483" w:type="dxa"/>
            <w:tcBorders>
              <w:top w:val="nil"/>
              <w:left w:val="nil"/>
              <w:bottom w:val="nil"/>
              <w:right w:val="nil"/>
            </w:tcBorders>
            <w:noWrap/>
            <w:vAlign w:val="center"/>
            <w:hideMark/>
          </w:tcPr>
          <w:p w14:paraId="59947443"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25</w:t>
            </w:r>
          </w:p>
        </w:tc>
        <w:tc>
          <w:tcPr>
            <w:tcW w:w="705" w:type="dxa"/>
            <w:tcBorders>
              <w:top w:val="nil"/>
              <w:left w:val="nil"/>
              <w:bottom w:val="nil"/>
              <w:right w:val="nil"/>
            </w:tcBorders>
            <w:noWrap/>
            <w:vAlign w:val="center"/>
            <w:hideMark/>
          </w:tcPr>
          <w:p w14:paraId="2F3D07F5"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0.35</w:t>
            </w:r>
          </w:p>
        </w:tc>
        <w:tc>
          <w:tcPr>
            <w:tcW w:w="515" w:type="dxa"/>
            <w:tcBorders>
              <w:top w:val="nil"/>
              <w:left w:val="nil"/>
              <w:bottom w:val="nil"/>
              <w:right w:val="nil"/>
            </w:tcBorders>
            <w:noWrap/>
            <w:vAlign w:val="center"/>
            <w:hideMark/>
          </w:tcPr>
          <w:p w14:paraId="5366FEC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w:t>
            </w:r>
          </w:p>
        </w:tc>
        <w:tc>
          <w:tcPr>
            <w:tcW w:w="630" w:type="dxa"/>
            <w:tcBorders>
              <w:top w:val="nil"/>
              <w:left w:val="nil"/>
              <w:bottom w:val="nil"/>
              <w:right w:val="nil"/>
            </w:tcBorders>
            <w:noWrap/>
            <w:vAlign w:val="center"/>
            <w:hideMark/>
          </w:tcPr>
          <w:p w14:paraId="3148B152"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42</w:t>
            </w:r>
          </w:p>
        </w:tc>
        <w:tc>
          <w:tcPr>
            <w:tcW w:w="551" w:type="dxa"/>
            <w:tcBorders>
              <w:top w:val="nil"/>
              <w:left w:val="nil"/>
              <w:bottom w:val="nil"/>
              <w:right w:val="nil"/>
            </w:tcBorders>
            <w:noWrap/>
            <w:vAlign w:val="center"/>
            <w:hideMark/>
          </w:tcPr>
          <w:p w14:paraId="4CC763E4"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w:t>
            </w:r>
          </w:p>
        </w:tc>
        <w:tc>
          <w:tcPr>
            <w:tcW w:w="709" w:type="dxa"/>
            <w:tcBorders>
              <w:top w:val="nil"/>
              <w:left w:val="nil"/>
              <w:bottom w:val="nil"/>
              <w:right w:val="nil"/>
            </w:tcBorders>
            <w:noWrap/>
            <w:vAlign w:val="center"/>
            <w:hideMark/>
          </w:tcPr>
          <w:p w14:paraId="184FF826"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0.50</w:t>
            </w:r>
          </w:p>
        </w:tc>
        <w:tc>
          <w:tcPr>
            <w:tcW w:w="483" w:type="dxa"/>
            <w:tcBorders>
              <w:top w:val="nil"/>
              <w:left w:val="nil"/>
              <w:bottom w:val="nil"/>
              <w:right w:val="nil"/>
            </w:tcBorders>
            <w:noWrap/>
            <w:vAlign w:val="center"/>
            <w:hideMark/>
          </w:tcPr>
          <w:p w14:paraId="4EEF86D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w:t>
            </w:r>
          </w:p>
        </w:tc>
        <w:tc>
          <w:tcPr>
            <w:tcW w:w="529" w:type="dxa"/>
            <w:tcBorders>
              <w:top w:val="nil"/>
              <w:left w:val="nil"/>
              <w:bottom w:val="nil"/>
              <w:right w:val="nil"/>
            </w:tcBorders>
            <w:noWrap/>
            <w:vAlign w:val="center"/>
            <w:hideMark/>
          </w:tcPr>
          <w:p w14:paraId="5615F446"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w:t>
            </w:r>
          </w:p>
        </w:tc>
        <w:tc>
          <w:tcPr>
            <w:tcW w:w="505" w:type="dxa"/>
            <w:tcBorders>
              <w:top w:val="nil"/>
              <w:left w:val="nil"/>
              <w:bottom w:val="nil"/>
              <w:right w:val="nil"/>
            </w:tcBorders>
            <w:noWrap/>
            <w:vAlign w:val="center"/>
            <w:hideMark/>
          </w:tcPr>
          <w:p w14:paraId="23490469"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40</w:t>
            </w:r>
          </w:p>
        </w:tc>
        <w:tc>
          <w:tcPr>
            <w:tcW w:w="705" w:type="dxa"/>
            <w:tcBorders>
              <w:top w:val="nil"/>
              <w:left w:val="nil"/>
              <w:bottom w:val="nil"/>
              <w:right w:val="nil"/>
            </w:tcBorders>
            <w:noWrap/>
            <w:vAlign w:val="center"/>
            <w:hideMark/>
          </w:tcPr>
          <w:p w14:paraId="433B07F6"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0.08</w:t>
            </w:r>
          </w:p>
        </w:tc>
      </w:tr>
      <w:tr w:rsidR="00C43CAD" w:rsidRPr="00E9644F" w14:paraId="3375107F" w14:textId="77777777" w:rsidTr="001834B2">
        <w:trPr>
          <w:trHeight w:val="280"/>
        </w:trPr>
        <w:tc>
          <w:tcPr>
            <w:tcW w:w="1161" w:type="dxa"/>
            <w:vMerge/>
            <w:tcBorders>
              <w:left w:val="nil"/>
              <w:right w:val="nil"/>
            </w:tcBorders>
          </w:tcPr>
          <w:p w14:paraId="3D6F685A"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nil"/>
              <w:left w:val="nil"/>
              <w:bottom w:val="nil"/>
              <w:right w:val="nil"/>
            </w:tcBorders>
            <w:noWrap/>
            <w:vAlign w:val="center"/>
            <w:hideMark/>
          </w:tcPr>
          <w:p w14:paraId="77C8D80B" w14:textId="4C74F1DC"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Pagaza</w:t>
            </w:r>
          </w:p>
        </w:tc>
        <w:tc>
          <w:tcPr>
            <w:tcW w:w="1989" w:type="dxa"/>
            <w:vMerge/>
            <w:tcBorders>
              <w:top w:val="nil"/>
              <w:left w:val="nil"/>
              <w:bottom w:val="nil"/>
              <w:right w:val="nil"/>
            </w:tcBorders>
            <w:vAlign w:val="center"/>
            <w:hideMark/>
          </w:tcPr>
          <w:p w14:paraId="6F15228B"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top w:val="nil"/>
              <w:left w:val="nil"/>
              <w:bottom w:val="nil"/>
              <w:right w:val="nil"/>
            </w:tcBorders>
            <w:noWrap/>
            <w:vAlign w:val="center"/>
            <w:hideMark/>
          </w:tcPr>
          <w:p w14:paraId="18DB14C7"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92</w:t>
            </w:r>
          </w:p>
        </w:tc>
        <w:tc>
          <w:tcPr>
            <w:tcW w:w="884" w:type="dxa"/>
            <w:tcBorders>
              <w:top w:val="nil"/>
              <w:left w:val="nil"/>
              <w:bottom w:val="nil"/>
              <w:right w:val="nil"/>
            </w:tcBorders>
            <w:noWrap/>
            <w:vAlign w:val="center"/>
            <w:hideMark/>
          </w:tcPr>
          <w:p w14:paraId="27B8C786"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14</w:t>
            </w:r>
          </w:p>
        </w:tc>
        <w:tc>
          <w:tcPr>
            <w:tcW w:w="483" w:type="dxa"/>
            <w:tcBorders>
              <w:top w:val="nil"/>
              <w:left w:val="nil"/>
              <w:bottom w:val="nil"/>
              <w:right w:val="nil"/>
            </w:tcBorders>
            <w:noWrap/>
            <w:vAlign w:val="center"/>
            <w:hideMark/>
          </w:tcPr>
          <w:p w14:paraId="76CB201D"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14</w:t>
            </w:r>
          </w:p>
        </w:tc>
        <w:tc>
          <w:tcPr>
            <w:tcW w:w="483" w:type="dxa"/>
            <w:tcBorders>
              <w:top w:val="nil"/>
              <w:left w:val="nil"/>
              <w:bottom w:val="nil"/>
              <w:right w:val="nil"/>
            </w:tcBorders>
            <w:noWrap/>
            <w:vAlign w:val="center"/>
            <w:hideMark/>
          </w:tcPr>
          <w:p w14:paraId="699C00D4"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64</w:t>
            </w:r>
          </w:p>
        </w:tc>
        <w:tc>
          <w:tcPr>
            <w:tcW w:w="705" w:type="dxa"/>
            <w:tcBorders>
              <w:top w:val="nil"/>
              <w:left w:val="nil"/>
              <w:bottom w:val="nil"/>
              <w:right w:val="nil"/>
            </w:tcBorders>
            <w:noWrap/>
            <w:vAlign w:val="center"/>
            <w:hideMark/>
          </w:tcPr>
          <w:p w14:paraId="20D8AE71"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0.23</w:t>
            </w:r>
          </w:p>
        </w:tc>
        <w:tc>
          <w:tcPr>
            <w:tcW w:w="515" w:type="dxa"/>
            <w:tcBorders>
              <w:top w:val="nil"/>
              <w:left w:val="nil"/>
              <w:bottom w:val="nil"/>
              <w:right w:val="nil"/>
            </w:tcBorders>
            <w:noWrap/>
            <w:vAlign w:val="center"/>
            <w:hideMark/>
          </w:tcPr>
          <w:p w14:paraId="33A8EE5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w:t>
            </w:r>
          </w:p>
        </w:tc>
        <w:tc>
          <w:tcPr>
            <w:tcW w:w="630" w:type="dxa"/>
            <w:tcBorders>
              <w:top w:val="nil"/>
              <w:left w:val="nil"/>
              <w:bottom w:val="nil"/>
              <w:right w:val="nil"/>
            </w:tcBorders>
            <w:noWrap/>
            <w:vAlign w:val="center"/>
            <w:hideMark/>
          </w:tcPr>
          <w:p w14:paraId="72CBFF14"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50</w:t>
            </w:r>
          </w:p>
        </w:tc>
        <w:tc>
          <w:tcPr>
            <w:tcW w:w="551" w:type="dxa"/>
            <w:tcBorders>
              <w:top w:val="nil"/>
              <w:left w:val="nil"/>
              <w:bottom w:val="nil"/>
              <w:right w:val="nil"/>
            </w:tcBorders>
            <w:noWrap/>
            <w:vAlign w:val="center"/>
            <w:hideMark/>
          </w:tcPr>
          <w:p w14:paraId="1705980E"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39</w:t>
            </w:r>
          </w:p>
        </w:tc>
        <w:tc>
          <w:tcPr>
            <w:tcW w:w="709" w:type="dxa"/>
            <w:tcBorders>
              <w:top w:val="nil"/>
              <w:left w:val="nil"/>
              <w:bottom w:val="nil"/>
              <w:right w:val="nil"/>
            </w:tcBorders>
            <w:noWrap/>
            <w:vAlign w:val="center"/>
            <w:hideMark/>
          </w:tcPr>
          <w:p w14:paraId="4CA7193E"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0.30</w:t>
            </w:r>
          </w:p>
        </w:tc>
        <w:tc>
          <w:tcPr>
            <w:tcW w:w="483" w:type="dxa"/>
            <w:tcBorders>
              <w:top w:val="nil"/>
              <w:left w:val="nil"/>
              <w:bottom w:val="nil"/>
              <w:right w:val="nil"/>
            </w:tcBorders>
            <w:noWrap/>
            <w:vAlign w:val="center"/>
            <w:hideMark/>
          </w:tcPr>
          <w:p w14:paraId="4180364A"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2</w:t>
            </w:r>
          </w:p>
        </w:tc>
        <w:tc>
          <w:tcPr>
            <w:tcW w:w="529" w:type="dxa"/>
            <w:tcBorders>
              <w:top w:val="nil"/>
              <w:left w:val="nil"/>
              <w:bottom w:val="nil"/>
              <w:right w:val="nil"/>
            </w:tcBorders>
            <w:noWrap/>
            <w:vAlign w:val="center"/>
            <w:hideMark/>
          </w:tcPr>
          <w:p w14:paraId="6EAF9BC2"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16</w:t>
            </w:r>
          </w:p>
        </w:tc>
        <w:tc>
          <w:tcPr>
            <w:tcW w:w="505" w:type="dxa"/>
            <w:tcBorders>
              <w:top w:val="nil"/>
              <w:left w:val="nil"/>
              <w:bottom w:val="nil"/>
              <w:right w:val="nil"/>
            </w:tcBorders>
            <w:noWrap/>
            <w:vAlign w:val="center"/>
            <w:hideMark/>
          </w:tcPr>
          <w:p w14:paraId="61F74A60"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74</w:t>
            </w:r>
          </w:p>
        </w:tc>
        <w:tc>
          <w:tcPr>
            <w:tcW w:w="705" w:type="dxa"/>
            <w:tcBorders>
              <w:top w:val="nil"/>
              <w:left w:val="nil"/>
              <w:bottom w:val="nil"/>
              <w:right w:val="nil"/>
            </w:tcBorders>
            <w:noWrap/>
            <w:vAlign w:val="center"/>
            <w:hideMark/>
          </w:tcPr>
          <w:p w14:paraId="66ED2A1A"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0.11</w:t>
            </w:r>
          </w:p>
        </w:tc>
      </w:tr>
      <w:tr w:rsidR="00C43CAD" w:rsidRPr="00E9644F" w14:paraId="3754CE74" w14:textId="77777777" w:rsidTr="001834B2">
        <w:trPr>
          <w:trHeight w:val="280"/>
        </w:trPr>
        <w:tc>
          <w:tcPr>
            <w:tcW w:w="1161" w:type="dxa"/>
            <w:vMerge/>
            <w:tcBorders>
              <w:left w:val="nil"/>
              <w:right w:val="nil"/>
            </w:tcBorders>
          </w:tcPr>
          <w:p w14:paraId="70EDDCFB"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nil"/>
              <w:left w:val="nil"/>
              <w:bottom w:val="nil"/>
              <w:right w:val="nil"/>
            </w:tcBorders>
            <w:noWrap/>
            <w:vAlign w:val="center"/>
            <w:hideMark/>
          </w:tcPr>
          <w:p w14:paraId="72F26BFE" w14:textId="76031FF4"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Paga</w:t>
            </w:r>
          </w:p>
        </w:tc>
        <w:tc>
          <w:tcPr>
            <w:tcW w:w="1989" w:type="dxa"/>
            <w:vMerge/>
            <w:tcBorders>
              <w:top w:val="nil"/>
              <w:left w:val="nil"/>
              <w:bottom w:val="nil"/>
              <w:right w:val="nil"/>
            </w:tcBorders>
            <w:vAlign w:val="center"/>
            <w:hideMark/>
          </w:tcPr>
          <w:p w14:paraId="5925E330"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top w:val="nil"/>
              <w:left w:val="nil"/>
              <w:bottom w:val="nil"/>
              <w:right w:val="nil"/>
            </w:tcBorders>
            <w:noWrap/>
            <w:vAlign w:val="center"/>
            <w:hideMark/>
          </w:tcPr>
          <w:p w14:paraId="1D898247"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884" w:type="dxa"/>
            <w:tcBorders>
              <w:top w:val="nil"/>
              <w:left w:val="nil"/>
              <w:bottom w:val="nil"/>
              <w:right w:val="nil"/>
            </w:tcBorders>
            <w:noWrap/>
            <w:vAlign w:val="center"/>
            <w:hideMark/>
          </w:tcPr>
          <w:p w14:paraId="3F57AF77"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483" w:type="dxa"/>
            <w:tcBorders>
              <w:top w:val="nil"/>
              <w:left w:val="nil"/>
              <w:bottom w:val="nil"/>
              <w:right w:val="nil"/>
            </w:tcBorders>
            <w:noWrap/>
            <w:vAlign w:val="center"/>
            <w:hideMark/>
          </w:tcPr>
          <w:p w14:paraId="21F3419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483" w:type="dxa"/>
            <w:tcBorders>
              <w:top w:val="nil"/>
              <w:left w:val="nil"/>
              <w:bottom w:val="nil"/>
              <w:right w:val="nil"/>
            </w:tcBorders>
            <w:noWrap/>
            <w:vAlign w:val="center"/>
            <w:hideMark/>
          </w:tcPr>
          <w:p w14:paraId="0C293EFE"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705" w:type="dxa"/>
            <w:tcBorders>
              <w:top w:val="nil"/>
              <w:left w:val="nil"/>
              <w:bottom w:val="nil"/>
              <w:right w:val="nil"/>
            </w:tcBorders>
            <w:noWrap/>
            <w:vAlign w:val="center"/>
            <w:hideMark/>
          </w:tcPr>
          <w:p w14:paraId="25623BAA"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0.00</w:t>
            </w:r>
          </w:p>
        </w:tc>
        <w:tc>
          <w:tcPr>
            <w:tcW w:w="515" w:type="dxa"/>
            <w:tcBorders>
              <w:top w:val="nil"/>
              <w:left w:val="nil"/>
              <w:bottom w:val="nil"/>
              <w:right w:val="nil"/>
            </w:tcBorders>
            <w:noWrap/>
            <w:vAlign w:val="center"/>
            <w:hideMark/>
          </w:tcPr>
          <w:p w14:paraId="4497B4BC"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630" w:type="dxa"/>
            <w:tcBorders>
              <w:top w:val="nil"/>
              <w:left w:val="nil"/>
              <w:bottom w:val="nil"/>
              <w:right w:val="nil"/>
            </w:tcBorders>
            <w:noWrap/>
            <w:vAlign w:val="center"/>
            <w:hideMark/>
          </w:tcPr>
          <w:p w14:paraId="0AFD712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551" w:type="dxa"/>
            <w:tcBorders>
              <w:top w:val="nil"/>
              <w:left w:val="nil"/>
              <w:bottom w:val="nil"/>
              <w:right w:val="nil"/>
            </w:tcBorders>
            <w:noWrap/>
            <w:vAlign w:val="center"/>
            <w:hideMark/>
          </w:tcPr>
          <w:p w14:paraId="37EBC63B"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709" w:type="dxa"/>
            <w:tcBorders>
              <w:top w:val="nil"/>
              <w:left w:val="nil"/>
              <w:bottom w:val="nil"/>
              <w:right w:val="nil"/>
            </w:tcBorders>
            <w:noWrap/>
            <w:vAlign w:val="center"/>
            <w:hideMark/>
          </w:tcPr>
          <w:p w14:paraId="6B209B13"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0.00</w:t>
            </w:r>
          </w:p>
        </w:tc>
        <w:tc>
          <w:tcPr>
            <w:tcW w:w="483" w:type="dxa"/>
            <w:tcBorders>
              <w:top w:val="nil"/>
              <w:left w:val="nil"/>
              <w:bottom w:val="nil"/>
              <w:right w:val="nil"/>
            </w:tcBorders>
            <w:noWrap/>
            <w:vAlign w:val="center"/>
            <w:hideMark/>
          </w:tcPr>
          <w:p w14:paraId="5CEA1958"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529" w:type="dxa"/>
            <w:tcBorders>
              <w:top w:val="nil"/>
              <w:left w:val="nil"/>
              <w:bottom w:val="nil"/>
              <w:right w:val="nil"/>
            </w:tcBorders>
            <w:noWrap/>
            <w:vAlign w:val="center"/>
            <w:hideMark/>
          </w:tcPr>
          <w:p w14:paraId="1BDB1F1C"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505" w:type="dxa"/>
            <w:tcBorders>
              <w:top w:val="nil"/>
              <w:left w:val="nil"/>
              <w:bottom w:val="nil"/>
              <w:right w:val="nil"/>
            </w:tcBorders>
            <w:noWrap/>
            <w:vAlign w:val="center"/>
            <w:hideMark/>
          </w:tcPr>
          <w:p w14:paraId="40453C5B"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705" w:type="dxa"/>
            <w:tcBorders>
              <w:top w:val="nil"/>
              <w:left w:val="nil"/>
              <w:bottom w:val="nil"/>
              <w:right w:val="nil"/>
            </w:tcBorders>
            <w:noWrap/>
            <w:vAlign w:val="center"/>
            <w:hideMark/>
          </w:tcPr>
          <w:p w14:paraId="3B2937F7"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0.00</w:t>
            </w:r>
          </w:p>
        </w:tc>
      </w:tr>
      <w:tr w:rsidR="00C43CAD" w:rsidRPr="00E9644F" w14:paraId="4361194B" w14:textId="77777777" w:rsidTr="00C43CAD">
        <w:trPr>
          <w:trHeight w:val="280"/>
        </w:trPr>
        <w:tc>
          <w:tcPr>
            <w:tcW w:w="1161" w:type="dxa"/>
            <w:vMerge/>
            <w:tcBorders>
              <w:left w:val="nil"/>
              <w:bottom w:val="dashSmallGap" w:sz="4" w:space="0" w:color="000000"/>
              <w:right w:val="nil"/>
            </w:tcBorders>
          </w:tcPr>
          <w:p w14:paraId="69AFB012"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nil"/>
              <w:left w:val="nil"/>
              <w:bottom w:val="dashSmallGap" w:sz="4" w:space="0" w:color="000000"/>
              <w:right w:val="nil"/>
            </w:tcBorders>
            <w:noWrap/>
            <w:vAlign w:val="center"/>
            <w:hideMark/>
          </w:tcPr>
          <w:p w14:paraId="33228A45" w14:textId="7043876F"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Larabanga</w:t>
            </w:r>
          </w:p>
        </w:tc>
        <w:tc>
          <w:tcPr>
            <w:tcW w:w="1989" w:type="dxa"/>
            <w:vMerge/>
            <w:tcBorders>
              <w:top w:val="nil"/>
              <w:left w:val="nil"/>
              <w:bottom w:val="dashSmallGap" w:sz="4" w:space="0" w:color="000000"/>
              <w:right w:val="nil"/>
            </w:tcBorders>
            <w:vAlign w:val="center"/>
            <w:hideMark/>
          </w:tcPr>
          <w:p w14:paraId="4F1F3B14"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top w:val="nil"/>
              <w:left w:val="nil"/>
              <w:bottom w:val="dashSmallGap" w:sz="4" w:space="0" w:color="000000"/>
              <w:right w:val="nil"/>
            </w:tcBorders>
            <w:noWrap/>
            <w:vAlign w:val="center"/>
            <w:hideMark/>
          </w:tcPr>
          <w:p w14:paraId="7C2A4913"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54</w:t>
            </w:r>
          </w:p>
        </w:tc>
        <w:tc>
          <w:tcPr>
            <w:tcW w:w="884" w:type="dxa"/>
            <w:tcBorders>
              <w:top w:val="nil"/>
              <w:left w:val="nil"/>
              <w:bottom w:val="dashSmallGap" w:sz="4" w:space="0" w:color="000000"/>
              <w:right w:val="nil"/>
            </w:tcBorders>
            <w:noWrap/>
            <w:vAlign w:val="center"/>
            <w:hideMark/>
          </w:tcPr>
          <w:p w14:paraId="7D4263CC"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13</w:t>
            </w:r>
          </w:p>
        </w:tc>
        <w:tc>
          <w:tcPr>
            <w:tcW w:w="483" w:type="dxa"/>
            <w:tcBorders>
              <w:top w:val="nil"/>
              <w:left w:val="nil"/>
              <w:bottom w:val="dashSmallGap" w:sz="4" w:space="0" w:color="000000"/>
              <w:right w:val="nil"/>
            </w:tcBorders>
            <w:noWrap/>
            <w:vAlign w:val="center"/>
            <w:hideMark/>
          </w:tcPr>
          <w:p w14:paraId="76FB79B9"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12</w:t>
            </w:r>
          </w:p>
        </w:tc>
        <w:tc>
          <w:tcPr>
            <w:tcW w:w="483" w:type="dxa"/>
            <w:tcBorders>
              <w:top w:val="nil"/>
              <w:left w:val="nil"/>
              <w:bottom w:val="dashSmallGap" w:sz="4" w:space="0" w:color="000000"/>
              <w:right w:val="nil"/>
            </w:tcBorders>
            <w:noWrap/>
            <w:vAlign w:val="center"/>
            <w:hideMark/>
          </w:tcPr>
          <w:p w14:paraId="2879AEB6"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29</w:t>
            </w:r>
          </w:p>
        </w:tc>
        <w:tc>
          <w:tcPr>
            <w:tcW w:w="705" w:type="dxa"/>
            <w:tcBorders>
              <w:top w:val="nil"/>
              <w:left w:val="nil"/>
              <w:bottom w:val="dashSmallGap" w:sz="4" w:space="0" w:color="000000"/>
              <w:right w:val="nil"/>
            </w:tcBorders>
            <w:noWrap/>
            <w:vAlign w:val="center"/>
            <w:hideMark/>
          </w:tcPr>
          <w:p w14:paraId="5F30435F"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0.35</w:t>
            </w:r>
          </w:p>
        </w:tc>
        <w:tc>
          <w:tcPr>
            <w:tcW w:w="515" w:type="dxa"/>
            <w:tcBorders>
              <w:top w:val="nil"/>
              <w:left w:val="nil"/>
              <w:bottom w:val="dashSmallGap" w:sz="4" w:space="0" w:color="000000"/>
              <w:right w:val="nil"/>
            </w:tcBorders>
            <w:noWrap/>
            <w:vAlign w:val="center"/>
            <w:hideMark/>
          </w:tcPr>
          <w:p w14:paraId="599589B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15</w:t>
            </w:r>
          </w:p>
        </w:tc>
        <w:tc>
          <w:tcPr>
            <w:tcW w:w="630" w:type="dxa"/>
            <w:tcBorders>
              <w:top w:val="nil"/>
              <w:left w:val="nil"/>
              <w:bottom w:val="dashSmallGap" w:sz="4" w:space="0" w:color="000000"/>
              <w:right w:val="nil"/>
            </w:tcBorders>
            <w:noWrap/>
            <w:vAlign w:val="center"/>
            <w:hideMark/>
          </w:tcPr>
          <w:p w14:paraId="58D2565A"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39</w:t>
            </w:r>
          </w:p>
        </w:tc>
        <w:tc>
          <w:tcPr>
            <w:tcW w:w="551" w:type="dxa"/>
            <w:tcBorders>
              <w:top w:val="nil"/>
              <w:left w:val="nil"/>
              <w:bottom w:val="dashSmallGap" w:sz="4" w:space="0" w:color="000000"/>
              <w:right w:val="nil"/>
            </w:tcBorders>
            <w:noWrap/>
            <w:vAlign w:val="center"/>
            <w:hideMark/>
          </w:tcPr>
          <w:p w14:paraId="18479F1A"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709" w:type="dxa"/>
            <w:tcBorders>
              <w:top w:val="nil"/>
              <w:left w:val="nil"/>
              <w:bottom w:val="dashSmallGap" w:sz="4" w:space="0" w:color="000000"/>
              <w:right w:val="nil"/>
            </w:tcBorders>
            <w:noWrap/>
            <w:vAlign w:val="center"/>
            <w:hideMark/>
          </w:tcPr>
          <w:p w14:paraId="0EAF6B36"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0.64</w:t>
            </w:r>
          </w:p>
        </w:tc>
        <w:tc>
          <w:tcPr>
            <w:tcW w:w="483" w:type="dxa"/>
            <w:tcBorders>
              <w:top w:val="nil"/>
              <w:left w:val="nil"/>
              <w:bottom w:val="dashSmallGap" w:sz="4" w:space="0" w:color="000000"/>
              <w:right w:val="nil"/>
            </w:tcBorders>
            <w:noWrap/>
            <w:vAlign w:val="center"/>
            <w:hideMark/>
          </w:tcPr>
          <w:p w14:paraId="7AB0A40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529" w:type="dxa"/>
            <w:tcBorders>
              <w:top w:val="nil"/>
              <w:left w:val="nil"/>
              <w:bottom w:val="dashSmallGap" w:sz="4" w:space="0" w:color="000000"/>
              <w:right w:val="nil"/>
            </w:tcBorders>
            <w:noWrap/>
            <w:vAlign w:val="center"/>
            <w:hideMark/>
          </w:tcPr>
          <w:p w14:paraId="659156DD"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w:t>
            </w:r>
          </w:p>
        </w:tc>
        <w:tc>
          <w:tcPr>
            <w:tcW w:w="505" w:type="dxa"/>
            <w:tcBorders>
              <w:top w:val="nil"/>
              <w:left w:val="nil"/>
              <w:bottom w:val="dashSmallGap" w:sz="4" w:space="0" w:color="000000"/>
              <w:right w:val="nil"/>
            </w:tcBorders>
            <w:noWrap/>
            <w:vAlign w:val="center"/>
            <w:hideMark/>
          </w:tcPr>
          <w:p w14:paraId="13BE50A7"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51</w:t>
            </w:r>
          </w:p>
        </w:tc>
        <w:tc>
          <w:tcPr>
            <w:tcW w:w="705" w:type="dxa"/>
            <w:tcBorders>
              <w:top w:val="nil"/>
              <w:left w:val="nil"/>
              <w:bottom w:val="dashSmallGap" w:sz="4" w:space="0" w:color="000000"/>
              <w:right w:val="nil"/>
            </w:tcBorders>
            <w:noWrap/>
            <w:vAlign w:val="center"/>
            <w:hideMark/>
          </w:tcPr>
          <w:p w14:paraId="0728CD85"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0.03</w:t>
            </w:r>
          </w:p>
        </w:tc>
      </w:tr>
      <w:tr w:rsidR="00C43CAD" w:rsidRPr="00E9644F" w14:paraId="63A9C155" w14:textId="77777777" w:rsidTr="00C43CAD">
        <w:trPr>
          <w:trHeight w:val="280"/>
        </w:trPr>
        <w:tc>
          <w:tcPr>
            <w:tcW w:w="1161" w:type="dxa"/>
            <w:tcBorders>
              <w:top w:val="dashSmallGap" w:sz="4" w:space="0" w:color="000000"/>
              <w:left w:val="nil"/>
              <w:bottom w:val="dashSmallGap" w:sz="4" w:space="0" w:color="000000"/>
              <w:right w:val="nil"/>
            </w:tcBorders>
          </w:tcPr>
          <w:p w14:paraId="7F9B193F"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dashSmallGap" w:sz="4" w:space="0" w:color="000000"/>
              <w:left w:val="nil"/>
              <w:bottom w:val="dashSmallGap" w:sz="4" w:space="0" w:color="000000"/>
              <w:right w:val="nil"/>
            </w:tcBorders>
            <w:noWrap/>
            <w:vAlign w:val="center"/>
          </w:tcPr>
          <w:p w14:paraId="7C247A8C"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989" w:type="dxa"/>
            <w:vMerge/>
            <w:tcBorders>
              <w:top w:val="dashSmallGap" w:sz="4" w:space="0" w:color="000000"/>
              <w:left w:val="nil"/>
              <w:bottom w:val="dashSmallGap" w:sz="4" w:space="0" w:color="000000"/>
              <w:right w:val="nil"/>
            </w:tcBorders>
            <w:vAlign w:val="center"/>
          </w:tcPr>
          <w:p w14:paraId="1E7E4605"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top w:val="dashSmallGap" w:sz="4" w:space="0" w:color="000000"/>
              <w:left w:val="nil"/>
              <w:bottom w:val="dashSmallGap" w:sz="4" w:space="0" w:color="000000"/>
              <w:right w:val="nil"/>
            </w:tcBorders>
            <w:noWrap/>
            <w:vAlign w:val="center"/>
          </w:tcPr>
          <w:p w14:paraId="6D50FCB7"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884" w:type="dxa"/>
            <w:tcBorders>
              <w:top w:val="dashSmallGap" w:sz="4" w:space="0" w:color="000000"/>
              <w:left w:val="nil"/>
              <w:bottom w:val="dashSmallGap" w:sz="4" w:space="0" w:color="000000"/>
              <w:right w:val="nil"/>
            </w:tcBorders>
            <w:noWrap/>
            <w:vAlign w:val="center"/>
          </w:tcPr>
          <w:p w14:paraId="56FBDC9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483" w:type="dxa"/>
            <w:tcBorders>
              <w:top w:val="dashSmallGap" w:sz="4" w:space="0" w:color="000000"/>
              <w:left w:val="nil"/>
              <w:bottom w:val="dashSmallGap" w:sz="4" w:space="0" w:color="000000"/>
              <w:right w:val="nil"/>
            </w:tcBorders>
            <w:noWrap/>
            <w:vAlign w:val="center"/>
          </w:tcPr>
          <w:p w14:paraId="174A33B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483" w:type="dxa"/>
            <w:tcBorders>
              <w:top w:val="dashSmallGap" w:sz="4" w:space="0" w:color="000000"/>
              <w:left w:val="nil"/>
              <w:bottom w:val="dashSmallGap" w:sz="4" w:space="0" w:color="000000"/>
              <w:right w:val="nil"/>
            </w:tcBorders>
            <w:noWrap/>
            <w:vAlign w:val="center"/>
          </w:tcPr>
          <w:p w14:paraId="14AFE448"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705" w:type="dxa"/>
            <w:tcBorders>
              <w:top w:val="dashSmallGap" w:sz="4" w:space="0" w:color="000000"/>
              <w:left w:val="nil"/>
              <w:bottom w:val="dashSmallGap" w:sz="4" w:space="0" w:color="000000"/>
              <w:right w:val="nil"/>
            </w:tcBorders>
            <w:noWrap/>
            <w:vAlign w:val="center"/>
          </w:tcPr>
          <w:p w14:paraId="3AD552FB"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p>
        </w:tc>
        <w:tc>
          <w:tcPr>
            <w:tcW w:w="515" w:type="dxa"/>
            <w:tcBorders>
              <w:top w:val="dashSmallGap" w:sz="4" w:space="0" w:color="000000"/>
              <w:left w:val="nil"/>
              <w:bottom w:val="dashSmallGap" w:sz="4" w:space="0" w:color="000000"/>
              <w:right w:val="nil"/>
            </w:tcBorders>
            <w:noWrap/>
            <w:vAlign w:val="center"/>
          </w:tcPr>
          <w:p w14:paraId="24DD4333"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630" w:type="dxa"/>
            <w:tcBorders>
              <w:top w:val="dashSmallGap" w:sz="4" w:space="0" w:color="000000"/>
              <w:left w:val="nil"/>
              <w:bottom w:val="dashSmallGap" w:sz="4" w:space="0" w:color="000000"/>
              <w:right w:val="nil"/>
            </w:tcBorders>
            <w:noWrap/>
            <w:vAlign w:val="center"/>
          </w:tcPr>
          <w:p w14:paraId="5767B11A"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551" w:type="dxa"/>
            <w:tcBorders>
              <w:top w:val="dashSmallGap" w:sz="4" w:space="0" w:color="000000"/>
              <w:left w:val="nil"/>
              <w:bottom w:val="dashSmallGap" w:sz="4" w:space="0" w:color="000000"/>
              <w:right w:val="nil"/>
            </w:tcBorders>
            <w:noWrap/>
            <w:vAlign w:val="center"/>
          </w:tcPr>
          <w:p w14:paraId="4002076A"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709" w:type="dxa"/>
            <w:tcBorders>
              <w:top w:val="dashSmallGap" w:sz="4" w:space="0" w:color="000000"/>
              <w:left w:val="nil"/>
              <w:bottom w:val="dashSmallGap" w:sz="4" w:space="0" w:color="000000"/>
              <w:right w:val="nil"/>
            </w:tcBorders>
            <w:noWrap/>
            <w:vAlign w:val="center"/>
          </w:tcPr>
          <w:p w14:paraId="28E34699"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p>
        </w:tc>
        <w:tc>
          <w:tcPr>
            <w:tcW w:w="483" w:type="dxa"/>
            <w:tcBorders>
              <w:top w:val="dashSmallGap" w:sz="4" w:space="0" w:color="000000"/>
              <w:left w:val="nil"/>
              <w:bottom w:val="dashSmallGap" w:sz="4" w:space="0" w:color="000000"/>
              <w:right w:val="nil"/>
            </w:tcBorders>
            <w:noWrap/>
            <w:vAlign w:val="center"/>
          </w:tcPr>
          <w:p w14:paraId="3218344C"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529" w:type="dxa"/>
            <w:tcBorders>
              <w:top w:val="dashSmallGap" w:sz="4" w:space="0" w:color="000000"/>
              <w:left w:val="nil"/>
              <w:bottom w:val="dashSmallGap" w:sz="4" w:space="0" w:color="000000"/>
              <w:right w:val="nil"/>
            </w:tcBorders>
            <w:noWrap/>
            <w:vAlign w:val="center"/>
          </w:tcPr>
          <w:p w14:paraId="659B23D8"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505" w:type="dxa"/>
            <w:tcBorders>
              <w:top w:val="dashSmallGap" w:sz="4" w:space="0" w:color="000000"/>
              <w:left w:val="nil"/>
              <w:bottom w:val="dashSmallGap" w:sz="4" w:space="0" w:color="000000"/>
              <w:right w:val="nil"/>
            </w:tcBorders>
            <w:noWrap/>
            <w:vAlign w:val="center"/>
          </w:tcPr>
          <w:p w14:paraId="0BBB0650"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705" w:type="dxa"/>
            <w:tcBorders>
              <w:top w:val="dashSmallGap" w:sz="4" w:space="0" w:color="000000"/>
              <w:left w:val="nil"/>
              <w:bottom w:val="dashSmallGap" w:sz="4" w:space="0" w:color="000000"/>
              <w:right w:val="nil"/>
            </w:tcBorders>
            <w:noWrap/>
            <w:vAlign w:val="center"/>
          </w:tcPr>
          <w:p w14:paraId="20EDF3AC"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p>
        </w:tc>
      </w:tr>
      <w:tr w:rsidR="00C43CAD" w:rsidRPr="00E9644F" w14:paraId="7EBA572E" w14:textId="77777777" w:rsidTr="00C43CAD">
        <w:trPr>
          <w:trHeight w:val="294"/>
        </w:trPr>
        <w:tc>
          <w:tcPr>
            <w:tcW w:w="1161" w:type="dxa"/>
            <w:vMerge w:val="restart"/>
            <w:tcBorders>
              <w:top w:val="dashSmallGap" w:sz="4" w:space="0" w:color="000000"/>
              <w:left w:val="nil"/>
              <w:right w:val="nil"/>
            </w:tcBorders>
          </w:tcPr>
          <w:p w14:paraId="43F66706" w14:textId="6403C325"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Forest zone</w:t>
            </w:r>
          </w:p>
        </w:tc>
        <w:tc>
          <w:tcPr>
            <w:tcW w:w="1161" w:type="dxa"/>
            <w:tcBorders>
              <w:top w:val="dashSmallGap" w:sz="4" w:space="0" w:color="000000"/>
              <w:left w:val="nil"/>
              <w:bottom w:val="nil"/>
              <w:right w:val="nil"/>
            </w:tcBorders>
            <w:noWrap/>
            <w:vAlign w:val="center"/>
            <w:hideMark/>
          </w:tcPr>
          <w:p w14:paraId="44CF2F73" w14:textId="1402A165"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Wenchi</w:t>
            </w:r>
          </w:p>
        </w:tc>
        <w:tc>
          <w:tcPr>
            <w:tcW w:w="1989" w:type="dxa"/>
            <w:vMerge/>
            <w:tcBorders>
              <w:top w:val="dashSmallGap" w:sz="4" w:space="0" w:color="000000"/>
              <w:left w:val="nil"/>
              <w:bottom w:val="nil"/>
              <w:right w:val="nil"/>
            </w:tcBorders>
            <w:vAlign w:val="center"/>
            <w:hideMark/>
          </w:tcPr>
          <w:p w14:paraId="5B5C1595"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top w:val="dashSmallGap" w:sz="4" w:space="0" w:color="000000"/>
              <w:left w:val="nil"/>
              <w:bottom w:val="nil"/>
              <w:right w:val="nil"/>
            </w:tcBorders>
            <w:noWrap/>
            <w:vAlign w:val="center"/>
            <w:hideMark/>
          </w:tcPr>
          <w:p w14:paraId="76B4E7EB"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52</w:t>
            </w:r>
          </w:p>
        </w:tc>
        <w:tc>
          <w:tcPr>
            <w:tcW w:w="884" w:type="dxa"/>
            <w:tcBorders>
              <w:top w:val="dashSmallGap" w:sz="4" w:space="0" w:color="000000"/>
              <w:left w:val="nil"/>
              <w:bottom w:val="nil"/>
              <w:right w:val="nil"/>
            </w:tcBorders>
            <w:noWrap/>
            <w:vAlign w:val="center"/>
            <w:hideMark/>
          </w:tcPr>
          <w:p w14:paraId="153206B4"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43</w:t>
            </w:r>
          </w:p>
        </w:tc>
        <w:tc>
          <w:tcPr>
            <w:tcW w:w="483" w:type="dxa"/>
            <w:tcBorders>
              <w:top w:val="dashSmallGap" w:sz="4" w:space="0" w:color="000000"/>
              <w:left w:val="nil"/>
              <w:bottom w:val="nil"/>
              <w:right w:val="nil"/>
            </w:tcBorders>
            <w:noWrap/>
            <w:vAlign w:val="center"/>
            <w:hideMark/>
          </w:tcPr>
          <w:p w14:paraId="3B37E342"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8</w:t>
            </w:r>
          </w:p>
        </w:tc>
        <w:tc>
          <w:tcPr>
            <w:tcW w:w="483" w:type="dxa"/>
            <w:tcBorders>
              <w:top w:val="dashSmallGap" w:sz="4" w:space="0" w:color="000000"/>
              <w:left w:val="nil"/>
              <w:bottom w:val="nil"/>
              <w:right w:val="nil"/>
            </w:tcBorders>
            <w:noWrap/>
            <w:vAlign w:val="center"/>
            <w:hideMark/>
          </w:tcPr>
          <w:p w14:paraId="6A1639D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w:t>
            </w:r>
          </w:p>
        </w:tc>
        <w:tc>
          <w:tcPr>
            <w:tcW w:w="705" w:type="dxa"/>
            <w:tcBorders>
              <w:top w:val="dashSmallGap" w:sz="4" w:space="0" w:color="000000"/>
              <w:left w:val="nil"/>
              <w:bottom w:val="nil"/>
              <w:right w:val="nil"/>
            </w:tcBorders>
            <w:noWrap/>
            <w:vAlign w:val="center"/>
            <w:hideMark/>
          </w:tcPr>
          <w:p w14:paraId="71B59EEE"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0.90</w:t>
            </w:r>
          </w:p>
        </w:tc>
        <w:tc>
          <w:tcPr>
            <w:tcW w:w="515" w:type="dxa"/>
            <w:tcBorders>
              <w:top w:val="dashSmallGap" w:sz="4" w:space="0" w:color="000000"/>
              <w:left w:val="nil"/>
              <w:bottom w:val="nil"/>
              <w:right w:val="nil"/>
            </w:tcBorders>
            <w:noWrap/>
            <w:vAlign w:val="center"/>
            <w:hideMark/>
          </w:tcPr>
          <w:p w14:paraId="5F9F08A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w:t>
            </w:r>
          </w:p>
        </w:tc>
        <w:tc>
          <w:tcPr>
            <w:tcW w:w="630" w:type="dxa"/>
            <w:tcBorders>
              <w:top w:val="dashSmallGap" w:sz="4" w:space="0" w:color="000000"/>
              <w:left w:val="nil"/>
              <w:bottom w:val="nil"/>
              <w:right w:val="nil"/>
            </w:tcBorders>
            <w:noWrap/>
            <w:vAlign w:val="center"/>
            <w:hideMark/>
          </w:tcPr>
          <w:p w14:paraId="731B8944"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45</w:t>
            </w:r>
          </w:p>
        </w:tc>
        <w:tc>
          <w:tcPr>
            <w:tcW w:w="551" w:type="dxa"/>
            <w:tcBorders>
              <w:top w:val="dashSmallGap" w:sz="4" w:space="0" w:color="000000"/>
              <w:left w:val="nil"/>
              <w:bottom w:val="nil"/>
              <w:right w:val="nil"/>
            </w:tcBorders>
            <w:noWrap/>
            <w:vAlign w:val="center"/>
            <w:hideMark/>
          </w:tcPr>
          <w:p w14:paraId="026DE20E"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w:t>
            </w:r>
          </w:p>
        </w:tc>
        <w:tc>
          <w:tcPr>
            <w:tcW w:w="709" w:type="dxa"/>
            <w:tcBorders>
              <w:top w:val="dashSmallGap" w:sz="4" w:space="0" w:color="000000"/>
              <w:left w:val="nil"/>
              <w:bottom w:val="nil"/>
              <w:right w:val="nil"/>
            </w:tcBorders>
            <w:noWrap/>
            <w:vAlign w:val="center"/>
            <w:hideMark/>
          </w:tcPr>
          <w:p w14:paraId="4C85D960"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0.49</w:t>
            </w:r>
          </w:p>
        </w:tc>
        <w:tc>
          <w:tcPr>
            <w:tcW w:w="483" w:type="dxa"/>
            <w:tcBorders>
              <w:top w:val="dashSmallGap" w:sz="4" w:space="0" w:color="000000"/>
              <w:left w:val="nil"/>
              <w:bottom w:val="nil"/>
              <w:right w:val="nil"/>
            </w:tcBorders>
            <w:noWrap/>
            <w:vAlign w:val="center"/>
            <w:hideMark/>
          </w:tcPr>
          <w:p w14:paraId="45F10AB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w:t>
            </w:r>
          </w:p>
        </w:tc>
        <w:tc>
          <w:tcPr>
            <w:tcW w:w="529" w:type="dxa"/>
            <w:tcBorders>
              <w:top w:val="dashSmallGap" w:sz="4" w:space="0" w:color="000000"/>
              <w:left w:val="nil"/>
              <w:bottom w:val="nil"/>
              <w:right w:val="nil"/>
            </w:tcBorders>
            <w:noWrap/>
            <w:vAlign w:val="center"/>
            <w:hideMark/>
          </w:tcPr>
          <w:p w14:paraId="4B362E2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w:t>
            </w:r>
          </w:p>
        </w:tc>
        <w:tc>
          <w:tcPr>
            <w:tcW w:w="505" w:type="dxa"/>
            <w:tcBorders>
              <w:top w:val="dashSmallGap" w:sz="4" w:space="0" w:color="000000"/>
              <w:left w:val="nil"/>
              <w:bottom w:val="nil"/>
              <w:right w:val="nil"/>
            </w:tcBorders>
            <w:noWrap/>
            <w:vAlign w:val="center"/>
            <w:hideMark/>
          </w:tcPr>
          <w:p w14:paraId="7896910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47</w:t>
            </w:r>
          </w:p>
        </w:tc>
        <w:tc>
          <w:tcPr>
            <w:tcW w:w="705" w:type="dxa"/>
            <w:tcBorders>
              <w:top w:val="dashSmallGap" w:sz="4" w:space="0" w:color="000000"/>
              <w:left w:val="nil"/>
              <w:bottom w:val="nil"/>
              <w:right w:val="nil"/>
            </w:tcBorders>
            <w:noWrap/>
            <w:vAlign w:val="center"/>
            <w:hideMark/>
          </w:tcPr>
          <w:p w14:paraId="434665C0"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0.07</w:t>
            </w:r>
          </w:p>
        </w:tc>
      </w:tr>
      <w:tr w:rsidR="00C43CAD" w:rsidRPr="00E9644F" w14:paraId="493BDF3E" w14:textId="77777777" w:rsidTr="007E77BD">
        <w:trPr>
          <w:trHeight w:val="280"/>
        </w:trPr>
        <w:tc>
          <w:tcPr>
            <w:tcW w:w="1161" w:type="dxa"/>
            <w:vMerge/>
            <w:tcBorders>
              <w:left w:val="nil"/>
              <w:bottom w:val="nil"/>
              <w:right w:val="nil"/>
            </w:tcBorders>
          </w:tcPr>
          <w:p w14:paraId="2AB32E57"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left w:val="nil"/>
              <w:bottom w:val="nil"/>
              <w:right w:val="nil"/>
            </w:tcBorders>
            <w:noWrap/>
            <w:vAlign w:val="center"/>
          </w:tcPr>
          <w:p w14:paraId="3705770E" w14:textId="1158C220"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Konongo</w:t>
            </w:r>
          </w:p>
        </w:tc>
        <w:tc>
          <w:tcPr>
            <w:tcW w:w="1989" w:type="dxa"/>
            <w:vMerge/>
            <w:tcBorders>
              <w:left w:val="nil"/>
              <w:bottom w:val="nil"/>
              <w:right w:val="nil"/>
            </w:tcBorders>
            <w:vAlign w:val="center"/>
          </w:tcPr>
          <w:p w14:paraId="67B51772"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left w:val="nil"/>
              <w:bottom w:val="nil"/>
              <w:right w:val="nil"/>
            </w:tcBorders>
            <w:noWrap/>
            <w:vAlign w:val="center"/>
          </w:tcPr>
          <w:p w14:paraId="29515592" w14:textId="151BF0DD"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17</w:t>
            </w:r>
          </w:p>
        </w:tc>
        <w:tc>
          <w:tcPr>
            <w:tcW w:w="884" w:type="dxa"/>
            <w:tcBorders>
              <w:left w:val="nil"/>
              <w:bottom w:val="nil"/>
              <w:right w:val="nil"/>
            </w:tcBorders>
            <w:noWrap/>
            <w:vAlign w:val="center"/>
          </w:tcPr>
          <w:p w14:paraId="304C7DC2" w14:textId="6BF3FA5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16</w:t>
            </w:r>
          </w:p>
        </w:tc>
        <w:tc>
          <w:tcPr>
            <w:tcW w:w="483" w:type="dxa"/>
            <w:tcBorders>
              <w:left w:val="nil"/>
              <w:bottom w:val="nil"/>
              <w:right w:val="nil"/>
            </w:tcBorders>
            <w:noWrap/>
            <w:vAlign w:val="center"/>
          </w:tcPr>
          <w:p w14:paraId="01814C67" w14:textId="09D7D452"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w:t>
            </w:r>
          </w:p>
        </w:tc>
        <w:tc>
          <w:tcPr>
            <w:tcW w:w="483" w:type="dxa"/>
            <w:tcBorders>
              <w:left w:val="nil"/>
              <w:bottom w:val="nil"/>
              <w:right w:val="nil"/>
            </w:tcBorders>
            <w:noWrap/>
            <w:vAlign w:val="center"/>
          </w:tcPr>
          <w:p w14:paraId="585CC57C" w14:textId="37F8F2E1"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705" w:type="dxa"/>
            <w:tcBorders>
              <w:left w:val="nil"/>
              <w:bottom w:val="nil"/>
              <w:right w:val="nil"/>
            </w:tcBorders>
            <w:noWrap/>
            <w:vAlign w:val="center"/>
          </w:tcPr>
          <w:p w14:paraId="7A111D7B" w14:textId="648A7834"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0.97</w:t>
            </w:r>
          </w:p>
        </w:tc>
        <w:tc>
          <w:tcPr>
            <w:tcW w:w="515" w:type="dxa"/>
            <w:tcBorders>
              <w:left w:val="nil"/>
              <w:bottom w:val="nil"/>
              <w:right w:val="nil"/>
            </w:tcBorders>
            <w:noWrap/>
            <w:vAlign w:val="center"/>
          </w:tcPr>
          <w:p w14:paraId="7DA4F183" w14:textId="2F325442"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w:t>
            </w:r>
          </w:p>
        </w:tc>
        <w:tc>
          <w:tcPr>
            <w:tcW w:w="630" w:type="dxa"/>
            <w:tcBorders>
              <w:left w:val="nil"/>
              <w:bottom w:val="nil"/>
              <w:right w:val="nil"/>
            </w:tcBorders>
            <w:noWrap/>
            <w:vAlign w:val="center"/>
          </w:tcPr>
          <w:p w14:paraId="3BD23C48" w14:textId="38D73AFF"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551" w:type="dxa"/>
            <w:tcBorders>
              <w:left w:val="nil"/>
              <w:bottom w:val="nil"/>
              <w:right w:val="nil"/>
            </w:tcBorders>
            <w:noWrap/>
            <w:vAlign w:val="center"/>
          </w:tcPr>
          <w:p w14:paraId="0B5F5C38" w14:textId="33FF2C5E"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14</w:t>
            </w:r>
          </w:p>
        </w:tc>
        <w:tc>
          <w:tcPr>
            <w:tcW w:w="709" w:type="dxa"/>
            <w:tcBorders>
              <w:left w:val="nil"/>
              <w:bottom w:val="nil"/>
              <w:right w:val="nil"/>
            </w:tcBorders>
            <w:noWrap/>
            <w:vAlign w:val="center"/>
          </w:tcPr>
          <w:p w14:paraId="64617D73" w14:textId="5F55E2EB"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0.18</w:t>
            </w:r>
          </w:p>
        </w:tc>
        <w:tc>
          <w:tcPr>
            <w:tcW w:w="483" w:type="dxa"/>
            <w:tcBorders>
              <w:left w:val="nil"/>
              <w:bottom w:val="nil"/>
              <w:right w:val="nil"/>
            </w:tcBorders>
            <w:noWrap/>
            <w:vAlign w:val="center"/>
          </w:tcPr>
          <w:p w14:paraId="0B168BF5" w14:textId="7CEF4A3A"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529" w:type="dxa"/>
            <w:tcBorders>
              <w:left w:val="nil"/>
              <w:bottom w:val="nil"/>
              <w:right w:val="nil"/>
            </w:tcBorders>
            <w:noWrap/>
            <w:vAlign w:val="center"/>
          </w:tcPr>
          <w:p w14:paraId="7B03EE0C" w14:textId="02FF92C1"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6</w:t>
            </w:r>
          </w:p>
        </w:tc>
        <w:tc>
          <w:tcPr>
            <w:tcW w:w="505" w:type="dxa"/>
            <w:tcBorders>
              <w:left w:val="nil"/>
              <w:bottom w:val="nil"/>
              <w:right w:val="nil"/>
            </w:tcBorders>
            <w:noWrap/>
            <w:vAlign w:val="center"/>
          </w:tcPr>
          <w:p w14:paraId="60D03D77" w14:textId="21AD9702"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11</w:t>
            </w:r>
          </w:p>
        </w:tc>
        <w:tc>
          <w:tcPr>
            <w:tcW w:w="705" w:type="dxa"/>
            <w:tcBorders>
              <w:left w:val="nil"/>
              <w:bottom w:val="nil"/>
              <w:right w:val="nil"/>
            </w:tcBorders>
            <w:noWrap/>
            <w:vAlign w:val="center"/>
          </w:tcPr>
          <w:p w14:paraId="2FD2E8DB" w14:textId="1B86F79B"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0.18</w:t>
            </w:r>
          </w:p>
        </w:tc>
      </w:tr>
      <w:tr w:rsidR="00C43CAD" w:rsidRPr="00E9644F" w14:paraId="7FA255CC" w14:textId="77777777" w:rsidTr="007E77BD">
        <w:trPr>
          <w:trHeight w:val="280"/>
        </w:trPr>
        <w:tc>
          <w:tcPr>
            <w:tcW w:w="1161" w:type="dxa"/>
            <w:tcBorders>
              <w:left w:val="nil"/>
              <w:bottom w:val="nil"/>
              <w:right w:val="nil"/>
            </w:tcBorders>
          </w:tcPr>
          <w:p w14:paraId="0E1776D2"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left w:val="nil"/>
              <w:bottom w:val="nil"/>
              <w:right w:val="nil"/>
            </w:tcBorders>
            <w:noWrap/>
            <w:vAlign w:val="center"/>
          </w:tcPr>
          <w:p w14:paraId="35360532"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989" w:type="dxa"/>
            <w:vMerge/>
            <w:tcBorders>
              <w:left w:val="nil"/>
              <w:bottom w:val="nil"/>
              <w:right w:val="nil"/>
            </w:tcBorders>
            <w:vAlign w:val="center"/>
          </w:tcPr>
          <w:p w14:paraId="74721DC3"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left w:val="nil"/>
              <w:bottom w:val="nil"/>
              <w:right w:val="nil"/>
            </w:tcBorders>
            <w:noWrap/>
            <w:vAlign w:val="center"/>
          </w:tcPr>
          <w:p w14:paraId="58ECB06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884" w:type="dxa"/>
            <w:tcBorders>
              <w:left w:val="nil"/>
              <w:bottom w:val="nil"/>
              <w:right w:val="nil"/>
            </w:tcBorders>
            <w:noWrap/>
            <w:vAlign w:val="center"/>
          </w:tcPr>
          <w:p w14:paraId="0B397010"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483" w:type="dxa"/>
            <w:tcBorders>
              <w:left w:val="nil"/>
              <w:bottom w:val="nil"/>
              <w:right w:val="nil"/>
            </w:tcBorders>
            <w:noWrap/>
            <w:vAlign w:val="center"/>
          </w:tcPr>
          <w:p w14:paraId="358CD23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483" w:type="dxa"/>
            <w:tcBorders>
              <w:left w:val="nil"/>
              <w:bottom w:val="nil"/>
              <w:right w:val="nil"/>
            </w:tcBorders>
            <w:noWrap/>
            <w:vAlign w:val="center"/>
          </w:tcPr>
          <w:p w14:paraId="7668FE29"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705" w:type="dxa"/>
            <w:tcBorders>
              <w:left w:val="nil"/>
              <w:bottom w:val="nil"/>
              <w:right w:val="nil"/>
            </w:tcBorders>
            <w:noWrap/>
            <w:vAlign w:val="center"/>
          </w:tcPr>
          <w:p w14:paraId="34EB72F7"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p>
        </w:tc>
        <w:tc>
          <w:tcPr>
            <w:tcW w:w="515" w:type="dxa"/>
            <w:tcBorders>
              <w:left w:val="nil"/>
              <w:bottom w:val="nil"/>
              <w:right w:val="nil"/>
            </w:tcBorders>
            <w:noWrap/>
            <w:vAlign w:val="center"/>
          </w:tcPr>
          <w:p w14:paraId="47A6422D"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630" w:type="dxa"/>
            <w:tcBorders>
              <w:left w:val="nil"/>
              <w:bottom w:val="nil"/>
              <w:right w:val="nil"/>
            </w:tcBorders>
            <w:noWrap/>
            <w:vAlign w:val="center"/>
          </w:tcPr>
          <w:p w14:paraId="50458706"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551" w:type="dxa"/>
            <w:tcBorders>
              <w:left w:val="nil"/>
              <w:bottom w:val="nil"/>
              <w:right w:val="nil"/>
            </w:tcBorders>
            <w:noWrap/>
            <w:vAlign w:val="center"/>
          </w:tcPr>
          <w:p w14:paraId="1659C062"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709" w:type="dxa"/>
            <w:tcBorders>
              <w:left w:val="nil"/>
              <w:bottom w:val="nil"/>
              <w:right w:val="nil"/>
            </w:tcBorders>
            <w:noWrap/>
            <w:vAlign w:val="center"/>
          </w:tcPr>
          <w:p w14:paraId="0C3622DB"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p>
        </w:tc>
        <w:tc>
          <w:tcPr>
            <w:tcW w:w="483" w:type="dxa"/>
            <w:tcBorders>
              <w:left w:val="nil"/>
              <w:bottom w:val="nil"/>
              <w:right w:val="nil"/>
            </w:tcBorders>
            <w:noWrap/>
            <w:vAlign w:val="center"/>
          </w:tcPr>
          <w:p w14:paraId="13E3E854"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529" w:type="dxa"/>
            <w:tcBorders>
              <w:left w:val="nil"/>
              <w:bottom w:val="nil"/>
              <w:right w:val="nil"/>
            </w:tcBorders>
            <w:noWrap/>
            <w:vAlign w:val="center"/>
          </w:tcPr>
          <w:p w14:paraId="29549DE8"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505" w:type="dxa"/>
            <w:tcBorders>
              <w:left w:val="nil"/>
              <w:bottom w:val="nil"/>
              <w:right w:val="nil"/>
            </w:tcBorders>
            <w:noWrap/>
            <w:vAlign w:val="center"/>
          </w:tcPr>
          <w:p w14:paraId="2E3A9A62"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p>
        </w:tc>
        <w:tc>
          <w:tcPr>
            <w:tcW w:w="705" w:type="dxa"/>
            <w:tcBorders>
              <w:left w:val="nil"/>
              <w:bottom w:val="nil"/>
              <w:right w:val="nil"/>
            </w:tcBorders>
            <w:noWrap/>
            <w:vAlign w:val="center"/>
          </w:tcPr>
          <w:p w14:paraId="194177EC"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p>
        </w:tc>
      </w:tr>
      <w:tr w:rsidR="00C43CAD" w:rsidRPr="00E9644F" w14:paraId="00CEF424" w14:textId="77777777" w:rsidTr="001834B2">
        <w:trPr>
          <w:trHeight w:val="280"/>
        </w:trPr>
        <w:tc>
          <w:tcPr>
            <w:tcW w:w="1161" w:type="dxa"/>
            <w:vMerge w:val="restart"/>
            <w:tcBorders>
              <w:left w:val="nil"/>
              <w:right w:val="nil"/>
            </w:tcBorders>
          </w:tcPr>
          <w:p w14:paraId="189B35AA" w14:textId="3EA68176"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Coastal savannah</w:t>
            </w:r>
          </w:p>
        </w:tc>
        <w:tc>
          <w:tcPr>
            <w:tcW w:w="1161" w:type="dxa"/>
            <w:tcBorders>
              <w:left w:val="nil"/>
              <w:bottom w:val="nil"/>
              <w:right w:val="nil"/>
            </w:tcBorders>
            <w:noWrap/>
            <w:vAlign w:val="center"/>
            <w:hideMark/>
          </w:tcPr>
          <w:p w14:paraId="5F7AB4F6" w14:textId="5EDB2805"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Ada</w:t>
            </w:r>
          </w:p>
        </w:tc>
        <w:tc>
          <w:tcPr>
            <w:tcW w:w="1989" w:type="dxa"/>
            <w:vMerge/>
            <w:tcBorders>
              <w:left w:val="nil"/>
              <w:bottom w:val="nil"/>
              <w:right w:val="nil"/>
            </w:tcBorders>
            <w:vAlign w:val="center"/>
            <w:hideMark/>
          </w:tcPr>
          <w:p w14:paraId="017D1823"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left w:val="nil"/>
              <w:bottom w:val="nil"/>
              <w:right w:val="nil"/>
            </w:tcBorders>
            <w:noWrap/>
            <w:vAlign w:val="center"/>
            <w:hideMark/>
          </w:tcPr>
          <w:p w14:paraId="3713B73B"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54</w:t>
            </w:r>
          </w:p>
        </w:tc>
        <w:tc>
          <w:tcPr>
            <w:tcW w:w="884" w:type="dxa"/>
            <w:tcBorders>
              <w:left w:val="nil"/>
              <w:bottom w:val="nil"/>
              <w:right w:val="nil"/>
            </w:tcBorders>
            <w:noWrap/>
            <w:vAlign w:val="center"/>
            <w:hideMark/>
          </w:tcPr>
          <w:p w14:paraId="0A6914FA"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52</w:t>
            </w:r>
          </w:p>
        </w:tc>
        <w:tc>
          <w:tcPr>
            <w:tcW w:w="483" w:type="dxa"/>
            <w:tcBorders>
              <w:left w:val="nil"/>
              <w:bottom w:val="nil"/>
              <w:right w:val="nil"/>
            </w:tcBorders>
            <w:noWrap/>
            <w:vAlign w:val="center"/>
            <w:hideMark/>
          </w:tcPr>
          <w:p w14:paraId="7C565EC8"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483" w:type="dxa"/>
            <w:tcBorders>
              <w:left w:val="nil"/>
              <w:bottom w:val="nil"/>
              <w:right w:val="nil"/>
            </w:tcBorders>
            <w:noWrap/>
            <w:vAlign w:val="center"/>
            <w:hideMark/>
          </w:tcPr>
          <w:p w14:paraId="187F260E"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2</w:t>
            </w:r>
          </w:p>
        </w:tc>
        <w:tc>
          <w:tcPr>
            <w:tcW w:w="705" w:type="dxa"/>
            <w:tcBorders>
              <w:left w:val="nil"/>
              <w:bottom w:val="nil"/>
              <w:right w:val="nil"/>
            </w:tcBorders>
            <w:noWrap/>
            <w:vAlign w:val="center"/>
            <w:hideMark/>
          </w:tcPr>
          <w:p w14:paraId="60E3A340"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0.96</w:t>
            </w:r>
          </w:p>
        </w:tc>
        <w:tc>
          <w:tcPr>
            <w:tcW w:w="515" w:type="dxa"/>
            <w:tcBorders>
              <w:left w:val="nil"/>
              <w:bottom w:val="nil"/>
              <w:right w:val="nil"/>
            </w:tcBorders>
            <w:noWrap/>
            <w:vAlign w:val="center"/>
            <w:hideMark/>
          </w:tcPr>
          <w:p w14:paraId="17FAC8FC"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36</w:t>
            </w:r>
          </w:p>
        </w:tc>
        <w:tc>
          <w:tcPr>
            <w:tcW w:w="630" w:type="dxa"/>
            <w:tcBorders>
              <w:left w:val="nil"/>
              <w:bottom w:val="nil"/>
              <w:right w:val="nil"/>
            </w:tcBorders>
            <w:noWrap/>
            <w:vAlign w:val="center"/>
            <w:hideMark/>
          </w:tcPr>
          <w:p w14:paraId="0AFD3342"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w:t>
            </w:r>
          </w:p>
        </w:tc>
        <w:tc>
          <w:tcPr>
            <w:tcW w:w="551" w:type="dxa"/>
            <w:tcBorders>
              <w:left w:val="nil"/>
              <w:bottom w:val="nil"/>
              <w:right w:val="nil"/>
            </w:tcBorders>
            <w:noWrap/>
            <w:vAlign w:val="center"/>
            <w:hideMark/>
          </w:tcPr>
          <w:p w14:paraId="2EA417E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14</w:t>
            </w:r>
          </w:p>
        </w:tc>
        <w:tc>
          <w:tcPr>
            <w:tcW w:w="709" w:type="dxa"/>
            <w:tcBorders>
              <w:left w:val="nil"/>
              <w:bottom w:val="nil"/>
              <w:right w:val="nil"/>
            </w:tcBorders>
            <w:noWrap/>
            <w:vAlign w:val="center"/>
            <w:hideMark/>
          </w:tcPr>
          <w:p w14:paraId="68370510"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0.70</w:t>
            </w:r>
          </w:p>
        </w:tc>
        <w:tc>
          <w:tcPr>
            <w:tcW w:w="483" w:type="dxa"/>
            <w:tcBorders>
              <w:left w:val="nil"/>
              <w:bottom w:val="nil"/>
              <w:right w:val="nil"/>
            </w:tcBorders>
            <w:noWrap/>
            <w:vAlign w:val="center"/>
            <w:hideMark/>
          </w:tcPr>
          <w:p w14:paraId="21CA1D77"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w:t>
            </w:r>
          </w:p>
        </w:tc>
        <w:tc>
          <w:tcPr>
            <w:tcW w:w="529" w:type="dxa"/>
            <w:tcBorders>
              <w:left w:val="nil"/>
              <w:bottom w:val="nil"/>
              <w:right w:val="nil"/>
            </w:tcBorders>
            <w:noWrap/>
            <w:vAlign w:val="center"/>
            <w:hideMark/>
          </w:tcPr>
          <w:p w14:paraId="61D93239"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2</w:t>
            </w:r>
          </w:p>
        </w:tc>
        <w:tc>
          <w:tcPr>
            <w:tcW w:w="505" w:type="dxa"/>
            <w:tcBorders>
              <w:left w:val="nil"/>
              <w:bottom w:val="nil"/>
              <w:right w:val="nil"/>
            </w:tcBorders>
            <w:noWrap/>
            <w:vAlign w:val="center"/>
            <w:hideMark/>
          </w:tcPr>
          <w:p w14:paraId="6468A64C"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51</w:t>
            </w:r>
          </w:p>
        </w:tc>
        <w:tc>
          <w:tcPr>
            <w:tcW w:w="705" w:type="dxa"/>
            <w:tcBorders>
              <w:left w:val="nil"/>
              <w:bottom w:val="nil"/>
              <w:right w:val="nil"/>
            </w:tcBorders>
            <w:noWrap/>
            <w:vAlign w:val="center"/>
            <w:hideMark/>
          </w:tcPr>
          <w:p w14:paraId="1DC0998A"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0.04</w:t>
            </w:r>
          </w:p>
        </w:tc>
      </w:tr>
      <w:tr w:rsidR="00C43CAD" w:rsidRPr="00E9644F" w14:paraId="6EE43019" w14:textId="77777777" w:rsidTr="001834B2">
        <w:trPr>
          <w:trHeight w:val="280"/>
        </w:trPr>
        <w:tc>
          <w:tcPr>
            <w:tcW w:w="1161" w:type="dxa"/>
            <w:vMerge/>
            <w:tcBorders>
              <w:left w:val="nil"/>
              <w:right w:val="nil"/>
            </w:tcBorders>
          </w:tcPr>
          <w:p w14:paraId="17437297"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left w:val="nil"/>
              <w:bottom w:val="nil"/>
              <w:right w:val="nil"/>
            </w:tcBorders>
            <w:noWrap/>
            <w:vAlign w:val="center"/>
            <w:hideMark/>
          </w:tcPr>
          <w:p w14:paraId="17B5B2F8" w14:textId="1566792D"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Tema</w:t>
            </w:r>
          </w:p>
        </w:tc>
        <w:tc>
          <w:tcPr>
            <w:tcW w:w="1989" w:type="dxa"/>
            <w:vMerge/>
            <w:tcBorders>
              <w:left w:val="nil"/>
              <w:bottom w:val="nil"/>
              <w:right w:val="nil"/>
            </w:tcBorders>
            <w:vAlign w:val="center"/>
            <w:hideMark/>
          </w:tcPr>
          <w:p w14:paraId="309FA175"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left w:val="nil"/>
              <w:bottom w:val="nil"/>
              <w:right w:val="nil"/>
            </w:tcBorders>
            <w:noWrap/>
            <w:vAlign w:val="center"/>
            <w:hideMark/>
          </w:tcPr>
          <w:p w14:paraId="7701E107"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94</w:t>
            </w:r>
          </w:p>
        </w:tc>
        <w:tc>
          <w:tcPr>
            <w:tcW w:w="884" w:type="dxa"/>
            <w:tcBorders>
              <w:left w:val="nil"/>
              <w:bottom w:val="nil"/>
              <w:right w:val="nil"/>
            </w:tcBorders>
            <w:noWrap/>
            <w:vAlign w:val="center"/>
            <w:hideMark/>
          </w:tcPr>
          <w:p w14:paraId="1E22B1BC"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83</w:t>
            </w:r>
          </w:p>
        </w:tc>
        <w:tc>
          <w:tcPr>
            <w:tcW w:w="483" w:type="dxa"/>
            <w:tcBorders>
              <w:left w:val="nil"/>
              <w:bottom w:val="nil"/>
              <w:right w:val="nil"/>
            </w:tcBorders>
            <w:noWrap/>
            <w:vAlign w:val="center"/>
            <w:hideMark/>
          </w:tcPr>
          <w:p w14:paraId="34092F9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8</w:t>
            </w:r>
          </w:p>
        </w:tc>
        <w:tc>
          <w:tcPr>
            <w:tcW w:w="483" w:type="dxa"/>
            <w:tcBorders>
              <w:left w:val="nil"/>
              <w:bottom w:val="nil"/>
              <w:right w:val="nil"/>
            </w:tcBorders>
            <w:noWrap/>
            <w:vAlign w:val="center"/>
            <w:hideMark/>
          </w:tcPr>
          <w:p w14:paraId="5F74B4B0"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w:t>
            </w:r>
          </w:p>
        </w:tc>
        <w:tc>
          <w:tcPr>
            <w:tcW w:w="705" w:type="dxa"/>
            <w:tcBorders>
              <w:left w:val="nil"/>
              <w:bottom w:val="nil"/>
              <w:right w:val="nil"/>
            </w:tcBorders>
            <w:noWrap/>
            <w:vAlign w:val="center"/>
            <w:hideMark/>
          </w:tcPr>
          <w:p w14:paraId="1B449A2F"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0.93</w:t>
            </w:r>
          </w:p>
        </w:tc>
        <w:tc>
          <w:tcPr>
            <w:tcW w:w="515" w:type="dxa"/>
            <w:tcBorders>
              <w:left w:val="nil"/>
              <w:bottom w:val="nil"/>
              <w:right w:val="nil"/>
            </w:tcBorders>
            <w:noWrap/>
            <w:vAlign w:val="center"/>
            <w:hideMark/>
          </w:tcPr>
          <w:p w14:paraId="31DBB32C"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44</w:t>
            </w:r>
          </w:p>
        </w:tc>
        <w:tc>
          <w:tcPr>
            <w:tcW w:w="630" w:type="dxa"/>
            <w:tcBorders>
              <w:left w:val="nil"/>
              <w:bottom w:val="nil"/>
              <w:right w:val="nil"/>
            </w:tcBorders>
            <w:noWrap/>
            <w:vAlign w:val="center"/>
            <w:hideMark/>
          </w:tcPr>
          <w:p w14:paraId="54757E5E"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20</w:t>
            </w:r>
          </w:p>
        </w:tc>
        <w:tc>
          <w:tcPr>
            <w:tcW w:w="551" w:type="dxa"/>
            <w:tcBorders>
              <w:left w:val="nil"/>
              <w:bottom w:val="nil"/>
              <w:right w:val="nil"/>
            </w:tcBorders>
            <w:noWrap/>
            <w:vAlign w:val="center"/>
            <w:hideMark/>
          </w:tcPr>
          <w:p w14:paraId="3A7DBEC1"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32</w:t>
            </w:r>
          </w:p>
        </w:tc>
        <w:tc>
          <w:tcPr>
            <w:tcW w:w="709" w:type="dxa"/>
            <w:tcBorders>
              <w:left w:val="nil"/>
              <w:bottom w:val="nil"/>
              <w:right w:val="nil"/>
            </w:tcBorders>
            <w:noWrap/>
            <w:vAlign w:val="center"/>
            <w:hideMark/>
          </w:tcPr>
          <w:p w14:paraId="050BCD74"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0.57</w:t>
            </w:r>
          </w:p>
        </w:tc>
        <w:tc>
          <w:tcPr>
            <w:tcW w:w="483" w:type="dxa"/>
            <w:tcBorders>
              <w:left w:val="nil"/>
              <w:bottom w:val="nil"/>
              <w:right w:val="nil"/>
            </w:tcBorders>
            <w:noWrap/>
            <w:vAlign w:val="center"/>
            <w:hideMark/>
          </w:tcPr>
          <w:p w14:paraId="30D59EBA"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17</w:t>
            </w:r>
          </w:p>
        </w:tc>
        <w:tc>
          <w:tcPr>
            <w:tcW w:w="529" w:type="dxa"/>
            <w:tcBorders>
              <w:left w:val="nil"/>
              <w:bottom w:val="nil"/>
              <w:right w:val="nil"/>
            </w:tcBorders>
            <w:noWrap/>
            <w:vAlign w:val="center"/>
            <w:hideMark/>
          </w:tcPr>
          <w:p w14:paraId="0E37194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w:t>
            </w:r>
          </w:p>
        </w:tc>
        <w:tc>
          <w:tcPr>
            <w:tcW w:w="505" w:type="dxa"/>
            <w:tcBorders>
              <w:left w:val="nil"/>
              <w:bottom w:val="nil"/>
              <w:right w:val="nil"/>
            </w:tcBorders>
            <w:noWrap/>
            <w:vAlign w:val="center"/>
            <w:hideMark/>
          </w:tcPr>
          <w:p w14:paraId="72D11B6B"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36</w:t>
            </w:r>
          </w:p>
        </w:tc>
        <w:tc>
          <w:tcPr>
            <w:tcW w:w="705" w:type="dxa"/>
            <w:tcBorders>
              <w:left w:val="nil"/>
              <w:bottom w:val="nil"/>
              <w:right w:val="nil"/>
            </w:tcBorders>
            <w:noWrap/>
            <w:vAlign w:val="center"/>
            <w:hideMark/>
          </w:tcPr>
          <w:p w14:paraId="5B15D048"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0.20</w:t>
            </w:r>
          </w:p>
        </w:tc>
      </w:tr>
      <w:tr w:rsidR="00C43CAD" w:rsidRPr="00E9644F" w14:paraId="6E455DF1" w14:textId="77777777" w:rsidTr="001834B2">
        <w:trPr>
          <w:trHeight w:val="280"/>
        </w:trPr>
        <w:tc>
          <w:tcPr>
            <w:tcW w:w="1161" w:type="dxa"/>
            <w:vMerge/>
            <w:tcBorders>
              <w:left w:val="nil"/>
              <w:right w:val="nil"/>
            </w:tcBorders>
          </w:tcPr>
          <w:p w14:paraId="54460060"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nil"/>
              <w:left w:val="nil"/>
              <w:bottom w:val="nil"/>
              <w:right w:val="nil"/>
            </w:tcBorders>
            <w:noWrap/>
            <w:vAlign w:val="center"/>
            <w:hideMark/>
          </w:tcPr>
          <w:p w14:paraId="415820ED" w14:textId="118FCA06"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Accra</w:t>
            </w:r>
          </w:p>
        </w:tc>
        <w:tc>
          <w:tcPr>
            <w:tcW w:w="1989" w:type="dxa"/>
            <w:vMerge/>
            <w:tcBorders>
              <w:top w:val="nil"/>
              <w:left w:val="nil"/>
              <w:bottom w:val="nil"/>
              <w:right w:val="nil"/>
            </w:tcBorders>
            <w:vAlign w:val="center"/>
            <w:hideMark/>
          </w:tcPr>
          <w:p w14:paraId="6CF3ECC7"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top w:val="nil"/>
              <w:left w:val="nil"/>
              <w:bottom w:val="nil"/>
              <w:right w:val="nil"/>
            </w:tcBorders>
            <w:noWrap/>
            <w:vAlign w:val="center"/>
            <w:hideMark/>
          </w:tcPr>
          <w:p w14:paraId="64CF6F79"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58</w:t>
            </w:r>
          </w:p>
        </w:tc>
        <w:tc>
          <w:tcPr>
            <w:tcW w:w="884" w:type="dxa"/>
            <w:tcBorders>
              <w:top w:val="nil"/>
              <w:left w:val="nil"/>
              <w:bottom w:val="nil"/>
              <w:right w:val="nil"/>
            </w:tcBorders>
            <w:noWrap/>
            <w:vAlign w:val="center"/>
            <w:hideMark/>
          </w:tcPr>
          <w:p w14:paraId="04F4656E"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44</w:t>
            </w:r>
          </w:p>
        </w:tc>
        <w:tc>
          <w:tcPr>
            <w:tcW w:w="483" w:type="dxa"/>
            <w:tcBorders>
              <w:top w:val="nil"/>
              <w:left w:val="nil"/>
              <w:bottom w:val="nil"/>
              <w:right w:val="nil"/>
            </w:tcBorders>
            <w:noWrap/>
            <w:vAlign w:val="center"/>
            <w:hideMark/>
          </w:tcPr>
          <w:p w14:paraId="2EE3D2BA"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14</w:t>
            </w:r>
          </w:p>
        </w:tc>
        <w:tc>
          <w:tcPr>
            <w:tcW w:w="483" w:type="dxa"/>
            <w:tcBorders>
              <w:top w:val="nil"/>
              <w:left w:val="nil"/>
              <w:bottom w:val="nil"/>
              <w:right w:val="nil"/>
            </w:tcBorders>
            <w:noWrap/>
            <w:vAlign w:val="center"/>
            <w:hideMark/>
          </w:tcPr>
          <w:p w14:paraId="7517F206"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705" w:type="dxa"/>
            <w:tcBorders>
              <w:top w:val="nil"/>
              <w:left w:val="nil"/>
              <w:bottom w:val="nil"/>
              <w:right w:val="nil"/>
            </w:tcBorders>
            <w:noWrap/>
            <w:vAlign w:val="center"/>
            <w:hideMark/>
          </w:tcPr>
          <w:p w14:paraId="32ACC2D2"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0.88</w:t>
            </w:r>
          </w:p>
        </w:tc>
        <w:tc>
          <w:tcPr>
            <w:tcW w:w="515" w:type="dxa"/>
            <w:tcBorders>
              <w:top w:val="nil"/>
              <w:left w:val="nil"/>
              <w:bottom w:val="nil"/>
              <w:right w:val="nil"/>
            </w:tcBorders>
            <w:noWrap/>
            <w:vAlign w:val="center"/>
            <w:hideMark/>
          </w:tcPr>
          <w:p w14:paraId="28BAC8D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34</w:t>
            </w:r>
          </w:p>
        </w:tc>
        <w:tc>
          <w:tcPr>
            <w:tcW w:w="630" w:type="dxa"/>
            <w:tcBorders>
              <w:top w:val="nil"/>
              <w:left w:val="nil"/>
              <w:bottom w:val="nil"/>
              <w:right w:val="nil"/>
            </w:tcBorders>
            <w:noWrap/>
            <w:vAlign w:val="center"/>
            <w:hideMark/>
          </w:tcPr>
          <w:p w14:paraId="20B7655A"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19</w:t>
            </w:r>
          </w:p>
        </w:tc>
        <w:tc>
          <w:tcPr>
            <w:tcW w:w="551" w:type="dxa"/>
            <w:tcBorders>
              <w:top w:val="nil"/>
              <w:left w:val="nil"/>
              <w:bottom w:val="nil"/>
              <w:right w:val="nil"/>
            </w:tcBorders>
            <w:noWrap/>
            <w:vAlign w:val="center"/>
            <w:hideMark/>
          </w:tcPr>
          <w:p w14:paraId="36B7FC98"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5</w:t>
            </w:r>
          </w:p>
        </w:tc>
        <w:tc>
          <w:tcPr>
            <w:tcW w:w="709" w:type="dxa"/>
            <w:tcBorders>
              <w:top w:val="nil"/>
              <w:left w:val="nil"/>
              <w:bottom w:val="nil"/>
              <w:right w:val="nil"/>
            </w:tcBorders>
            <w:noWrap/>
            <w:vAlign w:val="center"/>
            <w:hideMark/>
          </w:tcPr>
          <w:p w14:paraId="4B623753"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0.75</w:t>
            </w:r>
          </w:p>
        </w:tc>
        <w:tc>
          <w:tcPr>
            <w:tcW w:w="483" w:type="dxa"/>
            <w:tcBorders>
              <w:top w:val="nil"/>
              <w:left w:val="nil"/>
              <w:bottom w:val="nil"/>
              <w:right w:val="nil"/>
            </w:tcBorders>
            <w:noWrap/>
            <w:vAlign w:val="center"/>
            <w:hideMark/>
          </w:tcPr>
          <w:p w14:paraId="11F13868"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529" w:type="dxa"/>
            <w:tcBorders>
              <w:top w:val="nil"/>
              <w:left w:val="nil"/>
              <w:bottom w:val="nil"/>
              <w:right w:val="nil"/>
            </w:tcBorders>
            <w:noWrap/>
            <w:vAlign w:val="center"/>
            <w:hideMark/>
          </w:tcPr>
          <w:p w14:paraId="6E0DABAB"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505" w:type="dxa"/>
            <w:tcBorders>
              <w:top w:val="nil"/>
              <w:left w:val="nil"/>
              <w:bottom w:val="nil"/>
              <w:right w:val="nil"/>
            </w:tcBorders>
            <w:noWrap/>
            <w:vAlign w:val="center"/>
            <w:hideMark/>
          </w:tcPr>
          <w:p w14:paraId="1D7FC0AD"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705" w:type="dxa"/>
            <w:tcBorders>
              <w:top w:val="nil"/>
              <w:left w:val="nil"/>
              <w:bottom w:val="nil"/>
              <w:right w:val="nil"/>
            </w:tcBorders>
            <w:noWrap/>
            <w:vAlign w:val="center"/>
            <w:hideMark/>
          </w:tcPr>
          <w:p w14:paraId="490F6292"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0.00</w:t>
            </w:r>
          </w:p>
        </w:tc>
      </w:tr>
      <w:tr w:rsidR="00C43CAD" w:rsidRPr="00E9644F" w14:paraId="1F384AFA" w14:textId="77777777" w:rsidTr="00C43CAD">
        <w:trPr>
          <w:trHeight w:val="280"/>
        </w:trPr>
        <w:tc>
          <w:tcPr>
            <w:tcW w:w="1161" w:type="dxa"/>
            <w:vMerge/>
            <w:tcBorders>
              <w:left w:val="nil"/>
              <w:bottom w:val="dashSmallGap" w:sz="4" w:space="0" w:color="000000"/>
              <w:right w:val="nil"/>
            </w:tcBorders>
          </w:tcPr>
          <w:p w14:paraId="404C5B1A"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nil"/>
              <w:left w:val="nil"/>
              <w:bottom w:val="dashSmallGap" w:sz="4" w:space="0" w:color="000000"/>
              <w:right w:val="nil"/>
            </w:tcBorders>
            <w:noWrap/>
            <w:vAlign w:val="center"/>
            <w:hideMark/>
          </w:tcPr>
          <w:p w14:paraId="4BFAA5C6" w14:textId="436622A8"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Takoradi</w:t>
            </w:r>
          </w:p>
        </w:tc>
        <w:tc>
          <w:tcPr>
            <w:tcW w:w="1989" w:type="dxa"/>
            <w:vMerge/>
            <w:tcBorders>
              <w:top w:val="nil"/>
              <w:left w:val="nil"/>
              <w:bottom w:val="dashSmallGap" w:sz="4" w:space="0" w:color="000000"/>
              <w:right w:val="nil"/>
            </w:tcBorders>
            <w:vAlign w:val="center"/>
            <w:hideMark/>
          </w:tcPr>
          <w:p w14:paraId="69B68574" w14:textId="77777777" w:rsidR="00C43CAD" w:rsidRPr="00E9644F" w:rsidRDefault="00C43CAD" w:rsidP="007E77BD">
            <w:pPr>
              <w:spacing w:after="0" w:line="240" w:lineRule="auto"/>
              <w:rPr>
                <w:rFonts w:ascii="Times New Roman" w:eastAsia="Times New Roman" w:hAnsi="Times New Roman" w:cs="Times New Roman"/>
                <w:color w:val="000000"/>
                <w:kern w:val="0"/>
                <w:sz w:val="20"/>
                <w:szCs w:val="20"/>
                <w14:ligatures w14:val="none"/>
              </w:rPr>
            </w:pPr>
          </w:p>
        </w:tc>
        <w:tc>
          <w:tcPr>
            <w:tcW w:w="575" w:type="dxa"/>
            <w:tcBorders>
              <w:top w:val="nil"/>
              <w:left w:val="nil"/>
              <w:bottom w:val="dashSmallGap" w:sz="4" w:space="0" w:color="000000"/>
              <w:right w:val="nil"/>
            </w:tcBorders>
            <w:noWrap/>
            <w:vAlign w:val="center"/>
            <w:hideMark/>
          </w:tcPr>
          <w:p w14:paraId="1A2A9BE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155</w:t>
            </w:r>
          </w:p>
        </w:tc>
        <w:tc>
          <w:tcPr>
            <w:tcW w:w="884" w:type="dxa"/>
            <w:tcBorders>
              <w:top w:val="nil"/>
              <w:left w:val="nil"/>
              <w:bottom w:val="dashSmallGap" w:sz="4" w:space="0" w:color="000000"/>
              <w:right w:val="nil"/>
            </w:tcBorders>
            <w:noWrap/>
            <w:vAlign w:val="center"/>
            <w:hideMark/>
          </w:tcPr>
          <w:p w14:paraId="6FAB511E"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75</w:t>
            </w:r>
          </w:p>
        </w:tc>
        <w:tc>
          <w:tcPr>
            <w:tcW w:w="483" w:type="dxa"/>
            <w:tcBorders>
              <w:top w:val="nil"/>
              <w:left w:val="nil"/>
              <w:bottom w:val="dashSmallGap" w:sz="4" w:space="0" w:color="000000"/>
              <w:right w:val="nil"/>
            </w:tcBorders>
            <w:noWrap/>
            <w:vAlign w:val="center"/>
            <w:hideMark/>
          </w:tcPr>
          <w:p w14:paraId="1A53DD31"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74</w:t>
            </w:r>
          </w:p>
        </w:tc>
        <w:tc>
          <w:tcPr>
            <w:tcW w:w="483" w:type="dxa"/>
            <w:tcBorders>
              <w:top w:val="nil"/>
              <w:left w:val="nil"/>
              <w:bottom w:val="dashSmallGap" w:sz="4" w:space="0" w:color="000000"/>
              <w:right w:val="nil"/>
            </w:tcBorders>
            <w:noWrap/>
            <w:vAlign w:val="center"/>
            <w:hideMark/>
          </w:tcPr>
          <w:p w14:paraId="1E596CDB"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6</w:t>
            </w:r>
          </w:p>
        </w:tc>
        <w:tc>
          <w:tcPr>
            <w:tcW w:w="705" w:type="dxa"/>
            <w:tcBorders>
              <w:top w:val="nil"/>
              <w:left w:val="nil"/>
              <w:bottom w:val="dashSmallGap" w:sz="4" w:space="0" w:color="000000"/>
              <w:right w:val="nil"/>
            </w:tcBorders>
            <w:noWrap/>
            <w:vAlign w:val="center"/>
            <w:hideMark/>
          </w:tcPr>
          <w:p w14:paraId="67B1CF0B"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0.72</w:t>
            </w:r>
          </w:p>
        </w:tc>
        <w:tc>
          <w:tcPr>
            <w:tcW w:w="515" w:type="dxa"/>
            <w:tcBorders>
              <w:top w:val="nil"/>
              <w:left w:val="nil"/>
              <w:bottom w:val="dashSmallGap" w:sz="4" w:space="0" w:color="000000"/>
              <w:right w:val="nil"/>
            </w:tcBorders>
            <w:noWrap/>
            <w:vAlign w:val="center"/>
            <w:hideMark/>
          </w:tcPr>
          <w:p w14:paraId="2B60CFC2"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0</w:t>
            </w:r>
          </w:p>
        </w:tc>
        <w:tc>
          <w:tcPr>
            <w:tcW w:w="630" w:type="dxa"/>
            <w:tcBorders>
              <w:top w:val="nil"/>
              <w:left w:val="nil"/>
              <w:bottom w:val="dashSmallGap" w:sz="4" w:space="0" w:color="000000"/>
              <w:right w:val="nil"/>
            </w:tcBorders>
            <w:noWrap/>
            <w:vAlign w:val="center"/>
            <w:hideMark/>
          </w:tcPr>
          <w:p w14:paraId="3C0F1B7F"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149</w:t>
            </w:r>
          </w:p>
        </w:tc>
        <w:tc>
          <w:tcPr>
            <w:tcW w:w="551" w:type="dxa"/>
            <w:tcBorders>
              <w:top w:val="nil"/>
              <w:left w:val="nil"/>
              <w:bottom w:val="dashSmallGap" w:sz="4" w:space="0" w:color="000000"/>
              <w:right w:val="nil"/>
            </w:tcBorders>
            <w:noWrap/>
            <w:vAlign w:val="center"/>
            <w:hideMark/>
          </w:tcPr>
          <w:p w14:paraId="2A9E9EB2" w14:textId="77777777" w:rsidR="00C43CAD" w:rsidRPr="00E9644F" w:rsidRDefault="00C43CA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6</w:t>
            </w:r>
          </w:p>
        </w:tc>
        <w:tc>
          <w:tcPr>
            <w:tcW w:w="709" w:type="dxa"/>
            <w:tcBorders>
              <w:top w:val="nil"/>
              <w:left w:val="nil"/>
              <w:bottom w:val="dashSmallGap" w:sz="4" w:space="0" w:color="000000"/>
              <w:right w:val="nil"/>
            </w:tcBorders>
            <w:noWrap/>
            <w:vAlign w:val="center"/>
            <w:hideMark/>
          </w:tcPr>
          <w:p w14:paraId="223AD80D"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0.48</w:t>
            </w:r>
          </w:p>
        </w:tc>
        <w:tc>
          <w:tcPr>
            <w:tcW w:w="483" w:type="dxa"/>
            <w:tcBorders>
              <w:top w:val="nil"/>
              <w:left w:val="nil"/>
              <w:bottom w:val="dashSmallGap" w:sz="4" w:space="0" w:color="000000"/>
              <w:right w:val="nil"/>
            </w:tcBorders>
            <w:noWrap/>
            <w:vAlign w:val="center"/>
            <w:hideMark/>
          </w:tcPr>
          <w:p w14:paraId="467F25D7"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32</w:t>
            </w:r>
          </w:p>
        </w:tc>
        <w:tc>
          <w:tcPr>
            <w:tcW w:w="529" w:type="dxa"/>
            <w:tcBorders>
              <w:top w:val="nil"/>
              <w:left w:val="nil"/>
              <w:bottom w:val="dashSmallGap" w:sz="4" w:space="0" w:color="000000"/>
              <w:right w:val="nil"/>
            </w:tcBorders>
            <w:noWrap/>
            <w:vAlign w:val="center"/>
            <w:hideMark/>
          </w:tcPr>
          <w:p w14:paraId="16DB8F03"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28</w:t>
            </w:r>
          </w:p>
        </w:tc>
        <w:tc>
          <w:tcPr>
            <w:tcW w:w="505" w:type="dxa"/>
            <w:tcBorders>
              <w:top w:val="nil"/>
              <w:left w:val="nil"/>
              <w:bottom w:val="dashSmallGap" w:sz="4" w:space="0" w:color="000000"/>
              <w:right w:val="nil"/>
            </w:tcBorders>
            <w:noWrap/>
            <w:vAlign w:val="center"/>
            <w:hideMark/>
          </w:tcPr>
          <w:p w14:paraId="000A1AC5" w14:textId="77777777" w:rsidR="00C43CAD" w:rsidRPr="00E9644F" w:rsidRDefault="00C43CAD" w:rsidP="007E77BD">
            <w:pPr>
              <w:spacing w:after="0" w:line="240" w:lineRule="auto"/>
              <w:jc w:val="center"/>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95</w:t>
            </w:r>
          </w:p>
        </w:tc>
        <w:tc>
          <w:tcPr>
            <w:tcW w:w="705" w:type="dxa"/>
            <w:tcBorders>
              <w:top w:val="nil"/>
              <w:left w:val="nil"/>
              <w:bottom w:val="dashSmallGap" w:sz="4" w:space="0" w:color="000000"/>
              <w:right w:val="nil"/>
            </w:tcBorders>
            <w:noWrap/>
            <w:vAlign w:val="center"/>
            <w:hideMark/>
          </w:tcPr>
          <w:p w14:paraId="1EB19F48" w14:textId="77777777" w:rsidR="00C43CAD" w:rsidRPr="00E9644F" w:rsidRDefault="00C43CA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0.30</w:t>
            </w:r>
          </w:p>
        </w:tc>
      </w:tr>
      <w:tr w:rsidR="007E77BD" w:rsidRPr="00E9644F" w14:paraId="06A67EEC" w14:textId="77777777" w:rsidTr="00C43CAD">
        <w:trPr>
          <w:trHeight w:val="280"/>
        </w:trPr>
        <w:tc>
          <w:tcPr>
            <w:tcW w:w="1161" w:type="dxa"/>
            <w:tcBorders>
              <w:top w:val="dashSmallGap" w:sz="4" w:space="0" w:color="000000"/>
              <w:left w:val="nil"/>
              <w:bottom w:val="dashSmallGap" w:sz="4" w:space="0" w:color="000000"/>
              <w:right w:val="nil"/>
            </w:tcBorders>
          </w:tcPr>
          <w:p w14:paraId="4EA85658"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1161" w:type="dxa"/>
            <w:tcBorders>
              <w:top w:val="dashSmallGap" w:sz="4" w:space="0" w:color="000000"/>
              <w:left w:val="nil"/>
              <w:bottom w:val="dashSmallGap" w:sz="4" w:space="0" w:color="000000"/>
              <w:right w:val="nil"/>
            </w:tcBorders>
            <w:noWrap/>
            <w:vAlign w:val="bottom"/>
          </w:tcPr>
          <w:p w14:paraId="2845DE9B" w14:textId="11323859"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1989" w:type="dxa"/>
            <w:tcBorders>
              <w:top w:val="dashSmallGap" w:sz="4" w:space="0" w:color="000000"/>
              <w:left w:val="nil"/>
              <w:bottom w:val="dashSmallGap" w:sz="4" w:space="0" w:color="000000"/>
              <w:right w:val="nil"/>
            </w:tcBorders>
            <w:noWrap/>
            <w:vAlign w:val="bottom"/>
          </w:tcPr>
          <w:p w14:paraId="1B79A3E5" w14:textId="77777777" w:rsidR="007E77BD" w:rsidRPr="00E9644F" w:rsidRDefault="007E77BD" w:rsidP="007E77BD">
            <w:pPr>
              <w:spacing w:after="0" w:line="240" w:lineRule="auto"/>
              <w:rPr>
                <w:rFonts w:ascii="Times New Roman" w:eastAsia="Times New Roman" w:hAnsi="Times New Roman" w:cs="Times New Roman"/>
                <w:b/>
                <w:bCs/>
                <w:color w:val="000000"/>
                <w:kern w:val="0"/>
                <w:sz w:val="20"/>
                <w:szCs w:val="20"/>
                <w14:ligatures w14:val="none"/>
              </w:rPr>
            </w:pPr>
          </w:p>
        </w:tc>
        <w:tc>
          <w:tcPr>
            <w:tcW w:w="575" w:type="dxa"/>
            <w:tcBorders>
              <w:top w:val="dashSmallGap" w:sz="4" w:space="0" w:color="000000"/>
              <w:left w:val="nil"/>
              <w:bottom w:val="dashSmallGap" w:sz="4" w:space="0" w:color="000000"/>
              <w:right w:val="nil"/>
            </w:tcBorders>
            <w:noWrap/>
            <w:vAlign w:val="bottom"/>
          </w:tcPr>
          <w:p w14:paraId="24915BE3" w14:textId="77777777" w:rsidR="007E77BD" w:rsidRPr="00E9644F" w:rsidRDefault="007E77BD" w:rsidP="007E77BD">
            <w:pPr>
              <w:spacing w:after="0" w:line="240" w:lineRule="auto"/>
              <w:rPr>
                <w:rFonts w:ascii="Calibri" w:eastAsia="Times New Roman" w:hAnsi="Calibri" w:cs="Calibri"/>
                <w:b/>
                <w:bCs/>
                <w:color w:val="000000"/>
                <w:kern w:val="0"/>
                <w14:ligatures w14:val="none"/>
              </w:rPr>
            </w:pPr>
          </w:p>
        </w:tc>
        <w:tc>
          <w:tcPr>
            <w:tcW w:w="884" w:type="dxa"/>
            <w:tcBorders>
              <w:top w:val="dashSmallGap" w:sz="4" w:space="0" w:color="000000"/>
              <w:left w:val="nil"/>
              <w:bottom w:val="dashSmallGap" w:sz="4" w:space="0" w:color="000000"/>
              <w:right w:val="nil"/>
            </w:tcBorders>
            <w:noWrap/>
            <w:vAlign w:val="bottom"/>
          </w:tcPr>
          <w:p w14:paraId="777EE92E"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483" w:type="dxa"/>
            <w:tcBorders>
              <w:top w:val="dashSmallGap" w:sz="4" w:space="0" w:color="000000"/>
              <w:left w:val="nil"/>
              <w:bottom w:val="dashSmallGap" w:sz="4" w:space="0" w:color="000000"/>
              <w:right w:val="nil"/>
            </w:tcBorders>
            <w:noWrap/>
            <w:vAlign w:val="bottom"/>
          </w:tcPr>
          <w:p w14:paraId="5AC4821F"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483" w:type="dxa"/>
            <w:tcBorders>
              <w:top w:val="dashSmallGap" w:sz="4" w:space="0" w:color="000000"/>
              <w:left w:val="nil"/>
              <w:bottom w:val="dashSmallGap" w:sz="4" w:space="0" w:color="000000"/>
              <w:right w:val="nil"/>
            </w:tcBorders>
            <w:noWrap/>
            <w:vAlign w:val="bottom"/>
          </w:tcPr>
          <w:p w14:paraId="3FC0B534"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705" w:type="dxa"/>
            <w:tcBorders>
              <w:top w:val="dashSmallGap" w:sz="4" w:space="0" w:color="000000"/>
              <w:left w:val="nil"/>
              <w:bottom w:val="dashSmallGap" w:sz="4" w:space="0" w:color="000000"/>
              <w:right w:val="nil"/>
            </w:tcBorders>
            <w:noWrap/>
            <w:vAlign w:val="center"/>
          </w:tcPr>
          <w:p w14:paraId="5EF472D7"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515" w:type="dxa"/>
            <w:tcBorders>
              <w:top w:val="dashSmallGap" w:sz="4" w:space="0" w:color="000000"/>
              <w:left w:val="nil"/>
              <w:bottom w:val="dashSmallGap" w:sz="4" w:space="0" w:color="000000"/>
              <w:right w:val="nil"/>
            </w:tcBorders>
            <w:noWrap/>
            <w:vAlign w:val="bottom"/>
          </w:tcPr>
          <w:p w14:paraId="62E691F9" w14:textId="77777777" w:rsidR="007E77BD" w:rsidRPr="00E9644F" w:rsidRDefault="007E77BD" w:rsidP="007E77BD">
            <w:pPr>
              <w:spacing w:after="0" w:line="240" w:lineRule="auto"/>
              <w:jc w:val="center"/>
              <w:rPr>
                <w:rFonts w:ascii="Times New Roman" w:eastAsia="Times New Roman" w:hAnsi="Times New Roman" w:cs="Times New Roman"/>
                <w:kern w:val="0"/>
                <w:sz w:val="20"/>
                <w:szCs w:val="20"/>
                <w14:ligatures w14:val="none"/>
              </w:rPr>
            </w:pPr>
          </w:p>
        </w:tc>
        <w:tc>
          <w:tcPr>
            <w:tcW w:w="630" w:type="dxa"/>
            <w:tcBorders>
              <w:top w:val="dashSmallGap" w:sz="4" w:space="0" w:color="000000"/>
              <w:left w:val="nil"/>
              <w:bottom w:val="dashSmallGap" w:sz="4" w:space="0" w:color="000000"/>
              <w:right w:val="nil"/>
            </w:tcBorders>
            <w:noWrap/>
            <w:vAlign w:val="bottom"/>
          </w:tcPr>
          <w:p w14:paraId="427ADE90"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551" w:type="dxa"/>
            <w:tcBorders>
              <w:top w:val="dashSmallGap" w:sz="4" w:space="0" w:color="000000"/>
              <w:left w:val="nil"/>
              <w:bottom w:val="dashSmallGap" w:sz="4" w:space="0" w:color="000000"/>
              <w:right w:val="nil"/>
            </w:tcBorders>
            <w:noWrap/>
            <w:vAlign w:val="bottom"/>
          </w:tcPr>
          <w:p w14:paraId="7EB923BC"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709" w:type="dxa"/>
            <w:tcBorders>
              <w:top w:val="dashSmallGap" w:sz="4" w:space="0" w:color="000000"/>
              <w:left w:val="nil"/>
              <w:bottom w:val="dashSmallGap" w:sz="4" w:space="0" w:color="000000"/>
              <w:right w:val="nil"/>
            </w:tcBorders>
            <w:noWrap/>
            <w:vAlign w:val="center"/>
          </w:tcPr>
          <w:p w14:paraId="1F9CD2F1"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483" w:type="dxa"/>
            <w:tcBorders>
              <w:top w:val="dashSmallGap" w:sz="4" w:space="0" w:color="000000"/>
              <w:left w:val="nil"/>
              <w:bottom w:val="dashSmallGap" w:sz="4" w:space="0" w:color="000000"/>
              <w:right w:val="nil"/>
            </w:tcBorders>
            <w:noWrap/>
            <w:vAlign w:val="bottom"/>
          </w:tcPr>
          <w:p w14:paraId="5E5533E7" w14:textId="77777777" w:rsidR="007E77BD" w:rsidRPr="00E9644F" w:rsidRDefault="007E77BD" w:rsidP="007E77BD">
            <w:pPr>
              <w:spacing w:after="0" w:line="240" w:lineRule="auto"/>
              <w:jc w:val="center"/>
              <w:rPr>
                <w:rFonts w:ascii="Times New Roman" w:eastAsia="Times New Roman" w:hAnsi="Times New Roman" w:cs="Times New Roman"/>
                <w:kern w:val="0"/>
                <w:sz w:val="20"/>
                <w:szCs w:val="20"/>
                <w14:ligatures w14:val="none"/>
              </w:rPr>
            </w:pPr>
          </w:p>
        </w:tc>
        <w:tc>
          <w:tcPr>
            <w:tcW w:w="529" w:type="dxa"/>
            <w:tcBorders>
              <w:top w:val="dashSmallGap" w:sz="4" w:space="0" w:color="000000"/>
              <w:left w:val="nil"/>
              <w:bottom w:val="dashSmallGap" w:sz="4" w:space="0" w:color="000000"/>
              <w:right w:val="nil"/>
            </w:tcBorders>
            <w:noWrap/>
            <w:vAlign w:val="bottom"/>
          </w:tcPr>
          <w:p w14:paraId="05B50248"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505" w:type="dxa"/>
            <w:tcBorders>
              <w:top w:val="dashSmallGap" w:sz="4" w:space="0" w:color="000000"/>
              <w:left w:val="nil"/>
              <w:bottom w:val="dashSmallGap" w:sz="4" w:space="0" w:color="000000"/>
              <w:right w:val="nil"/>
            </w:tcBorders>
            <w:noWrap/>
            <w:vAlign w:val="bottom"/>
          </w:tcPr>
          <w:p w14:paraId="0C254413"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705" w:type="dxa"/>
            <w:tcBorders>
              <w:top w:val="dashSmallGap" w:sz="4" w:space="0" w:color="000000"/>
              <w:left w:val="nil"/>
              <w:bottom w:val="dashSmallGap" w:sz="4" w:space="0" w:color="000000"/>
              <w:right w:val="nil"/>
            </w:tcBorders>
            <w:noWrap/>
            <w:vAlign w:val="center"/>
          </w:tcPr>
          <w:p w14:paraId="0CB13E0F"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r>
      <w:tr w:rsidR="007E77BD" w:rsidRPr="00E9644F" w14:paraId="4A3C937E" w14:textId="77777777" w:rsidTr="00C43CAD">
        <w:trPr>
          <w:trHeight w:val="280"/>
        </w:trPr>
        <w:tc>
          <w:tcPr>
            <w:tcW w:w="1161" w:type="dxa"/>
            <w:tcBorders>
              <w:top w:val="dashSmallGap" w:sz="4" w:space="0" w:color="000000"/>
              <w:left w:val="nil"/>
              <w:bottom w:val="nil"/>
              <w:right w:val="nil"/>
            </w:tcBorders>
          </w:tcPr>
          <w:p w14:paraId="049AE222"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1161" w:type="dxa"/>
            <w:tcBorders>
              <w:top w:val="dashSmallGap" w:sz="4" w:space="0" w:color="000000"/>
              <w:left w:val="nil"/>
              <w:bottom w:val="nil"/>
              <w:right w:val="nil"/>
            </w:tcBorders>
            <w:noWrap/>
            <w:vAlign w:val="bottom"/>
            <w:hideMark/>
          </w:tcPr>
          <w:p w14:paraId="45A48F35" w14:textId="2B0547A9"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1989" w:type="dxa"/>
            <w:tcBorders>
              <w:top w:val="dashSmallGap" w:sz="4" w:space="0" w:color="000000"/>
              <w:left w:val="nil"/>
              <w:bottom w:val="nil"/>
              <w:right w:val="nil"/>
            </w:tcBorders>
            <w:noWrap/>
            <w:vAlign w:val="bottom"/>
            <w:hideMark/>
          </w:tcPr>
          <w:p w14:paraId="5516D073" w14:textId="77777777" w:rsidR="007E77BD" w:rsidRPr="00E9644F" w:rsidRDefault="007E77BD" w:rsidP="007E77BD">
            <w:pPr>
              <w:spacing w:after="0" w:line="240" w:lineRule="auto"/>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 xml:space="preserve">Other </w:t>
            </w:r>
            <w:r w:rsidRPr="00E9644F">
              <w:rPr>
                <w:rFonts w:ascii="Times New Roman" w:eastAsia="Times New Roman" w:hAnsi="Times New Roman" w:cs="Times New Roman"/>
                <w:b/>
                <w:bCs/>
                <w:i/>
                <w:iCs/>
                <w:color w:val="000000"/>
                <w:kern w:val="0"/>
                <w:sz w:val="20"/>
                <w:szCs w:val="20"/>
                <w14:ligatures w14:val="none"/>
              </w:rPr>
              <w:t>Aedes</w:t>
            </w:r>
            <w:r w:rsidRPr="00E9644F">
              <w:rPr>
                <w:rFonts w:ascii="Times New Roman" w:eastAsia="Times New Roman" w:hAnsi="Times New Roman" w:cs="Times New Roman"/>
                <w:b/>
                <w:bCs/>
                <w:color w:val="000000"/>
                <w:kern w:val="0"/>
                <w:sz w:val="20"/>
                <w:szCs w:val="20"/>
                <w14:ligatures w14:val="none"/>
              </w:rPr>
              <w:t xml:space="preserve"> Species</w:t>
            </w:r>
          </w:p>
        </w:tc>
        <w:tc>
          <w:tcPr>
            <w:tcW w:w="575" w:type="dxa"/>
            <w:tcBorders>
              <w:top w:val="dashSmallGap" w:sz="4" w:space="0" w:color="000000"/>
              <w:left w:val="nil"/>
              <w:bottom w:val="nil"/>
              <w:right w:val="nil"/>
            </w:tcBorders>
            <w:noWrap/>
            <w:vAlign w:val="bottom"/>
            <w:hideMark/>
          </w:tcPr>
          <w:p w14:paraId="6747B0B4" w14:textId="77777777" w:rsidR="007E77BD" w:rsidRPr="00E9644F" w:rsidRDefault="007E77BD" w:rsidP="007E77BD">
            <w:pPr>
              <w:spacing w:after="0" w:line="240" w:lineRule="auto"/>
              <w:rPr>
                <w:rFonts w:ascii="Calibri" w:eastAsia="Times New Roman" w:hAnsi="Calibri" w:cs="Calibri"/>
                <w:b/>
                <w:bCs/>
                <w:color w:val="000000"/>
                <w:kern w:val="0"/>
                <w14:ligatures w14:val="none"/>
              </w:rPr>
            </w:pPr>
          </w:p>
        </w:tc>
        <w:tc>
          <w:tcPr>
            <w:tcW w:w="884" w:type="dxa"/>
            <w:tcBorders>
              <w:top w:val="dashSmallGap" w:sz="4" w:space="0" w:color="000000"/>
              <w:left w:val="nil"/>
              <w:bottom w:val="nil"/>
              <w:right w:val="nil"/>
            </w:tcBorders>
            <w:noWrap/>
            <w:vAlign w:val="bottom"/>
            <w:hideMark/>
          </w:tcPr>
          <w:p w14:paraId="4452DCEE"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483" w:type="dxa"/>
            <w:tcBorders>
              <w:top w:val="dashSmallGap" w:sz="4" w:space="0" w:color="000000"/>
              <w:left w:val="nil"/>
              <w:bottom w:val="nil"/>
              <w:right w:val="nil"/>
            </w:tcBorders>
            <w:noWrap/>
            <w:vAlign w:val="bottom"/>
            <w:hideMark/>
          </w:tcPr>
          <w:p w14:paraId="39F273BF"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483" w:type="dxa"/>
            <w:tcBorders>
              <w:top w:val="dashSmallGap" w:sz="4" w:space="0" w:color="000000"/>
              <w:left w:val="nil"/>
              <w:bottom w:val="nil"/>
              <w:right w:val="nil"/>
            </w:tcBorders>
            <w:noWrap/>
            <w:vAlign w:val="bottom"/>
            <w:hideMark/>
          </w:tcPr>
          <w:p w14:paraId="254F45B3"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705" w:type="dxa"/>
            <w:tcBorders>
              <w:top w:val="dashSmallGap" w:sz="4" w:space="0" w:color="000000"/>
              <w:left w:val="nil"/>
              <w:bottom w:val="nil"/>
              <w:right w:val="nil"/>
            </w:tcBorders>
            <w:noWrap/>
            <w:vAlign w:val="center"/>
            <w:hideMark/>
          </w:tcPr>
          <w:p w14:paraId="6D31994D"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515" w:type="dxa"/>
            <w:tcBorders>
              <w:top w:val="dashSmallGap" w:sz="4" w:space="0" w:color="000000"/>
              <w:left w:val="nil"/>
              <w:bottom w:val="nil"/>
              <w:right w:val="nil"/>
            </w:tcBorders>
            <w:noWrap/>
            <w:vAlign w:val="bottom"/>
            <w:hideMark/>
          </w:tcPr>
          <w:p w14:paraId="22D2FE6F" w14:textId="77777777" w:rsidR="007E77BD" w:rsidRPr="00E9644F" w:rsidRDefault="007E77BD" w:rsidP="007E77BD">
            <w:pPr>
              <w:spacing w:after="0" w:line="240" w:lineRule="auto"/>
              <w:jc w:val="center"/>
              <w:rPr>
                <w:rFonts w:ascii="Times New Roman" w:eastAsia="Times New Roman" w:hAnsi="Times New Roman" w:cs="Times New Roman"/>
                <w:kern w:val="0"/>
                <w:sz w:val="20"/>
                <w:szCs w:val="20"/>
                <w14:ligatures w14:val="none"/>
              </w:rPr>
            </w:pPr>
          </w:p>
        </w:tc>
        <w:tc>
          <w:tcPr>
            <w:tcW w:w="630" w:type="dxa"/>
            <w:tcBorders>
              <w:top w:val="dashSmallGap" w:sz="4" w:space="0" w:color="000000"/>
              <w:left w:val="nil"/>
              <w:bottom w:val="nil"/>
              <w:right w:val="nil"/>
            </w:tcBorders>
            <w:noWrap/>
            <w:vAlign w:val="bottom"/>
            <w:hideMark/>
          </w:tcPr>
          <w:p w14:paraId="1377ABB0"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551" w:type="dxa"/>
            <w:tcBorders>
              <w:top w:val="dashSmallGap" w:sz="4" w:space="0" w:color="000000"/>
              <w:left w:val="nil"/>
              <w:bottom w:val="nil"/>
              <w:right w:val="nil"/>
            </w:tcBorders>
            <w:noWrap/>
            <w:vAlign w:val="bottom"/>
            <w:hideMark/>
          </w:tcPr>
          <w:p w14:paraId="71023DBA"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709" w:type="dxa"/>
            <w:tcBorders>
              <w:top w:val="dashSmallGap" w:sz="4" w:space="0" w:color="000000"/>
              <w:left w:val="nil"/>
              <w:bottom w:val="nil"/>
              <w:right w:val="nil"/>
            </w:tcBorders>
            <w:noWrap/>
            <w:vAlign w:val="center"/>
            <w:hideMark/>
          </w:tcPr>
          <w:p w14:paraId="7E06EAA6"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483" w:type="dxa"/>
            <w:tcBorders>
              <w:top w:val="dashSmallGap" w:sz="4" w:space="0" w:color="000000"/>
              <w:left w:val="nil"/>
              <w:bottom w:val="nil"/>
              <w:right w:val="nil"/>
            </w:tcBorders>
            <w:noWrap/>
            <w:vAlign w:val="bottom"/>
            <w:hideMark/>
          </w:tcPr>
          <w:p w14:paraId="6A64D9AA" w14:textId="77777777" w:rsidR="007E77BD" w:rsidRPr="00E9644F" w:rsidRDefault="007E77BD" w:rsidP="007E77BD">
            <w:pPr>
              <w:spacing w:after="0" w:line="240" w:lineRule="auto"/>
              <w:jc w:val="center"/>
              <w:rPr>
                <w:rFonts w:ascii="Times New Roman" w:eastAsia="Times New Roman" w:hAnsi="Times New Roman" w:cs="Times New Roman"/>
                <w:kern w:val="0"/>
                <w:sz w:val="20"/>
                <w:szCs w:val="20"/>
                <w14:ligatures w14:val="none"/>
              </w:rPr>
            </w:pPr>
          </w:p>
        </w:tc>
        <w:tc>
          <w:tcPr>
            <w:tcW w:w="529" w:type="dxa"/>
            <w:tcBorders>
              <w:top w:val="dashSmallGap" w:sz="4" w:space="0" w:color="000000"/>
              <w:left w:val="nil"/>
              <w:bottom w:val="nil"/>
              <w:right w:val="nil"/>
            </w:tcBorders>
            <w:noWrap/>
            <w:vAlign w:val="bottom"/>
            <w:hideMark/>
          </w:tcPr>
          <w:p w14:paraId="39FF363C"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505" w:type="dxa"/>
            <w:tcBorders>
              <w:top w:val="dashSmallGap" w:sz="4" w:space="0" w:color="000000"/>
              <w:left w:val="nil"/>
              <w:bottom w:val="nil"/>
              <w:right w:val="nil"/>
            </w:tcBorders>
            <w:noWrap/>
            <w:vAlign w:val="bottom"/>
            <w:hideMark/>
          </w:tcPr>
          <w:p w14:paraId="0ED06FB8"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c>
          <w:tcPr>
            <w:tcW w:w="705" w:type="dxa"/>
            <w:tcBorders>
              <w:top w:val="dashSmallGap" w:sz="4" w:space="0" w:color="000000"/>
              <w:left w:val="nil"/>
              <w:bottom w:val="nil"/>
              <w:right w:val="nil"/>
            </w:tcBorders>
            <w:noWrap/>
            <w:vAlign w:val="center"/>
            <w:hideMark/>
          </w:tcPr>
          <w:p w14:paraId="6D5AAA1A" w14:textId="77777777" w:rsidR="007E77BD" w:rsidRPr="00E9644F" w:rsidRDefault="007E77BD" w:rsidP="007E77BD">
            <w:pPr>
              <w:spacing w:after="0" w:line="240" w:lineRule="auto"/>
              <w:rPr>
                <w:rFonts w:ascii="Times New Roman" w:eastAsia="Times New Roman" w:hAnsi="Times New Roman" w:cs="Times New Roman"/>
                <w:kern w:val="0"/>
                <w:sz w:val="20"/>
                <w:szCs w:val="20"/>
                <w14:ligatures w14:val="none"/>
              </w:rPr>
            </w:pPr>
          </w:p>
        </w:tc>
      </w:tr>
      <w:tr w:rsidR="007E77BD" w:rsidRPr="00E9644F" w14:paraId="0D0795F5" w14:textId="77777777" w:rsidTr="007E77BD">
        <w:trPr>
          <w:trHeight w:val="280"/>
        </w:trPr>
        <w:tc>
          <w:tcPr>
            <w:tcW w:w="1161" w:type="dxa"/>
            <w:tcBorders>
              <w:top w:val="nil"/>
              <w:left w:val="nil"/>
              <w:bottom w:val="nil"/>
              <w:right w:val="nil"/>
            </w:tcBorders>
          </w:tcPr>
          <w:p w14:paraId="2A65BA3D" w14:textId="77777777" w:rsidR="007E77BD" w:rsidRPr="00E9644F" w:rsidRDefault="007E77B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nil"/>
              <w:left w:val="nil"/>
              <w:bottom w:val="nil"/>
              <w:right w:val="nil"/>
            </w:tcBorders>
            <w:noWrap/>
            <w:vAlign w:val="bottom"/>
            <w:hideMark/>
          </w:tcPr>
          <w:p w14:paraId="5A1C375D" w14:textId="44E1ED9F" w:rsidR="007E77BD" w:rsidRPr="00E9644F" w:rsidRDefault="007E77B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Takoradi</w:t>
            </w:r>
          </w:p>
        </w:tc>
        <w:tc>
          <w:tcPr>
            <w:tcW w:w="1989" w:type="dxa"/>
            <w:tcBorders>
              <w:top w:val="nil"/>
              <w:left w:val="nil"/>
              <w:bottom w:val="nil"/>
              <w:right w:val="nil"/>
            </w:tcBorders>
            <w:noWrap/>
            <w:vAlign w:val="center"/>
            <w:hideMark/>
          </w:tcPr>
          <w:p w14:paraId="0784BF15" w14:textId="77777777" w:rsidR="007E77BD" w:rsidRPr="00E9644F" w:rsidRDefault="007E77BD" w:rsidP="007E77BD">
            <w:pPr>
              <w:spacing w:after="0" w:line="240" w:lineRule="auto"/>
              <w:rPr>
                <w:rFonts w:ascii="Times New Roman" w:eastAsia="Times New Roman" w:hAnsi="Times New Roman" w:cs="Times New Roman"/>
                <w:i/>
                <w:iCs/>
                <w:color w:val="000000"/>
                <w:kern w:val="0"/>
                <w:sz w:val="20"/>
                <w:szCs w:val="20"/>
                <w14:ligatures w14:val="none"/>
              </w:rPr>
            </w:pPr>
            <w:r w:rsidRPr="00E9644F">
              <w:rPr>
                <w:rFonts w:ascii="Times New Roman" w:eastAsia="Times New Roman" w:hAnsi="Times New Roman" w:cs="Times New Roman"/>
                <w:i/>
                <w:iCs/>
                <w:color w:val="000000"/>
                <w:kern w:val="0"/>
                <w:sz w:val="20"/>
                <w:szCs w:val="20"/>
                <w14:ligatures w14:val="none"/>
              </w:rPr>
              <w:t>Ae. albopictus</w:t>
            </w:r>
          </w:p>
        </w:tc>
        <w:tc>
          <w:tcPr>
            <w:tcW w:w="575" w:type="dxa"/>
            <w:tcBorders>
              <w:top w:val="nil"/>
              <w:left w:val="nil"/>
              <w:bottom w:val="nil"/>
              <w:right w:val="nil"/>
            </w:tcBorders>
            <w:noWrap/>
            <w:vAlign w:val="bottom"/>
            <w:hideMark/>
          </w:tcPr>
          <w:p w14:paraId="0AA3495F"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114</w:t>
            </w:r>
          </w:p>
        </w:tc>
        <w:tc>
          <w:tcPr>
            <w:tcW w:w="884" w:type="dxa"/>
            <w:tcBorders>
              <w:top w:val="nil"/>
              <w:left w:val="nil"/>
              <w:bottom w:val="nil"/>
              <w:right w:val="nil"/>
            </w:tcBorders>
            <w:noWrap/>
            <w:vAlign w:val="bottom"/>
            <w:hideMark/>
          </w:tcPr>
          <w:p w14:paraId="35427297"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22</w:t>
            </w:r>
          </w:p>
        </w:tc>
        <w:tc>
          <w:tcPr>
            <w:tcW w:w="483" w:type="dxa"/>
            <w:tcBorders>
              <w:top w:val="nil"/>
              <w:left w:val="nil"/>
              <w:bottom w:val="nil"/>
              <w:right w:val="nil"/>
            </w:tcBorders>
            <w:noWrap/>
            <w:vAlign w:val="bottom"/>
            <w:hideMark/>
          </w:tcPr>
          <w:p w14:paraId="5132E3B8"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35</w:t>
            </w:r>
          </w:p>
        </w:tc>
        <w:tc>
          <w:tcPr>
            <w:tcW w:w="483" w:type="dxa"/>
            <w:tcBorders>
              <w:top w:val="nil"/>
              <w:left w:val="nil"/>
              <w:bottom w:val="nil"/>
              <w:right w:val="nil"/>
            </w:tcBorders>
            <w:noWrap/>
            <w:vAlign w:val="bottom"/>
            <w:hideMark/>
          </w:tcPr>
          <w:p w14:paraId="2856F405"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35</w:t>
            </w:r>
          </w:p>
        </w:tc>
        <w:tc>
          <w:tcPr>
            <w:tcW w:w="705" w:type="dxa"/>
            <w:tcBorders>
              <w:top w:val="nil"/>
              <w:left w:val="nil"/>
              <w:bottom w:val="nil"/>
              <w:right w:val="nil"/>
            </w:tcBorders>
            <w:noWrap/>
            <w:vAlign w:val="center"/>
            <w:hideMark/>
          </w:tcPr>
          <w:p w14:paraId="2ADC260E"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0.35</w:t>
            </w:r>
          </w:p>
        </w:tc>
        <w:tc>
          <w:tcPr>
            <w:tcW w:w="515" w:type="dxa"/>
            <w:tcBorders>
              <w:top w:val="nil"/>
              <w:left w:val="nil"/>
              <w:bottom w:val="nil"/>
              <w:right w:val="nil"/>
            </w:tcBorders>
            <w:noWrap/>
            <w:vAlign w:val="bottom"/>
            <w:hideMark/>
          </w:tcPr>
          <w:p w14:paraId="5AACB070"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1</w:t>
            </w:r>
          </w:p>
        </w:tc>
        <w:tc>
          <w:tcPr>
            <w:tcW w:w="630" w:type="dxa"/>
            <w:tcBorders>
              <w:top w:val="nil"/>
              <w:left w:val="nil"/>
              <w:bottom w:val="nil"/>
              <w:right w:val="nil"/>
            </w:tcBorders>
            <w:noWrap/>
            <w:vAlign w:val="bottom"/>
            <w:hideMark/>
          </w:tcPr>
          <w:p w14:paraId="2DF9B239"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3</w:t>
            </w:r>
          </w:p>
        </w:tc>
        <w:tc>
          <w:tcPr>
            <w:tcW w:w="551" w:type="dxa"/>
            <w:tcBorders>
              <w:top w:val="nil"/>
              <w:left w:val="nil"/>
              <w:bottom w:val="nil"/>
              <w:right w:val="nil"/>
            </w:tcBorders>
            <w:noWrap/>
            <w:vAlign w:val="bottom"/>
            <w:hideMark/>
          </w:tcPr>
          <w:p w14:paraId="5F370002"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110</w:t>
            </w:r>
          </w:p>
        </w:tc>
        <w:tc>
          <w:tcPr>
            <w:tcW w:w="709" w:type="dxa"/>
            <w:tcBorders>
              <w:top w:val="nil"/>
              <w:left w:val="nil"/>
              <w:bottom w:val="nil"/>
              <w:right w:val="nil"/>
            </w:tcBorders>
            <w:noWrap/>
            <w:vAlign w:val="center"/>
            <w:hideMark/>
          </w:tcPr>
          <w:p w14:paraId="5C083B9E"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0.02</w:t>
            </w:r>
          </w:p>
        </w:tc>
        <w:tc>
          <w:tcPr>
            <w:tcW w:w="483" w:type="dxa"/>
            <w:tcBorders>
              <w:top w:val="nil"/>
              <w:left w:val="nil"/>
              <w:bottom w:val="nil"/>
              <w:right w:val="nil"/>
            </w:tcBorders>
            <w:noWrap/>
            <w:vAlign w:val="bottom"/>
            <w:hideMark/>
          </w:tcPr>
          <w:p w14:paraId="42E41602"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529" w:type="dxa"/>
            <w:tcBorders>
              <w:top w:val="nil"/>
              <w:left w:val="nil"/>
              <w:bottom w:val="nil"/>
              <w:right w:val="nil"/>
            </w:tcBorders>
            <w:noWrap/>
            <w:vAlign w:val="bottom"/>
            <w:hideMark/>
          </w:tcPr>
          <w:p w14:paraId="432D1CFF"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61</w:t>
            </w:r>
          </w:p>
        </w:tc>
        <w:tc>
          <w:tcPr>
            <w:tcW w:w="505" w:type="dxa"/>
            <w:tcBorders>
              <w:top w:val="nil"/>
              <w:left w:val="nil"/>
              <w:bottom w:val="nil"/>
              <w:right w:val="nil"/>
            </w:tcBorders>
            <w:noWrap/>
            <w:vAlign w:val="bottom"/>
            <w:hideMark/>
          </w:tcPr>
          <w:p w14:paraId="34BE4D69"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53</w:t>
            </w:r>
          </w:p>
        </w:tc>
        <w:tc>
          <w:tcPr>
            <w:tcW w:w="705" w:type="dxa"/>
            <w:tcBorders>
              <w:top w:val="nil"/>
              <w:left w:val="nil"/>
              <w:bottom w:val="nil"/>
              <w:right w:val="nil"/>
            </w:tcBorders>
            <w:noWrap/>
            <w:vAlign w:val="center"/>
            <w:hideMark/>
          </w:tcPr>
          <w:p w14:paraId="03AC88C5"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0.27</w:t>
            </w:r>
          </w:p>
        </w:tc>
      </w:tr>
      <w:tr w:rsidR="007E77BD" w:rsidRPr="00E9644F" w14:paraId="5DCA0B2E" w14:textId="77777777" w:rsidTr="007E77BD">
        <w:trPr>
          <w:trHeight w:val="280"/>
        </w:trPr>
        <w:tc>
          <w:tcPr>
            <w:tcW w:w="1161" w:type="dxa"/>
            <w:tcBorders>
              <w:top w:val="nil"/>
              <w:left w:val="nil"/>
              <w:bottom w:val="nil"/>
              <w:right w:val="nil"/>
            </w:tcBorders>
          </w:tcPr>
          <w:p w14:paraId="5EE0EDD4" w14:textId="0B18118D" w:rsidR="007E77BD" w:rsidRPr="00E9644F" w:rsidRDefault="007E77B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Coastal savannah</w:t>
            </w:r>
          </w:p>
        </w:tc>
        <w:tc>
          <w:tcPr>
            <w:tcW w:w="1161" w:type="dxa"/>
            <w:tcBorders>
              <w:top w:val="nil"/>
              <w:left w:val="nil"/>
              <w:bottom w:val="nil"/>
              <w:right w:val="nil"/>
            </w:tcBorders>
            <w:noWrap/>
            <w:vAlign w:val="bottom"/>
            <w:hideMark/>
          </w:tcPr>
          <w:p w14:paraId="5036E5B1" w14:textId="1BA688F5" w:rsidR="007E77BD" w:rsidRPr="00E9644F" w:rsidRDefault="007E77B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Korle-Bu</w:t>
            </w:r>
          </w:p>
        </w:tc>
        <w:tc>
          <w:tcPr>
            <w:tcW w:w="1989" w:type="dxa"/>
            <w:tcBorders>
              <w:top w:val="nil"/>
              <w:left w:val="nil"/>
              <w:bottom w:val="nil"/>
              <w:right w:val="nil"/>
            </w:tcBorders>
            <w:noWrap/>
            <w:vAlign w:val="center"/>
            <w:hideMark/>
          </w:tcPr>
          <w:p w14:paraId="65169AE1" w14:textId="01FB30F0" w:rsidR="007E77BD" w:rsidRPr="00E9644F" w:rsidRDefault="007E77BD" w:rsidP="007E77BD">
            <w:pPr>
              <w:spacing w:after="0" w:line="240" w:lineRule="auto"/>
              <w:rPr>
                <w:rFonts w:ascii="Times New Roman" w:eastAsia="Times New Roman" w:hAnsi="Times New Roman" w:cs="Times New Roman"/>
                <w:i/>
                <w:iCs/>
                <w:color w:val="000000"/>
                <w:kern w:val="0"/>
                <w:sz w:val="20"/>
                <w:szCs w:val="20"/>
                <w14:ligatures w14:val="none"/>
              </w:rPr>
            </w:pPr>
            <w:r w:rsidRPr="00E9644F">
              <w:rPr>
                <w:rFonts w:ascii="Times New Roman" w:eastAsia="Times New Roman" w:hAnsi="Times New Roman" w:cs="Times New Roman"/>
                <w:i/>
                <w:iCs/>
                <w:color w:val="000000"/>
                <w:kern w:val="0"/>
                <w:sz w:val="20"/>
                <w:szCs w:val="20"/>
                <w14:ligatures w14:val="none"/>
              </w:rPr>
              <w:t>Ae. vittatus</w:t>
            </w:r>
          </w:p>
        </w:tc>
        <w:tc>
          <w:tcPr>
            <w:tcW w:w="575" w:type="dxa"/>
            <w:tcBorders>
              <w:top w:val="nil"/>
              <w:left w:val="nil"/>
              <w:bottom w:val="nil"/>
              <w:right w:val="nil"/>
            </w:tcBorders>
            <w:noWrap/>
            <w:vAlign w:val="bottom"/>
            <w:hideMark/>
          </w:tcPr>
          <w:p w14:paraId="2F4092F0"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44</w:t>
            </w:r>
          </w:p>
        </w:tc>
        <w:tc>
          <w:tcPr>
            <w:tcW w:w="884" w:type="dxa"/>
            <w:tcBorders>
              <w:top w:val="nil"/>
              <w:left w:val="nil"/>
              <w:bottom w:val="nil"/>
              <w:right w:val="nil"/>
            </w:tcBorders>
            <w:noWrap/>
            <w:vAlign w:val="bottom"/>
            <w:hideMark/>
          </w:tcPr>
          <w:p w14:paraId="5B51DBED"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14</w:t>
            </w:r>
          </w:p>
        </w:tc>
        <w:tc>
          <w:tcPr>
            <w:tcW w:w="483" w:type="dxa"/>
            <w:tcBorders>
              <w:top w:val="nil"/>
              <w:left w:val="nil"/>
              <w:bottom w:val="nil"/>
              <w:right w:val="nil"/>
            </w:tcBorders>
            <w:noWrap/>
            <w:vAlign w:val="bottom"/>
            <w:hideMark/>
          </w:tcPr>
          <w:p w14:paraId="6E6EEBA9"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483" w:type="dxa"/>
            <w:tcBorders>
              <w:top w:val="nil"/>
              <w:left w:val="nil"/>
              <w:bottom w:val="nil"/>
              <w:right w:val="nil"/>
            </w:tcBorders>
            <w:noWrap/>
            <w:vAlign w:val="bottom"/>
            <w:hideMark/>
          </w:tcPr>
          <w:p w14:paraId="3053A70F"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16</w:t>
            </w:r>
          </w:p>
        </w:tc>
        <w:tc>
          <w:tcPr>
            <w:tcW w:w="705" w:type="dxa"/>
            <w:tcBorders>
              <w:top w:val="nil"/>
              <w:left w:val="nil"/>
              <w:bottom w:val="nil"/>
              <w:right w:val="nil"/>
            </w:tcBorders>
            <w:noWrap/>
            <w:vAlign w:val="center"/>
            <w:hideMark/>
          </w:tcPr>
          <w:p w14:paraId="143CBD3F"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0.32</w:t>
            </w:r>
          </w:p>
        </w:tc>
        <w:tc>
          <w:tcPr>
            <w:tcW w:w="515" w:type="dxa"/>
            <w:tcBorders>
              <w:top w:val="nil"/>
              <w:left w:val="nil"/>
              <w:bottom w:val="nil"/>
              <w:right w:val="nil"/>
            </w:tcBorders>
            <w:noWrap/>
            <w:vAlign w:val="bottom"/>
            <w:hideMark/>
          </w:tcPr>
          <w:p w14:paraId="7934E8B5"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630" w:type="dxa"/>
            <w:tcBorders>
              <w:top w:val="nil"/>
              <w:left w:val="nil"/>
              <w:bottom w:val="nil"/>
              <w:right w:val="nil"/>
            </w:tcBorders>
            <w:noWrap/>
            <w:vAlign w:val="bottom"/>
            <w:hideMark/>
          </w:tcPr>
          <w:p w14:paraId="7DD06B40"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551" w:type="dxa"/>
            <w:tcBorders>
              <w:top w:val="nil"/>
              <w:left w:val="nil"/>
              <w:bottom w:val="nil"/>
              <w:right w:val="nil"/>
            </w:tcBorders>
            <w:noWrap/>
            <w:vAlign w:val="bottom"/>
            <w:hideMark/>
          </w:tcPr>
          <w:p w14:paraId="3FAF6E10"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44</w:t>
            </w:r>
          </w:p>
        </w:tc>
        <w:tc>
          <w:tcPr>
            <w:tcW w:w="709" w:type="dxa"/>
            <w:tcBorders>
              <w:top w:val="nil"/>
              <w:left w:val="nil"/>
              <w:bottom w:val="nil"/>
              <w:right w:val="nil"/>
            </w:tcBorders>
            <w:noWrap/>
            <w:vAlign w:val="center"/>
            <w:hideMark/>
          </w:tcPr>
          <w:p w14:paraId="481E205F"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0.00</w:t>
            </w:r>
          </w:p>
        </w:tc>
        <w:tc>
          <w:tcPr>
            <w:tcW w:w="483" w:type="dxa"/>
            <w:tcBorders>
              <w:top w:val="nil"/>
              <w:left w:val="nil"/>
              <w:bottom w:val="nil"/>
              <w:right w:val="nil"/>
            </w:tcBorders>
            <w:noWrap/>
            <w:vAlign w:val="bottom"/>
            <w:hideMark/>
          </w:tcPr>
          <w:p w14:paraId="46CCBE11"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9</w:t>
            </w:r>
          </w:p>
        </w:tc>
        <w:tc>
          <w:tcPr>
            <w:tcW w:w="529" w:type="dxa"/>
            <w:tcBorders>
              <w:top w:val="nil"/>
              <w:left w:val="nil"/>
              <w:bottom w:val="nil"/>
              <w:right w:val="nil"/>
            </w:tcBorders>
            <w:noWrap/>
            <w:vAlign w:val="bottom"/>
            <w:hideMark/>
          </w:tcPr>
          <w:p w14:paraId="37A47F0C"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505" w:type="dxa"/>
            <w:tcBorders>
              <w:top w:val="nil"/>
              <w:left w:val="nil"/>
              <w:bottom w:val="nil"/>
              <w:right w:val="nil"/>
            </w:tcBorders>
            <w:noWrap/>
            <w:vAlign w:val="bottom"/>
            <w:hideMark/>
          </w:tcPr>
          <w:p w14:paraId="3CAAC647"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20</w:t>
            </w:r>
          </w:p>
        </w:tc>
        <w:tc>
          <w:tcPr>
            <w:tcW w:w="705" w:type="dxa"/>
            <w:tcBorders>
              <w:top w:val="nil"/>
              <w:left w:val="nil"/>
              <w:bottom w:val="nil"/>
              <w:right w:val="nil"/>
            </w:tcBorders>
            <w:noWrap/>
            <w:vAlign w:val="center"/>
            <w:hideMark/>
          </w:tcPr>
          <w:p w14:paraId="7E85603D"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0.20</w:t>
            </w:r>
          </w:p>
        </w:tc>
      </w:tr>
      <w:tr w:rsidR="007E77BD" w:rsidRPr="00E9644F" w14:paraId="46A999A1" w14:textId="77777777" w:rsidTr="007E77BD">
        <w:trPr>
          <w:trHeight w:val="280"/>
        </w:trPr>
        <w:tc>
          <w:tcPr>
            <w:tcW w:w="1161" w:type="dxa"/>
            <w:tcBorders>
              <w:top w:val="nil"/>
              <w:left w:val="nil"/>
              <w:bottom w:val="nil"/>
              <w:right w:val="nil"/>
            </w:tcBorders>
          </w:tcPr>
          <w:p w14:paraId="7AE89889" w14:textId="77777777" w:rsidR="007E77BD" w:rsidRPr="00E9644F" w:rsidRDefault="007E77B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nil"/>
              <w:left w:val="nil"/>
              <w:bottom w:val="nil"/>
              <w:right w:val="nil"/>
            </w:tcBorders>
            <w:noWrap/>
            <w:vAlign w:val="bottom"/>
            <w:hideMark/>
          </w:tcPr>
          <w:p w14:paraId="641B06AF" w14:textId="7610BB26" w:rsidR="007E77BD" w:rsidRPr="00E9644F" w:rsidRDefault="007E77B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Tema</w:t>
            </w:r>
          </w:p>
        </w:tc>
        <w:tc>
          <w:tcPr>
            <w:tcW w:w="1989" w:type="dxa"/>
            <w:tcBorders>
              <w:top w:val="nil"/>
              <w:left w:val="nil"/>
              <w:bottom w:val="nil"/>
              <w:right w:val="nil"/>
            </w:tcBorders>
            <w:noWrap/>
            <w:vAlign w:val="center"/>
            <w:hideMark/>
          </w:tcPr>
          <w:p w14:paraId="7BDC4FA5" w14:textId="1C910636" w:rsidR="007E77BD" w:rsidRPr="00E9644F" w:rsidRDefault="007E77BD" w:rsidP="007E77BD">
            <w:pPr>
              <w:spacing w:after="0" w:line="240" w:lineRule="auto"/>
              <w:rPr>
                <w:rFonts w:ascii="Times New Roman" w:eastAsia="Times New Roman" w:hAnsi="Times New Roman" w:cs="Times New Roman"/>
                <w:i/>
                <w:iCs/>
                <w:color w:val="000000"/>
                <w:kern w:val="0"/>
                <w:sz w:val="20"/>
                <w:szCs w:val="20"/>
                <w14:ligatures w14:val="none"/>
              </w:rPr>
            </w:pPr>
            <w:r w:rsidRPr="00E9644F">
              <w:rPr>
                <w:rFonts w:ascii="Times New Roman" w:eastAsia="Times New Roman" w:hAnsi="Times New Roman" w:cs="Times New Roman"/>
                <w:i/>
                <w:iCs/>
                <w:color w:val="000000"/>
                <w:kern w:val="0"/>
                <w:sz w:val="20"/>
                <w:szCs w:val="20"/>
                <w14:ligatures w14:val="none"/>
              </w:rPr>
              <w:t>Ae. vittatus</w:t>
            </w:r>
          </w:p>
        </w:tc>
        <w:tc>
          <w:tcPr>
            <w:tcW w:w="575" w:type="dxa"/>
            <w:tcBorders>
              <w:top w:val="nil"/>
              <w:left w:val="nil"/>
              <w:bottom w:val="nil"/>
              <w:right w:val="nil"/>
            </w:tcBorders>
            <w:noWrap/>
            <w:vAlign w:val="bottom"/>
            <w:hideMark/>
          </w:tcPr>
          <w:p w14:paraId="4DE8789B"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884" w:type="dxa"/>
            <w:tcBorders>
              <w:top w:val="nil"/>
              <w:left w:val="nil"/>
              <w:bottom w:val="nil"/>
              <w:right w:val="nil"/>
            </w:tcBorders>
            <w:noWrap/>
            <w:vAlign w:val="bottom"/>
            <w:hideMark/>
          </w:tcPr>
          <w:p w14:paraId="6A67C253"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483" w:type="dxa"/>
            <w:tcBorders>
              <w:top w:val="nil"/>
              <w:left w:val="nil"/>
              <w:bottom w:val="nil"/>
              <w:right w:val="nil"/>
            </w:tcBorders>
            <w:noWrap/>
            <w:vAlign w:val="bottom"/>
            <w:hideMark/>
          </w:tcPr>
          <w:p w14:paraId="2996D933"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483" w:type="dxa"/>
            <w:tcBorders>
              <w:top w:val="nil"/>
              <w:left w:val="nil"/>
              <w:bottom w:val="nil"/>
              <w:right w:val="nil"/>
            </w:tcBorders>
            <w:noWrap/>
            <w:vAlign w:val="bottom"/>
            <w:hideMark/>
          </w:tcPr>
          <w:p w14:paraId="1B173459"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705" w:type="dxa"/>
            <w:tcBorders>
              <w:top w:val="nil"/>
              <w:left w:val="nil"/>
              <w:bottom w:val="nil"/>
              <w:right w:val="nil"/>
            </w:tcBorders>
            <w:noWrap/>
            <w:vAlign w:val="center"/>
            <w:hideMark/>
          </w:tcPr>
          <w:p w14:paraId="6440045C"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0.00</w:t>
            </w:r>
          </w:p>
        </w:tc>
        <w:tc>
          <w:tcPr>
            <w:tcW w:w="515" w:type="dxa"/>
            <w:tcBorders>
              <w:top w:val="nil"/>
              <w:left w:val="nil"/>
              <w:bottom w:val="nil"/>
              <w:right w:val="nil"/>
            </w:tcBorders>
            <w:noWrap/>
            <w:vAlign w:val="bottom"/>
            <w:hideMark/>
          </w:tcPr>
          <w:p w14:paraId="06F428F3"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630" w:type="dxa"/>
            <w:tcBorders>
              <w:top w:val="nil"/>
              <w:left w:val="nil"/>
              <w:bottom w:val="nil"/>
              <w:right w:val="nil"/>
            </w:tcBorders>
            <w:noWrap/>
            <w:vAlign w:val="bottom"/>
            <w:hideMark/>
          </w:tcPr>
          <w:p w14:paraId="5FD3987D"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551" w:type="dxa"/>
            <w:tcBorders>
              <w:top w:val="nil"/>
              <w:left w:val="nil"/>
              <w:bottom w:val="nil"/>
              <w:right w:val="nil"/>
            </w:tcBorders>
            <w:noWrap/>
            <w:vAlign w:val="bottom"/>
            <w:hideMark/>
          </w:tcPr>
          <w:p w14:paraId="538DE5AD"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709" w:type="dxa"/>
            <w:tcBorders>
              <w:top w:val="nil"/>
              <w:left w:val="nil"/>
              <w:bottom w:val="nil"/>
              <w:right w:val="nil"/>
            </w:tcBorders>
            <w:noWrap/>
            <w:vAlign w:val="center"/>
            <w:hideMark/>
          </w:tcPr>
          <w:p w14:paraId="05B0F7C4"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0.00</w:t>
            </w:r>
          </w:p>
        </w:tc>
        <w:tc>
          <w:tcPr>
            <w:tcW w:w="483" w:type="dxa"/>
            <w:tcBorders>
              <w:top w:val="nil"/>
              <w:left w:val="nil"/>
              <w:bottom w:val="nil"/>
              <w:right w:val="nil"/>
            </w:tcBorders>
            <w:noWrap/>
            <w:vAlign w:val="bottom"/>
            <w:hideMark/>
          </w:tcPr>
          <w:p w14:paraId="711DCC7A"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529" w:type="dxa"/>
            <w:tcBorders>
              <w:top w:val="nil"/>
              <w:left w:val="nil"/>
              <w:bottom w:val="nil"/>
              <w:right w:val="nil"/>
            </w:tcBorders>
            <w:noWrap/>
            <w:vAlign w:val="bottom"/>
            <w:hideMark/>
          </w:tcPr>
          <w:p w14:paraId="1F3A5FF4"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505" w:type="dxa"/>
            <w:tcBorders>
              <w:top w:val="nil"/>
              <w:left w:val="nil"/>
              <w:bottom w:val="nil"/>
              <w:right w:val="nil"/>
            </w:tcBorders>
            <w:noWrap/>
            <w:vAlign w:val="bottom"/>
            <w:hideMark/>
          </w:tcPr>
          <w:p w14:paraId="1D7FE265"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705" w:type="dxa"/>
            <w:tcBorders>
              <w:top w:val="nil"/>
              <w:left w:val="nil"/>
              <w:bottom w:val="nil"/>
              <w:right w:val="nil"/>
            </w:tcBorders>
            <w:noWrap/>
            <w:vAlign w:val="center"/>
            <w:hideMark/>
          </w:tcPr>
          <w:p w14:paraId="4E1CEC7F"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0.00</w:t>
            </w:r>
          </w:p>
        </w:tc>
      </w:tr>
      <w:tr w:rsidR="007E77BD" w:rsidRPr="00E9644F" w14:paraId="26CD5B52" w14:textId="77777777" w:rsidTr="007E77BD">
        <w:trPr>
          <w:trHeight w:val="280"/>
        </w:trPr>
        <w:tc>
          <w:tcPr>
            <w:tcW w:w="1161" w:type="dxa"/>
            <w:tcBorders>
              <w:top w:val="nil"/>
              <w:left w:val="nil"/>
              <w:bottom w:val="single" w:sz="4" w:space="0" w:color="auto"/>
              <w:right w:val="nil"/>
            </w:tcBorders>
          </w:tcPr>
          <w:p w14:paraId="12C8739E" w14:textId="77777777" w:rsidR="007E77BD" w:rsidRPr="00E9644F" w:rsidRDefault="007E77BD" w:rsidP="007E77BD">
            <w:pPr>
              <w:spacing w:after="0" w:line="240" w:lineRule="auto"/>
              <w:rPr>
                <w:rFonts w:ascii="Times New Roman" w:eastAsia="Times New Roman" w:hAnsi="Times New Roman" w:cs="Times New Roman"/>
                <w:color w:val="000000"/>
                <w:kern w:val="0"/>
                <w:sz w:val="20"/>
                <w:szCs w:val="20"/>
                <w14:ligatures w14:val="none"/>
              </w:rPr>
            </w:pPr>
          </w:p>
        </w:tc>
        <w:tc>
          <w:tcPr>
            <w:tcW w:w="1161" w:type="dxa"/>
            <w:tcBorders>
              <w:top w:val="nil"/>
              <w:left w:val="nil"/>
              <w:bottom w:val="single" w:sz="4" w:space="0" w:color="auto"/>
              <w:right w:val="nil"/>
            </w:tcBorders>
            <w:noWrap/>
            <w:vAlign w:val="bottom"/>
            <w:hideMark/>
          </w:tcPr>
          <w:p w14:paraId="4E352A81" w14:textId="4830CA29" w:rsidR="007E77BD" w:rsidRPr="00E9644F" w:rsidRDefault="007E77BD" w:rsidP="007E77BD">
            <w:pPr>
              <w:spacing w:after="0" w:line="240" w:lineRule="auto"/>
              <w:rPr>
                <w:rFonts w:ascii="Times New Roman" w:eastAsia="Times New Roman" w:hAnsi="Times New Roman" w:cs="Times New Roman"/>
                <w:color w:val="000000"/>
                <w:kern w:val="0"/>
                <w:sz w:val="20"/>
                <w:szCs w:val="20"/>
                <w14:ligatures w14:val="none"/>
              </w:rPr>
            </w:pPr>
            <w:r w:rsidRPr="00E9644F">
              <w:rPr>
                <w:rFonts w:ascii="Times New Roman" w:eastAsia="Times New Roman" w:hAnsi="Times New Roman" w:cs="Times New Roman"/>
                <w:color w:val="000000"/>
                <w:kern w:val="0"/>
                <w:sz w:val="20"/>
                <w:szCs w:val="20"/>
                <w14:ligatures w14:val="none"/>
              </w:rPr>
              <w:t>Accra</w:t>
            </w:r>
          </w:p>
        </w:tc>
        <w:tc>
          <w:tcPr>
            <w:tcW w:w="1989" w:type="dxa"/>
            <w:tcBorders>
              <w:top w:val="nil"/>
              <w:left w:val="nil"/>
              <w:bottom w:val="single" w:sz="4" w:space="0" w:color="auto"/>
              <w:right w:val="nil"/>
            </w:tcBorders>
            <w:noWrap/>
            <w:vAlign w:val="center"/>
            <w:hideMark/>
          </w:tcPr>
          <w:p w14:paraId="68AC75CC" w14:textId="02A800BE" w:rsidR="007E77BD" w:rsidRPr="00E9644F" w:rsidRDefault="007E77BD" w:rsidP="007E77BD">
            <w:pPr>
              <w:spacing w:after="0" w:line="240" w:lineRule="auto"/>
              <w:rPr>
                <w:rFonts w:ascii="Times New Roman" w:eastAsia="Times New Roman" w:hAnsi="Times New Roman" w:cs="Times New Roman"/>
                <w:i/>
                <w:iCs/>
                <w:color w:val="000000"/>
                <w:kern w:val="0"/>
                <w:sz w:val="20"/>
                <w:szCs w:val="20"/>
                <w14:ligatures w14:val="none"/>
              </w:rPr>
            </w:pPr>
            <w:r w:rsidRPr="00E9644F">
              <w:rPr>
                <w:rFonts w:ascii="Times New Roman" w:eastAsia="Times New Roman" w:hAnsi="Times New Roman" w:cs="Times New Roman"/>
                <w:i/>
                <w:iCs/>
                <w:color w:val="000000"/>
                <w:kern w:val="0"/>
                <w:sz w:val="20"/>
                <w:szCs w:val="20"/>
                <w14:ligatures w14:val="none"/>
              </w:rPr>
              <w:t>Ae. vittatus</w:t>
            </w:r>
          </w:p>
        </w:tc>
        <w:tc>
          <w:tcPr>
            <w:tcW w:w="575" w:type="dxa"/>
            <w:tcBorders>
              <w:top w:val="nil"/>
              <w:left w:val="nil"/>
              <w:bottom w:val="single" w:sz="4" w:space="0" w:color="auto"/>
              <w:right w:val="nil"/>
            </w:tcBorders>
            <w:noWrap/>
            <w:vAlign w:val="bottom"/>
            <w:hideMark/>
          </w:tcPr>
          <w:p w14:paraId="3B2FF245"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40</w:t>
            </w:r>
          </w:p>
        </w:tc>
        <w:tc>
          <w:tcPr>
            <w:tcW w:w="884" w:type="dxa"/>
            <w:tcBorders>
              <w:top w:val="nil"/>
              <w:left w:val="nil"/>
              <w:bottom w:val="single" w:sz="4" w:space="0" w:color="auto"/>
              <w:right w:val="nil"/>
            </w:tcBorders>
            <w:noWrap/>
            <w:vAlign w:val="bottom"/>
            <w:hideMark/>
          </w:tcPr>
          <w:p w14:paraId="396E0EC5"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2</w:t>
            </w:r>
          </w:p>
        </w:tc>
        <w:tc>
          <w:tcPr>
            <w:tcW w:w="483" w:type="dxa"/>
            <w:tcBorders>
              <w:top w:val="nil"/>
              <w:left w:val="nil"/>
              <w:bottom w:val="single" w:sz="4" w:space="0" w:color="auto"/>
              <w:right w:val="nil"/>
            </w:tcBorders>
            <w:noWrap/>
            <w:vAlign w:val="bottom"/>
            <w:hideMark/>
          </w:tcPr>
          <w:p w14:paraId="4E395CE7"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483" w:type="dxa"/>
            <w:tcBorders>
              <w:top w:val="nil"/>
              <w:left w:val="nil"/>
              <w:bottom w:val="single" w:sz="4" w:space="0" w:color="auto"/>
              <w:right w:val="nil"/>
            </w:tcBorders>
            <w:noWrap/>
            <w:vAlign w:val="bottom"/>
            <w:hideMark/>
          </w:tcPr>
          <w:p w14:paraId="09ADF2BF" w14:textId="77777777" w:rsidR="007E77BD" w:rsidRPr="00E9644F" w:rsidRDefault="007E77BD" w:rsidP="007E77BD">
            <w:pPr>
              <w:spacing w:after="0" w:line="240" w:lineRule="auto"/>
              <w:jc w:val="center"/>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705" w:type="dxa"/>
            <w:tcBorders>
              <w:top w:val="nil"/>
              <w:left w:val="nil"/>
              <w:bottom w:val="single" w:sz="4" w:space="0" w:color="auto"/>
              <w:right w:val="nil"/>
            </w:tcBorders>
            <w:noWrap/>
            <w:vAlign w:val="center"/>
            <w:hideMark/>
          </w:tcPr>
          <w:p w14:paraId="71464148"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0.05</w:t>
            </w:r>
          </w:p>
        </w:tc>
        <w:tc>
          <w:tcPr>
            <w:tcW w:w="515" w:type="dxa"/>
            <w:tcBorders>
              <w:top w:val="nil"/>
              <w:left w:val="nil"/>
              <w:bottom w:val="single" w:sz="4" w:space="0" w:color="auto"/>
              <w:right w:val="nil"/>
            </w:tcBorders>
            <w:noWrap/>
            <w:vAlign w:val="bottom"/>
            <w:hideMark/>
          </w:tcPr>
          <w:p w14:paraId="2F435454"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630" w:type="dxa"/>
            <w:tcBorders>
              <w:top w:val="nil"/>
              <w:left w:val="nil"/>
              <w:bottom w:val="single" w:sz="4" w:space="0" w:color="auto"/>
              <w:right w:val="nil"/>
            </w:tcBorders>
            <w:noWrap/>
            <w:vAlign w:val="bottom"/>
            <w:hideMark/>
          </w:tcPr>
          <w:p w14:paraId="4506E704"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551" w:type="dxa"/>
            <w:tcBorders>
              <w:top w:val="nil"/>
              <w:left w:val="nil"/>
              <w:bottom w:val="single" w:sz="4" w:space="0" w:color="auto"/>
              <w:right w:val="nil"/>
            </w:tcBorders>
            <w:noWrap/>
            <w:vAlign w:val="bottom"/>
            <w:hideMark/>
          </w:tcPr>
          <w:p w14:paraId="34D96FC0"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34</w:t>
            </w:r>
          </w:p>
        </w:tc>
        <w:tc>
          <w:tcPr>
            <w:tcW w:w="709" w:type="dxa"/>
            <w:tcBorders>
              <w:top w:val="nil"/>
              <w:left w:val="nil"/>
              <w:bottom w:val="single" w:sz="4" w:space="0" w:color="auto"/>
              <w:right w:val="nil"/>
            </w:tcBorders>
            <w:noWrap/>
            <w:vAlign w:val="center"/>
            <w:hideMark/>
          </w:tcPr>
          <w:p w14:paraId="14A0F6CA"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0.00</w:t>
            </w:r>
          </w:p>
        </w:tc>
        <w:tc>
          <w:tcPr>
            <w:tcW w:w="483" w:type="dxa"/>
            <w:tcBorders>
              <w:top w:val="nil"/>
              <w:left w:val="nil"/>
              <w:bottom w:val="single" w:sz="4" w:space="0" w:color="auto"/>
              <w:right w:val="nil"/>
            </w:tcBorders>
            <w:noWrap/>
            <w:vAlign w:val="bottom"/>
            <w:hideMark/>
          </w:tcPr>
          <w:p w14:paraId="7E285548"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10</w:t>
            </w:r>
          </w:p>
        </w:tc>
        <w:tc>
          <w:tcPr>
            <w:tcW w:w="529" w:type="dxa"/>
            <w:tcBorders>
              <w:top w:val="nil"/>
              <w:left w:val="nil"/>
              <w:bottom w:val="single" w:sz="4" w:space="0" w:color="auto"/>
              <w:right w:val="nil"/>
            </w:tcBorders>
            <w:noWrap/>
            <w:vAlign w:val="bottom"/>
            <w:hideMark/>
          </w:tcPr>
          <w:p w14:paraId="6C5CAA4F"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0</w:t>
            </w:r>
          </w:p>
        </w:tc>
        <w:tc>
          <w:tcPr>
            <w:tcW w:w="505" w:type="dxa"/>
            <w:tcBorders>
              <w:top w:val="nil"/>
              <w:left w:val="nil"/>
              <w:bottom w:val="single" w:sz="4" w:space="0" w:color="auto"/>
              <w:right w:val="nil"/>
            </w:tcBorders>
            <w:noWrap/>
            <w:vAlign w:val="bottom"/>
            <w:hideMark/>
          </w:tcPr>
          <w:p w14:paraId="39FE7BFB" w14:textId="77777777" w:rsidR="007E77BD" w:rsidRPr="00E9644F" w:rsidRDefault="007E77BD" w:rsidP="007E77BD">
            <w:pPr>
              <w:spacing w:after="0" w:line="240" w:lineRule="auto"/>
              <w:jc w:val="right"/>
              <w:rPr>
                <w:rFonts w:ascii="Calibri" w:eastAsia="Times New Roman" w:hAnsi="Calibri" w:cs="Calibri"/>
                <w:color w:val="000000"/>
                <w:kern w:val="0"/>
                <w14:ligatures w14:val="none"/>
              </w:rPr>
            </w:pPr>
            <w:r w:rsidRPr="00E9644F">
              <w:rPr>
                <w:rFonts w:ascii="Calibri" w:eastAsia="Times New Roman" w:hAnsi="Calibri" w:cs="Calibri"/>
                <w:color w:val="000000"/>
                <w:kern w:val="0"/>
                <w14:ligatures w14:val="none"/>
              </w:rPr>
              <w:t>30</w:t>
            </w:r>
          </w:p>
        </w:tc>
        <w:tc>
          <w:tcPr>
            <w:tcW w:w="705" w:type="dxa"/>
            <w:tcBorders>
              <w:top w:val="nil"/>
              <w:left w:val="nil"/>
              <w:bottom w:val="single" w:sz="4" w:space="0" w:color="auto"/>
              <w:right w:val="nil"/>
            </w:tcBorders>
            <w:noWrap/>
            <w:vAlign w:val="center"/>
            <w:hideMark/>
          </w:tcPr>
          <w:p w14:paraId="72E71995" w14:textId="77777777" w:rsidR="007E77BD" w:rsidRPr="00E9644F" w:rsidRDefault="007E77BD" w:rsidP="007E77BD">
            <w:pPr>
              <w:spacing w:after="0" w:line="240" w:lineRule="auto"/>
              <w:jc w:val="center"/>
              <w:rPr>
                <w:rFonts w:ascii="Times New Roman" w:eastAsia="Times New Roman" w:hAnsi="Times New Roman" w:cs="Times New Roman"/>
                <w:b/>
                <w:bCs/>
                <w:color w:val="000000"/>
                <w:kern w:val="0"/>
                <w:sz w:val="20"/>
                <w:szCs w:val="20"/>
                <w14:ligatures w14:val="none"/>
              </w:rPr>
            </w:pPr>
            <w:r w:rsidRPr="00E9644F">
              <w:rPr>
                <w:rFonts w:ascii="Times New Roman" w:eastAsia="Times New Roman" w:hAnsi="Times New Roman" w:cs="Times New Roman"/>
                <w:b/>
                <w:bCs/>
                <w:color w:val="000000"/>
                <w:kern w:val="0"/>
                <w:sz w:val="20"/>
                <w:szCs w:val="20"/>
                <w14:ligatures w14:val="none"/>
              </w:rPr>
              <w:t>0.25</w:t>
            </w:r>
          </w:p>
        </w:tc>
      </w:tr>
    </w:tbl>
    <w:p w14:paraId="30457BB6" w14:textId="77777777" w:rsidR="008158FB" w:rsidRPr="00E9644F" w:rsidRDefault="008158FB" w:rsidP="00055A2D">
      <w:pPr>
        <w:spacing w:line="480" w:lineRule="auto"/>
        <w:jc w:val="both"/>
        <w:rPr>
          <w:rFonts w:ascii="Times New Roman" w:hAnsi="Times New Roman" w:cs="Times New Roman"/>
          <w:b/>
          <w:bCs/>
          <w:sz w:val="24"/>
          <w:szCs w:val="24"/>
        </w:rPr>
      </w:pPr>
    </w:p>
    <w:p w14:paraId="53A621FF" w14:textId="15C35667" w:rsidR="002E4D22" w:rsidRPr="00E9644F" w:rsidRDefault="002E4D22" w:rsidP="00B76860">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 xml:space="preserve">Species identification </w:t>
      </w:r>
      <w:r w:rsidR="00BA5C22" w:rsidRPr="00E9644F">
        <w:rPr>
          <w:rFonts w:ascii="Times New Roman" w:hAnsi="Times New Roman" w:cs="Times New Roman"/>
          <w:b/>
          <w:bCs/>
          <w:sz w:val="24"/>
          <w:szCs w:val="24"/>
        </w:rPr>
        <w:t>of</w:t>
      </w:r>
      <w:r w:rsidR="00020CB1" w:rsidRPr="00E9644F">
        <w:rPr>
          <w:rFonts w:ascii="Times New Roman" w:hAnsi="Times New Roman" w:cs="Times New Roman"/>
          <w:b/>
          <w:bCs/>
          <w:sz w:val="24"/>
          <w:szCs w:val="24"/>
        </w:rPr>
        <w:t xml:space="preserve"> </w:t>
      </w:r>
      <w:r w:rsidR="00BA5C22" w:rsidRPr="00E9644F">
        <w:rPr>
          <w:rFonts w:ascii="Times New Roman" w:hAnsi="Times New Roman" w:cs="Times New Roman"/>
          <w:b/>
          <w:bCs/>
          <w:i/>
          <w:iCs/>
          <w:sz w:val="24"/>
          <w:szCs w:val="24"/>
        </w:rPr>
        <w:t>Aedes</w:t>
      </w:r>
      <w:r w:rsidR="00BA5C22" w:rsidRPr="00E9644F">
        <w:rPr>
          <w:rFonts w:ascii="Times New Roman" w:hAnsi="Times New Roman" w:cs="Times New Roman"/>
          <w:b/>
          <w:bCs/>
          <w:sz w:val="24"/>
          <w:szCs w:val="24"/>
        </w:rPr>
        <w:t xml:space="preserve"> mosquitoes</w:t>
      </w:r>
      <w:r w:rsidR="00020CB1" w:rsidRPr="00E9644F">
        <w:rPr>
          <w:rFonts w:ascii="Times New Roman" w:hAnsi="Times New Roman" w:cs="Times New Roman"/>
          <w:b/>
          <w:bCs/>
          <w:sz w:val="24"/>
          <w:szCs w:val="24"/>
        </w:rPr>
        <w:t xml:space="preserve"> in the various sites in Ghana</w:t>
      </w:r>
    </w:p>
    <w:p w14:paraId="74DBF2AF" w14:textId="30D982E7" w:rsidR="00454947" w:rsidRPr="00E9644F" w:rsidRDefault="002E4D22" w:rsidP="00B76860">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 xml:space="preserve">Out of the total </w:t>
      </w:r>
      <w:r w:rsidR="00E4254E" w:rsidRPr="00E9644F">
        <w:rPr>
          <w:rFonts w:ascii="Times New Roman" w:hAnsi="Times New Roman" w:cs="Times New Roman"/>
          <w:sz w:val="24"/>
          <w:szCs w:val="24"/>
        </w:rPr>
        <w:t>24</w:t>
      </w:r>
      <w:r w:rsidR="00E3654E" w:rsidRPr="00E9644F">
        <w:rPr>
          <w:rFonts w:ascii="Times New Roman" w:hAnsi="Times New Roman" w:cs="Times New Roman"/>
          <w:sz w:val="24"/>
          <w:szCs w:val="24"/>
        </w:rPr>
        <w:t>14</w:t>
      </w:r>
      <w:r w:rsidRPr="00E9644F">
        <w:rPr>
          <w:rFonts w:ascii="Times New Roman" w:hAnsi="Times New Roman" w:cs="Times New Roman"/>
          <w:sz w:val="24"/>
          <w:szCs w:val="24"/>
        </w:rPr>
        <w:t xml:space="preserve"> </w:t>
      </w:r>
      <w:r w:rsidRPr="00E9644F">
        <w:rPr>
          <w:rFonts w:ascii="Times New Roman" w:hAnsi="Times New Roman" w:cs="Times New Roman"/>
          <w:i/>
          <w:iCs/>
          <w:sz w:val="24"/>
          <w:szCs w:val="24"/>
        </w:rPr>
        <w:t>Aedes</w:t>
      </w:r>
      <w:r w:rsidRPr="00E9644F">
        <w:rPr>
          <w:rFonts w:ascii="Times New Roman" w:hAnsi="Times New Roman" w:cs="Times New Roman"/>
          <w:sz w:val="24"/>
          <w:szCs w:val="24"/>
        </w:rPr>
        <w:t xml:space="preserve"> mosquitoes identified, the most abundant species were </w:t>
      </w:r>
      <w:r w:rsidRPr="00E9644F">
        <w:rPr>
          <w:rFonts w:ascii="Times New Roman" w:hAnsi="Times New Roman" w:cs="Times New Roman"/>
          <w:i/>
          <w:iCs/>
          <w:sz w:val="24"/>
          <w:szCs w:val="24"/>
        </w:rPr>
        <w:t>Aedes aegypti</w:t>
      </w:r>
      <w:r w:rsidRPr="00E9644F">
        <w:rPr>
          <w:rFonts w:ascii="Times New Roman" w:hAnsi="Times New Roman" w:cs="Times New Roman"/>
          <w:sz w:val="24"/>
          <w:szCs w:val="24"/>
        </w:rPr>
        <w:t xml:space="preserve"> (2</w:t>
      </w:r>
      <w:r w:rsidR="00E4254E" w:rsidRPr="00E9644F">
        <w:rPr>
          <w:rFonts w:ascii="Times New Roman" w:hAnsi="Times New Roman" w:cs="Times New Roman"/>
          <w:sz w:val="24"/>
          <w:szCs w:val="24"/>
        </w:rPr>
        <w:t>204</w:t>
      </w:r>
      <w:r w:rsidRPr="00E9644F">
        <w:rPr>
          <w:rFonts w:ascii="Times New Roman" w:hAnsi="Times New Roman" w:cs="Times New Roman"/>
          <w:sz w:val="24"/>
          <w:szCs w:val="24"/>
        </w:rPr>
        <w:t>/</w:t>
      </w:r>
      <w:r w:rsidR="00E4254E" w:rsidRPr="00E9644F">
        <w:rPr>
          <w:rFonts w:ascii="Times New Roman" w:hAnsi="Times New Roman" w:cs="Times New Roman"/>
          <w:sz w:val="24"/>
          <w:szCs w:val="24"/>
        </w:rPr>
        <w:t>2</w:t>
      </w:r>
      <w:r w:rsidR="00E3654E" w:rsidRPr="00E9644F">
        <w:rPr>
          <w:rFonts w:ascii="Times New Roman" w:hAnsi="Times New Roman" w:cs="Times New Roman"/>
          <w:sz w:val="24"/>
          <w:szCs w:val="24"/>
        </w:rPr>
        <w:t>414</w:t>
      </w:r>
      <w:r w:rsidRPr="00E9644F">
        <w:rPr>
          <w:rFonts w:ascii="Times New Roman" w:hAnsi="Times New Roman" w:cs="Times New Roman"/>
          <w:sz w:val="24"/>
          <w:szCs w:val="24"/>
        </w:rPr>
        <w:t xml:space="preserve">, </w:t>
      </w:r>
      <w:r w:rsidR="00E4254E" w:rsidRPr="00E9644F">
        <w:rPr>
          <w:rFonts w:ascii="Times New Roman" w:hAnsi="Times New Roman" w:cs="Times New Roman"/>
          <w:sz w:val="24"/>
          <w:szCs w:val="24"/>
        </w:rPr>
        <w:t>9</w:t>
      </w:r>
      <w:r w:rsidR="00E3654E" w:rsidRPr="00E9644F">
        <w:rPr>
          <w:rFonts w:ascii="Times New Roman" w:hAnsi="Times New Roman" w:cs="Times New Roman"/>
          <w:sz w:val="24"/>
          <w:szCs w:val="24"/>
        </w:rPr>
        <w:t>1</w:t>
      </w:r>
      <w:r w:rsidRPr="00E9644F">
        <w:rPr>
          <w:rFonts w:ascii="Times New Roman" w:hAnsi="Times New Roman" w:cs="Times New Roman"/>
          <w:sz w:val="24"/>
          <w:szCs w:val="24"/>
        </w:rPr>
        <w:t xml:space="preserve">%), followed by </w:t>
      </w:r>
      <w:r w:rsidRPr="00E9644F">
        <w:rPr>
          <w:rFonts w:ascii="Times New Roman" w:hAnsi="Times New Roman" w:cs="Times New Roman"/>
          <w:i/>
          <w:iCs/>
          <w:sz w:val="24"/>
          <w:szCs w:val="24"/>
        </w:rPr>
        <w:t>Ae. albopictus</w:t>
      </w:r>
      <w:r w:rsidRPr="00E9644F">
        <w:rPr>
          <w:rFonts w:ascii="Times New Roman" w:hAnsi="Times New Roman" w:cs="Times New Roman"/>
          <w:sz w:val="24"/>
          <w:szCs w:val="24"/>
        </w:rPr>
        <w:t xml:space="preserve"> (114/</w:t>
      </w:r>
      <w:r w:rsidR="00E4254E" w:rsidRPr="00E9644F">
        <w:rPr>
          <w:rFonts w:ascii="Times New Roman" w:hAnsi="Times New Roman" w:cs="Times New Roman"/>
          <w:sz w:val="24"/>
          <w:szCs w:val="24"/>
        </w:rPr>
        <w:t>2</w:t>
      </w:r>
      <w:r w:rsidR="00E3654E" w:rsidRPr="00E9644F">
        <w:rPr>
          <w:rFonts w:ascii="Times New Roman" w:hAnsi="Times New Roman" w:cs="Times New Roman"/>
          <w:sz w:val="24"/>
          <w:szCs w:val="24"/>
        </w:rPr>
        <w:t>414</w:t>
      </w:r>
      <w:r w:rsidRPr="00E9644F">
        <w:rPr>
          <w:rFonts w:ascii="Times New Roman" w:hAnsi="Times New Roman" w:cs="Times New Roman"/>
          <w:sz w:val="24"/>
          <w:szCs w:val="24"/>
        </w:rPr>
        <w:t xml:space="preserve">, </w:t>
      </w:r>
      <w:r w:rsidR="00E4254E" w:rsidRPr="00E9644F">
        <w:rPr>
          <w:rFonts w:ascii="Times New Roman" w:hAnsi="Times New Roman" w:cs="Times New Roman"/>
          <w:sz w:val="24"/>
          <w:szCs w:val="24"/>
        </w:rPr>
        <w:t>5</w:t>
      </w:r>
      <w:r w:rsidRPr="00E9644F">
        <w:rPr>
          <w:rFonts w:ascii="Times New Roman" w:hAnsi="Times New Roman" w:cs="Times New Roman"/>
          <w:sz w:val="24"/>
          <w:szCs w:val="24"/>
        </w:rPr>
        <w:t xml:space="preserve">%) and </w:t>
      </w:r>
      <w:r w:rsidRPr="00E9644F">
        <w:rPr>
          <w:rFonts w:ascii="Times New Roman" w:hAnsi="Times New Roman" w:cs="Times New Roman"/>
          <w:i/>
          <w:iCs/>
          <w:sz w:val="24"/>
          <w:szCs w:val="24"/>
        </w:rPr>
        <w:t>Ae. vittatus</w:t>
      </w:r>
      <w:r w:rsidRPr="00E9644F">
        <w:rPr>
          <w:rFonts w:ascii="Times New Roman" w:hAnsi="Times New Roman" w:cs="Times New Roman"/>
          <w:sz w:val="24"/>
          <w:szCs w:val="24"/>
        </w:rPr>
        <w:t xml:space="preserve"> (96/</w:t>
      </w:r>
      <w:r w:rsidR="00E3654E" w:rsidRPr="00E9644F">
        <w:rPr>
          <w:rFonts w:ascii="Times New Roman" w:hAnsi="Times New Roman" w:cs="Times New Roman"/>
          <w:sz w:val="24"/>
          <w:szCs w:val="24"/>
        </w:rPr>
        <w:t>2414</w:t>
      </w:r>
      <w:r w:rsidR="00454947" w:rsidRPr="00E9644F">
        <w:rPr>
          <w:rFonts w:ascii="Times New Roman" w:hAnsi="Times New Roman" w:cs="Times New Roman"/>
          <w:sz w:val="24"/>
          <w:szCs w:val="24"/>
        </w:rPr>
        <w:t xml:space="preserve">, </w:t>
      </w:r>
      <w:r w:rsidR="00E3654E" w:rsidRPr="00E9644F">
        <w:rPr>
          <w:rFonts w:ascii="Times New Roman" w:hAnsi="Times New Roman" w:cs="Times New Roman"/>
          <w:sz w:val="24"/>
          <w:szCs w:val="24"/>
        </w:rPr>
        <w:t>4</w:t>
      </w:r>
      <w:r w:rsidR="00454947" w:rsidRPr="00E9644F">
        <w:rPr>
          <w:rFonts w:ascii="Times New Roman" w:hAnsi="Times New Roman" w:cs="Times New Roman"/>
          <w:sz w:val="24"/>
          <w:szCs w:val="24"/>
        </w:rPr>
        <w:t>%</w:t>
      </w:r>
      <w:r w:rsidRPr="00E9644F">
        <w:rPr>
          <w:rFonts w:ascii="Times New Roman" w:hAnsi="Times New Roman" w:cs="Times New Roman"/>
          <w:sz w:val="24"/>
          <w:szCs w:val="24"/>
        </w:rPr>
        <w:t>)</w:t>
      </w:r>
      <w:r w:rsidR="00454947" w:rsidRPr="00E9644F">
        <w:rPr>
          <w:rFonts w:ascii="Times New Roman" w:hAnsi="Times New Roman" w:cs="Times New Roman"/>
          <w:sz w:val="24"/>
          <w:szCs w:val="24"/>
        </w:rPr>
        <w:t xml:space="preserve"> (</w:t>
      </w:r>
      <w:r w:rsidRPr="00E9644F">
        <w:rPr>
          <w:rFonts w:ascii="Times New Roman" w:hAnsi="Times New Roman" w:cs="Times New Roman"/>
          <w:sz w:val="24"/>
          <w:szCs w:val="24"/>
        </w:rPr>
        <w:t>Table 2.</w:t>
      </w:r>
      <w:r w:rsidR="00454947" w:rsidRPr="00E9644F">
        <w:rPr>
          <w:rFonts w:ascii="Times New Roman" w:hAnsi="Times New Roman" w:cs="Times New Roman"/>
          <w:sz w:val="24"/>
          <w:szCs w:val="24"/>
        </w:rPr>
        <w:t>)</w:t>
      </w:r>
    </w:p>
    <w:p w14:paraId="5A76DC60" w14:textId="77777777" w:rsidR="000E0B80" w:rsidRPr="00E9644F" w:rsidRDefault="000E0B80" w:rsidP="00B76860">
      <w:pPr>
        <w:spacing w:line="480" w:lineRule="auto"/>
        <w:jc w:val="both"/>
        <w:rPr>
          <w:rFonts w:ascii="Times New Roman" w:hAnsi="Times New Roman" w:cs="Times New Roman"/>
          <w:sz w:val="24"/>
          <w:szCs w:val="24"/>
        </w:rPr>
      </w:pPr>
    </w:p>
    <w:p w14:paraId="5F51477B" w14:textId="77777777" w:rsidR="00DD7954" w:rsidRPr="00E9644F" w:rsidRDefault="00DD7954" w:rsidP="00B76860">
      <w:pPr>
        <w:spacing w:line="480" w:lineRule="auto"/>
        <w:jc w:val="both"/>
        <w:rPr>
          <w:rFonts w:ascii="Times New Roman" w:hAnsi="Times New Roman" w:cs="Times New Roman"/>
          <w:sz w:val="24"/>
          <w:szCs w:val="24"/>
        </w:rPr>
      </w:pPr>
    </w:p>
    <w:p w14:paraId="13C29119" w14:textId="77777777" w:rsidR="000E0B80" w:rsidRPr="00E9644F" w:rsidRDefault="000E0B80" w:rsidP="00B76860">
      <w:pPr>
        <w:spacing w:line="480" w:lineRule="auto"/>
        <w:jc w:val="both"/>
        <w:rPr>
          <w:rFonts w:ascii="Times New Roman" w:hAnsi="Times New Roman" w:cs="Times New Roman"/>
          <w:sz w:val="24"/>
          <w:szCs w:val="24"/>
        </w:rPr>
      </w:pPr>
    </w:p>
    <w:p w14:paraId="7E8FCB83" w14:textId="121B169C" w:rsidR="00547F74" w:rsidRPr="00E9644F" w:rsidRDefault="002E4D22" w:rsidP="00F72074">
      <w:pPr>
        <w:spacing w:after="0"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 xml:space="preserve">Table 2: Species identification of </w:t>
      </w:r>
      <w:r w:rsidRPr="00E9644F">
        <w:rPr>
          <w:rFonts w:ascii="Times New Roman" w:hAnsi="Times New Roman" w:cs="Times New Roman"/>
          <w:b/>
          <w:bCs/>
          <w:i/>
          <w:iCs/>
          <w:sz w:val="24"/>
          <w:szCs w:val="24"/>
        </w:rPr>
        <w:t>Aedes</w:t>
      </w:r>
      <w:r w:rsidRPr="00E9644F">
        <w:rPr>
          <w:rFonts w:ascii="Times New Roman" w:hAnsi="Times New Roman" w:cs="Times New Roman"/>
          <w:b/>
          <w:bCs/>
          <w:sz w:val="24"/>
          <w:szCs w:val="24"/>
        </w:rPr>
        <w:t xml:space="preserve"> mosquitoes </w:t>
      </w:r>
      <w:r w:rsidR="00BA5C22" w:rsidRPr="00E9644F">
        <w:rPr>
          <w:rFonts w:ascii="Times New Roman" w:hAnsi="Times New Roman" w:cs="Times New Roman"/>
          <w:b/>
          <w:bCs/>
          <w:sz w:val="24"/>
          <w:szCs w:val="24"/>
        </w:rPr>
        <w:t xml:space="preserve">in the </w:t>
      </w:r>
      <w:r w:rsidRPr="00E9644F">
        <w:rPr>
          <w:rFonts w:ascii="Times New Roman" w:hAnsi="Times New Roman" w:cs="Times New Roman"/>
          <w:b/>
          <w:bCs/>
          <w:sz w:val="24"/>
          <w:szCs w:val="24"/>
        </w:rPr>
        <w:t>study sites in Ghana</w:t>
      </w:r>
    </w:p>
    <w:tbl>
      <w:tblPr>
        <w:tblStyle w:val="ListTable1Light"/>
        <w:tblpPr w:leftFromText="180" w:rightFromText="180" w:vertAnchor="text" w:horzAnchor="margin" w:tblpY="127"/>
        <w:tblW w:w="9099" w:type="dxa"/>
        <w:tblLook w:val="06A0" w:firstRow="1" w:lastRow="0" w:firstColumn="1" w:lastColumn="0" w:noHBand="1" w:noVBand="1"/>
      </w:tblPr>
      <w:tblGrid>
        <w:gridCol w:w="2582"/>
        <w:gridCol w:w="1742"/>
        <w:gridCol w:w="1824"/>
        <w:gridCol w:w="2951"/>
      </w:tblGrid>
      <w:tr w:rsidR="00A67AE4" w:rsidRPr="00E9644F" w14:paraId="11A36F51" w14:textId="77777777" w:rsidTr="00A67AE4">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2582" w:type="dxa"/>
            <w:tcBorders>
              <w:top w:val="single" w:sz="4" w:space="0" w:color="auto"/>
            </w:tcBorders>
            <w:noWrap/>
            <w:hideMark/>
          </w:tcPr>
          <w:p w14:paraId="65DB757B" w14:textId="6594B74C" w:rsidR="00A67AE4" w:rsidRPr="00E9644F" w:rsidRDefault="00A67AE4"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Study Sites</w:t>
            </w:r>
          </w:p>
        </w:tc>
        <w:tc>
          <w:tcPr>
            <w:tcW w:w="6517" w:type="dxa"/>
            <w:gridSpan w:val="3"/>
            <w:tcBorders>
              <w:top w:val="single" w:sz="4" w:space="0" w:color="auto"/>
              <w:bottom w:val="none" w:sz="0" w:space="0" w:color="auto"/>
            </w:tcBorders>
            <w:noWrap/>
            <w:vAlign w:val="center"/>
            <w:hideMark/>
          </w:tcPr>
          <w:p w14:paraId="041FE38A" w14:textId="217451B6" w:rsidR="00A67AE4" w:rsidRPr="00E9644F" w:rsidRDefault="00A67AE4" w:rsidP="006E419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i/>
                <w:iCs/>
                <w:color w:val="000000"/>
                <w:kern w:val="0"/>
                <w14:ligatures w14:val="none"/>
              </w:rPr>
              <w:t>Aedes</w:t>
            </w:r>
            <w:r w:rsidRPr="00E9644F">
              <w:rPr>
                <w:rFonts w:ascii="Times New Roman" w:eastAsia="Times New Roman" w:hAnsi="Times New Roman" w:cs="Times New Roman"/>
                <w:color w:val="000000"/>
                <w:kern w:val="0"/>
                <w14:ligatures w14:val="none"/>
              </w:rPr>
              <w:t xml:space="preserve"> species</w:t>
            </w:r>
          </w:p>
        </w:tc>
      </w:tr>
      <w:tr w:rsidR="00D223CF" w:rsidRPr="00E9644F" w14:paraId="74D5CBD5" w14:textId="77777777" w:rsidTr="00A67AE4">
        <w:trPr>
          <w:trHeight w:val="350"/>
        </w:trPr>
        <w:tc>
          <w:tcPr>
            <w:cnfStyle w:val="001000000000" w:firstRow="0" w:lastRow="0" w:firstColumn="1" w:lastColumn="0" w:oddVBand="0" w:evenVBand="0" w:oddHBand="0" w:evenHBand="0" w:firstRowFirstColumn="0" w:firstRowLastColumn="0" w:lastRowFirstColumn="0" w:lastRowLastColumn="0"/>
            <w:tcW w:w="2582" w:type="dxa"/>
            <w:tcBorders>
              <w:bottom w:val="single" w:sz="4" w:space="0" w:color="auto"/>
            </w:tcBorders>
            <w:noWrap/>
          </w:tcPr>
          <w:p w14:paraId="4D5ED98F" w14:textId="77777777" w:rsidR="00D223CF" w:rsidRPr="00E9644F" w:rsidRDefault="00D223CF" w:rsidP="001834B2">
            <w:pPr>
              <w:spacing w:line="360" w:lineRule="auto"/>
              <w:jc w:val="both"/>
              <w:rPr>
                <w:rFonts w:ascii="Times New Roman" w:eastAsia="Times New Roman" w:hAnsi="Times New Roman" w:cs="Times New Roman"/>
                <w:color w:val="000000"/>
                <w:kern w:val="0"/>
                <w14:ligatures w14:val="none"/>
              </w:rPr>
            </w:pPr>
          </w:p>
        </w:tc>
        <w:tc>
          <w:tcPr>
            <w:tcW w:w="1742" w:type="dxa"/>
            <w:tcBorders>
              <w:bottom w:val="single" w:sz="4" w:space="0" w:color="auto"/>
            </w:tcBorders>
            <w:noWrap/>
          </w:tcPr>
          <w:p w14:paraId="4ACD10A6" w14:textId="4C89BF1A" w:rsidR="00D223CF" w:rsidRPr="00E9644F" w:rsidRDefault="00D223CF"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kern w:val="0"/>
                <w14:ligatures w14:val="none"/>
              </w:rPr>
            </w:pPr>
            <w:r w:rsidRPr="00E9644F">
              <w:rPr>
                <w:rFonts w:ascii="Times New Roman" w:eastAsia="Times New Roman" w:hAnsi="Times New Roman" w:cs="Times New Roman"/>
                <w:i/>
                <w:iCs/>
                <w:color w:val="000000"/>
                <w:kern w:val="0"/>
                <w14:ligatures w14:val="none"/>
              </w:rPr>
              <w:t xml:space="preserve">Ae. </w:t>
            </w:r>
            <w:r w:rsidR="006E4198" w:rsidRPr="00E9644F">
              <w:rPr>
                <w:rFonts w:ascii="Times New Roman" w:eastAsia="Times New Roman" w:hAnsi="Times New Roman" w:cs="Times New Roman"/>
                <w:i/>
                <w:iCs/>
                <w:color w:val="000000"/>
                <w:kern w:val="0"/>
                <w14:ligatures w14:val="none"/>
              </w:rPr>
              <w:t>a</w:t>
            </w:r>
            <w:r w:rsidRPr="00E9644F">
              <w:rPr>
                <w:rFonts w:ascii="Times New Roman" w:eastAsia="Times New Roman" w:hAnsi="Times New Roman" w:cs="Times New Roman"/>
                <w:i/>
                <w:iCs/>
                <w:color w:val="000000"/>
                <w:kern w:val="0"/>
                <w14:ligatures w14:val="none"/>
              </w:rPr>
              <w:t>egy</w:t>
            </w:r>
            <w:r w:rsidR="006E4198" w:rsidRPr="00E9644F">
              <w:rPr>
                <w:rFonts w:ascii="Times New Roman" w:eastAsia="Times New Roman" w:hAnsi="Times New Roman" w:cs="Times New Roman"/>
                <w:i/>
                <w:iCs/>
                <w:color w:val="000000"/>
                <w:kern w:val="0"/>
                <w14:ligatures w14:val="none"/>
              </w:rPr>
              <w:t>p</w:t>
            </w:r>
            <w:r w:rsidRPr="00E9644F">
              <w:rPr>
                <w:rFonts w:ascii="Times New Roman" w:eastAsia="Times New Roman" w:hAnsi="Times New Roman" w:cs="Times New Roman"/>
                <w:i/>
                <w:iCs/>
                <w:color w:val="000000"/>
                <w:kern w:val="0"/>
                <w14:ligatures w14:val="none"/>
              </w:rPr>
              <w:t>ti</w:t>
            </w:r>
          </w:p>
        </w:tc>
        <w:tc>
          <w:tcPr>
            <w:tcW w:w="1824" w:type="dxa"/>
            <w:tcBorders>
              <w:bottom w:val="single" w:sz="4" w:space="0" w:color="auto"/>
            </w:tcBorders>
            <w:noWrap/>
          </w:tcPr>
          <w:p w14:paraId="38049802" w14:textId="15CDBA74" w:rsidR="00D223CF" w:rsidRPr="00E9644F" w:rsidRDefault="00D223CF"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kern w:val="0"/>
                <w14:ligatures w14:val="none"/>
              </w:rPr>
            </w:pPr>
            <w:r w:rsidRPr="00E9644F">
              <w:rPr>
                <w:rFonts w:ascii="Times New Roman" w:eastAsia="Times New Roman" w:hAnsi="Times New Roman" w:cs="Times New Roman"/>
                <w:i/>
                <w:iCs/>
                <w:color w:val="000000"/>
                <w:kern w:val="0"/>
                <w14:ligatures w14:val="none"/>
              </w:rPr>
              <w:t xml:space="preserve">Ae. </w:t>
            </w:r>
            <w:r w:rsidR="006E4198" w:rsidRPr="00E9644F">
              <w:rPr>
                <w:rFonts w:ascii="Times New Roman" w:eastAsia="Times New Roman" w:hAnsi="Times New Roman" w:cs="Times New Roman"/>
                <w:i/>
                <w:iCs/>
                <w:color w:val="000000"/>
                <w:kern w:val="0"/>
                <w14:ligatures w14:val="none"/>
              </w:rPr>
              <w:t>a</w:t>
            </w:r>
            <w:r w:rsidRPr="00E9644F">
              <w:rPr>
                <w:rFonts w:ascii="Times New Roman" w:eastAsia="Times New Roman" w:hAnsi="Times New Roman" w:cs="Times New Roman"/>
                <w:i/>
                <w:iCs/>
                <w:color w:val="000000"/>
                <w:kern w:val="0"/>
                <w14:ligatures w14:val="none"/>
              </w:rPr>
              <w:t>lbopictus</w:t>
            </w:r>
          </w:p>
        </w:tc>
        <w:tc>
          <w:tcPr>
            <w:tcW w:w="2951" w:type="dxa"/>
            <w:tcBorders>
              <w:bottom w:val="single" w:sz="4" w:space="0" w:color="auto"/>
            </w:tcBorders>
            <w:noWrap/>
          </w:tcPr>
          <w:p w14:paraId="23484731" w14:textId="724FE897" w:rsidR="00D223CF" w:rsidRPr="00E9644F" w:rsidRDefault="00D223CF"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kern w:val="0"/>
                <w14:ligatures w14:val="none"/>
              </w:rPr>
            </w:pPr>
            <w:r w:rsidRPr="00E9644F">
              <w:rPr>
                <w:rFonts w:ascii="Times New Roman" w:eastAsia="Times New Roman" w:hAnsi="Times New Roman" w:cs="Times New Roman"/>
                <w:i/>
                <w:iCs/>
                <w:color w:val="000000"/>
                <w:kern w:val="0"/>
                <w14:ligatures w14:val="none"/>
              </w:rPr>
              <w:t xml:space="preserve">Ae. </w:t>
            </w:r>
            <w:r w:rsidR="006E4198" w:rsidRPr="00E9644F">
              <w:rPr>
                <w:rFonts w:ascii="Times New Roman" w:eastAsia="Times New Roman" w:hAnsi="Times New Roman" w:cs="Times New Roman"/>
                <w:i/>
                <w:iCs/>
                <w:color w:val="000000"/>
                <w:kern w:val="0"/>
                <w14:ligatures w14:val="none"/>
              </w:rPr>
              <w:t>v</w:t>
            </w:r>
            <w:r w:rsidRPr="00E9644F">
              <w:rPr>
                <w:rFonts w:ascii="Times New Roman" w:eastAsia="Times New Roman" w:hAnsi="Times New Roman" w:cs="Times New Roman"/>
                <w:i/>
                <w:iCs/>
                <w:color w:val="000000"/>
                <w:kern w:val="0"/>
                <w14:ligatures w14:val="none"/>
              </w:rPr>
              <w:t>ittatus</w:t>
            </w:r>
          </w:p>
        </w:tc>
      </w:tr>
      <w:tr w:rsidR="00D223CF" w:rsidRPr="00E9644F" w14:paraId="5D2E4321" w14:textId="77777777" w:rsidTr="00D223CF">
        <w:trPr>
          <w:trHeight w:val="350"/>
        </w:trPr>
        <w:tc>
          <w:tcPr>
            <w:cnfStyle w:val="001000000000" w:firstRow="0" w:lastRow="0" w:firstColumn="1" w:lastColumn="0" w:oddVBand="0" w:evenVBand="0" w:oddHBand="0" w:evenHBand="0" w:firstRowFirstColumn="0" w:firstRowLastColumn="0" w:lastRowFirstColumn="0" w:lastRowLastColumn="0"/>
            <w:tcW w:w="2582" w:type="dxa"/>
            <w:tcBorders>
              <w:top w:val="single" w:sz="4" w:space="0" w:color="auto"/>
            </w:tcBorders>
            <w:noWrap/>
            <w:hideMark/>
          </w:tcPr>
          <w:p w14:paraId="45F23E82" w14:textId="3E1BE861" w:rsidR="00D223CF" w:rsidRPr="00E9644F" w:rsidRDefault="008F2160"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Navrongo</w:t>
            </w:r>
          </w:p>
        </w:tc>
        <w:tc>
          <w:tcPr>
            <w:tcW w:w="1742" w:type="dxa"/>
            <w:tcBorders>
              <w:top w:val="single" w:sz="4" w:space="0" w:color="auto"/>
            </w:tcBorders>
            <w:noWrap/>
            <w:hideMark/>
          </w:tcPr>
          <w:p w14:paraId="7954D106" w14:textId="77777777" w:rsidR="00D223CF" w:rsidRPr="00E9644F" w:rsidRDefault="00D223CF"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40</w:t>
            </w:r>
          </w:p>
        </w:tc>
        <w:tc>
          <w:tcPr>
            <w:tcW w:w="1824" w:type="dxa"/>
            <w:tcBorders>
              <w:top w:val="single" w:sz="4" w:space="0" w:color="auto"/>
            </w:tcBorders>
            <w:noWrap/>
            <w:hideMark/>
          </w:tcPr>
          <w:p w14:paraId="45E3BE2D" w14:textId="57FA8622"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tcBorders>
              <w:top w:val="single" w:sz="4" w:space="0" w:color="auto"/>
            </w:tcBorders>
            <w:noWrap/>
            <w:hideMark/>
          </w:tcPr>
          <w:p w14:paraId="4D03ACDF" w14:textId="77777777" w:rsidR="00D223CF" w:rsidRPr="00E9644F" w:rsidRDefault="00D223CF"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r w:rsidR="00D223CF" w:rsidRPr="00E9644F" w14:paraId="6BD8134D" w14:textId="77777777" w:rsidTr="00D223CF">
        <w:trPr>
          <w:trHeight w:val="350"/>
        </w:trPr>
        <w:tc>
          <w:tcPr>
            <w:cnfStyle w:val="001000000000" w:firstRow="0" w:lastRow="0" w:firstColumn="1" w:lastColumn="0" w:oddVBand="0" w:evenVBand="0" w:oddHBand="0" w:evenHBand="0" w:firstRowFirstColumn="0" w:firstRowLastColumn="0" w:lastRowFirstColumn="0" w:lastRowLastColumn="0"/>
            <w:tcW w:w="2582" w:type="dxa"/>
            <w:noWrap/>
          </w:tcPr>
          <w:p w14:paraId="3902B3D5" w14:textId="696CFBD3" w:rsidR="00D223CF" w:rsidRPr="00E9644F" w:rsidRDefault="008F2160"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Kpalsogu</w:t>
            </w:r>
          </w:p>
        </w:tc>
        <w:tc>
          <w:tcPr>
            <w:tcW w:w="1742" w:type="dxa"/>
            <w:noWrap/>
          </w:tcPr>
          <w:p w14:paraId="37B9D55C" w14:textId="218B88BA" w:rsidR="00D223CF" w:rsidRPr="00E9644F" w:rsidRDefault="008E54F9"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102</w:t>
            </w:r>
          </w:p>
        </w:tc>
        <w:tc>
          <w:tcPr>
            <w:tcW w:w="1824" w:type="dxa"/>
            <w:noWrap/>
          </w:tcPr>
          <w:p w14:paraId="6F3B023C" w14:textId="40F8B82B"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noWrap/>
          </w:tcPr>
          <w:p w14:paraId="45D1B381" w14:textId="20BE2017"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r w:rsidR="00D223CF" w:rsidRPr="00E9644F" w14:paraId="7FF04843" w14:textId="77777777" w:rsidTr="00D223CF">
        <w:trPr>
          <w:trHeight w:val="350"/>
        </w:trPr>
        <w:tc>
          <w:tcPr>
            <w:cnfStyle w:val="001000000000" w:firstRow="0" w:lastRow="0" w:firstColumn="1" w:lastColumn="0" w:oddVBand="0" w:evenVBand="0" w:oddHBand="0" w:evenHBand="0" w:firstRowFirstColumn="0" w:firstRowLastColumn="0" w:lastRowFirstColumn="0" w:lastRowLastColumn="0"/>
            <w:tcW w:w="2582" w:type="dxa"/>
            <w:noWrap/>
          </w:tcPr>
          <w:p w14:paraId="0D2ADD7E" w14:textId="52E7348B" w:rsidR="00D223CF" w:rsidRPr="00E9644F" w:rsidRDefault="008F2160"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Pagaza</w:t>
            </w:r>
          </w:p>
        </w:tc>
        <w:tc>
          <w:tcPr>
            <w:tcW w:w="1742" w:type="dxa"/>
            <w:noWrap/>
          </w:tcPr>
          <w:p w14:paraId="407FDF4C" w14:textId="7AA6B90C" w:rsidR="00D223CF" w:rsidRPr="00E9644F" w:rsidRDefault="008E54F9"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75</w:t>
            </w:r>
          </w:p>
        </w:tc>
        <w:tc>
          <w:tcPr>
            <w:tcW w:w="1824" w:type="dxa"/>
            <w:noWrap/>
          </w:tcPr>
          <w:p w14:paraId="04A64D1D" w14:textId="38E1DD5C"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noWrap/>
          </w:tcPr>
          <w:p w14:paraId="7AE91797" w14:textId="4BF5E571"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r w:rsidR="00D223CF" w:rsidRPr="00E9644F" w14:paraId="4AF09180" w14:textId="77777777" w:rsidTr="00D223CF">
        <w:trPr>
          <w:trHeight w:val="350"/>
        </w:trPr>
        <w:tc>
          <w:tcPr>
            <w:cnfStyle w:val="001000000000" w:firstRow="0" w:lastRow="0" w:firstColumn="1" w:lastColumn="0" w:oddVBand="0" w:evenVBand="0" w:oddHBand="0" w:evenHBand="0" w:firstRowFirstColumn="0" w:firstRowLastColumn="0" w:lastRowFirstColumn="0" w:lastRowLastColumn="0"/>
            <w:tcW w:w="2582" w:type="dxa"/>
            <w:noWrap/>
          </w:tcPr>
          <w:p w14:paraId="0ABC6015" w14:textId="617B1372" w:rsidR="00D223CF" w:rsidRPr="00E9644F" w:rsidRDefault="008F2160"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Paga</w:t>
            </w:r>
          </w:p>
        </w:tc>
        <w:tc>
          <w:tcPr>
            <w:tcW w:w="1742" w:type="dxa"/>
            <w:noWrap/>
          </w:tcPr>
          <w:p w14:paraId="77BECD68" w14:textId="1153CB0A" w:rsidR="00D223CF" w:rsidRPr="00E9644F" w:rsidRDefault="008E54F9"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136</w:t>
            </w:r>
          </w:p>
        </w:tc>
        <w:tc>
          <w:tcPr>
            <w:tcW w:w="1824" w:type="dxa"/>
            <w:noWrap/>
          </w:tcPr>
          <w:p w14:paraId="6DDB0F6E" w14:textId="337003C8"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noWrap/>
          </w:tcPr>
          <w:p w14:paraId="07EBEA85" w14:textId="6B4DE06D"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r w:rsidR="00D223CF" w:rsidRPr="00E9644F" w14:paraId="72B59C69" w14:textId="77777777" w:rsidTr="00D223CF">
        <w:trPr>
          <w:trHeight w:val="350"/>
        </w:trPr>
        <w:tc>
          <w:tcPr>
            <w:cnfStyle w:val="001000000000" w:firstRow="0" w:lastRow="0" w:firstColumn="1" w:lastColumn="0" w:oddVBand="0" w:evenVBand="0" w:oddHBand="0" w:evenHBand="0" w:firstRowFirstColumn="0" w:firstRowLastColumn="0" w:lastRowFirstColumn="0" w:lastRowLastColumn="0"/>
            <w:tcW w:w="2582" w:type="dxa"/>
            <w:noWrap/>
          </w:tcPr>
          <w:p w14:paraId="545C0132" w14:textId="675BD116" w:rsidR="00D223CF" w:rsidRPr="00E9644F" w:rsidRDefault="008F2160"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Larabanga</w:t>
            </w:r>
          </w:p>
        </w:tc>
        <w:tc>
          <w:tcPr>
            <w:tcW w:w="1742" w:type="dxa"/>
            <w:noWrap/>
          </w:tcPr>
          <w:p w14:paraId="68A6BC7E" w14:textId="0133375D" w:rsidR="00D223CF" w:rsidRPr="00E9644F" w:rsidRDefault="008E54F9"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884</w:t>
            </w:r>
          </w:p>
        </w:tc>
        <w:tc>
          <w:tcPr>
            <w:tcW w:w="1824" w:type="dxa"/>
            <w:noWrap/>
          </w:tcPr>
          <w:p w14:paraId="5F9A2C1A" w14:textId="25A7AE75"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noWrap/>
          </w:tcPr>
          <w:p w14:paraId="389AC4BA" w14:textId="2CDC97E5"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r w:rsidR="00D223CF" w:rsidRPr="00E9644F" w14:paraId="12DA6272" w14:textId="77777777" w:rsidTr="00D223CF">
        <w:trPr>
          <w:trHeight w:val="350"/>
        </w:trPr>
        <w:tc>
          <w:tcPr>
            <w:cnfStyle w:val="001000000000" w:firstRow="0" w:lastRow="0" w:firstColumn="1" w:lastColumn="0" w:oddVBand="0" w:evenVBand="0" w:oddHBand="0" w:evenHBand="0" w:firstRowFirstColumn="0" w:firstRowLastColumn="0" w:lastRowFirstColumn="0" w:lastRowLastColumn="0"/>
            <w:tcW w:w="2582" w:type="dxa"/>
            <w:noWrap/>
          </w:tcPr>
          <w:p w14:paraId="6869295E" w14:textId="65F90CF0" w:rsidR="00D223CF" w:rsidRPr="00E9644F" w:rsidRDefault="008F2160"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Wenchi</w:t>
            </w:r>
          </w:p>
        </w:tc>
        <w:tc>
          <w:tcPr>
            <w:tcW w:w="1742" w:type="dxa"/>
            <w:noWrap/>
          </w:tcPr>
          <w:p w14:paraId="2564E09A" w14:textId="6EB4FCE1" w:rsidR="00D223CF" w:rsidRPr="00E9644F" w:rsidRDefault="008E54F9"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325</w:t>
            </w:r>
          </w:p>
        </w:tc>
        <w:tc>
          <w:tcPr>
            <w:tcW w:w="1824" w:type="dxa"/>
            <w:noWrap/>
          </w:tcPr>
          <w:p w14:paraId="2A094B8A" w14:textId="25BBFA6B"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noWrap/>
          </w:tcPr>
          <w:p w14:paraId="41A3AD92" w14:textId="3782A6A0"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r w:rsidR="00D223CF" w:rsidRPr="00E9644F" w14:paraId="609C90DB" w14:textId="77777777" w:rsidTr="00D223CF">
        <w:trPr>
          <w:trHeight w:val="130"/>
        </w:trPr>
        <w:tc>
          <w:tcPr>
            <w:cnfStyle w:val="001000000000" w:firstRow="0" w:lastRow="0" w:firstColumn="1" w:lastColumn="0" w:oddVBand="0" w:evenVBand="0" w:oddHBand="0" w:evenHBand="0" w:firstRowFirstColumn="0" w:firstRowLastColumn="0" w:lastRowFirstColumn="0" w:lastRowLastColumn="0"/>
            <w:tcW w:w="2582" w:type="dxa"/>
            <w:noWrap/>
          </w:tcPr>
          <w:p w14:paraId="52D23A47" w14:textId="33A1EBE6" w:rsidR="00D223CF" w:rsidRPr="00E9644F" w:rsidRDefault="008F2160"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Ada</w:t>
            </w:r>
          </w:p>
        </w:tc>
        <w:tc>
          <w:tcPr>
            <w:tcW w:w="1742" w:type="dxa"/>
            <w:noWrap/>
          </w:tcPr>
          <w:p w14:paraId="6612A835" w14:textId="5809D1D4" w:rsidR="00D223CF" w:rsidRPr="00E9644F" w:rsidRDefault="008E54F9"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102</w:t>
            </w:r>
          </w:p>
        </w:tc>
        <w:tc>
          <w:tcPr>
            <w:tcW w:w="1824" w:type="dxa"/>
            <w:noWrap/>
          </w:tcPr>
          <w:p w14:paraId="74CBE11A" w14:textId="2A3F141B"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noWrap/>
          </w:tcPr>
          <w:p w14:paraId="4C879935" w14:textId="50F30A54" w:rsidR="00D223CF" w:rsidRPr="00E9644F" w:rsidRDefault="00CF7E1A"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r w:rsidR="00D223CF" w:rsidRPr="00E9644F" w14:paraId="7A39519F" w14:textId="77777777" w:rsidTr="00D223CF">
        <w:trPr>
          <w:trHeight w:val="350"/>
        </w:trPr>
        <w:tc>
          <w:tcPr>
            <w:cnfStyle w:val="001000000000" w:firstRow="0" w:lastRow="0" w:firstColumn="1" w:lastColumn="0" w:oddVBand="0" w:evenVBand="0" w:oddHBand="0" w:evenHBand="0" w:firstRowFirstColumn="0" w:firstRowLastColumn="0" w:lastRowFirstColumn="0" w:lastRowLastColumn="0"/>
            <w:tcW w:w="2582" w:type="dxa"/>
            <w:noWrap/>
            <w:hideMark/>
          </w:tcPr>
          <w:p w14:paraId="716E092F" w14:textId="19904C8D" w:rsidR="00D223CF" w:rsidRPr="00E9644F" w:rsidRDefault="008F2160"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Tema</w:t>
            </w:r>
          </w:p>
        </w:tc>
        <w:tc>
          <w:tcPr>
            <w:tcW w:w="1742" w:type="dxa"/>
            <w:noWrap/>
            <w:hideMark/>
          </w:tcPr>
          <w:p w14:paraId="256331EF" w14:textId="189AA3CF" w:rsidR="00D223CF" w:rsidRPr="00E9644F" w:rsidRDefault="00293E98"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221</w:t>
            </w:r>
          </w:p>
        </w:tc>
        <w:tc>
          <w:tcPr>
            <w:tcW w:w="1824" w:type="dxa"/>
            <w:noWrap/>
            <w:hideMark/>
          </w:tcPr>
          <w:p w14:paraId="697F59FD" w14:textId="77777777" w:rsidR="00D223CF" w:rsidRPr="00E9644F" w:rsidRDefault="00D223CF"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noWrap/>
            <w:hideMark/>
          </w:tcPr>
          <w:p w14:paraId="55AC39A4" w14:textId="77777777" w:rsidR="00D223CF" w:rsidRPr="00E9644F" w:rsidRDefault="00D223CF"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r w:rsidR="00D223CF" w:rsidRPr="00E9644F" w14:paraId="2CD73DCB" w14:textId="77777777" w:rsidTr="00D223CF">
        <w:trPr>
          <w:trHeight w:val="159"/>
        </w:trPr>
        <w:tc>
          <w:tcPr>
            <w:cnfStyle w:val="001000000000" w:firstRow="0" w:lastRow="0" w:firstColumn="1" w:lastColumn="0" w:oddVBand="0" w:evenVBand="0" w:oddHBand="0" w:evenHBand="0" w:firstRowFirstColumn="0" w:firstRowLastColumn="0" w:lastRowFirstColumn="0" w:lastRowLastColumn="0"/>
            <w:tcW w:w="2582" w:type="dxa"/>
            <w:noWrap/>
          </w:tcPr>
          <w:p w14:paraId="03FD405E" w14:textId="4DCAC7C0" w:rsidR="00D223CF" w:rsidRPr="00E9644F" w:rsidRDefault="008F2160"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Accra</w:t>
            </w:r>
          </w:p>
        </w:tc>
        <w:tc>
          <w:tcPr>
            <w:tcW w:w="1742" w:type="dxa"/>
            <w:noWrap/>
          </w:tcPr>
          <w:p w14:paraId="259B1684" w14:textId="73851869" w:rsidR="00D223CF" w:rsidRPr="00E9644F" w:rsidRDefault="008E54F9"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92</w:t>
            </w:r>
          </w:p>
        </w:tc>
        <w:tc>
          <w:tcPr>
            <w:tcW w:w="1824" w:type="dxa"/>
            <w:noWrap/>
          </w:tcPr>
          <w:p w14:paraId="49BB7A8D" w14:textId="12DB72FF" w:rsidR="00D223CF" w:rsidRPr="00E9644F" w:rsidRDefault="00293E98"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noWrap/>
          </w:tcPr>
          <w:p w14:paraId="385960B2" w14:textId="75C935EC" w:rsidR="00D223CF" w:rsidRPr="00E9644F" w:rsidRDefault="00E4254E"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96</w:t>
            </w:r>
          </w:p>
        </w:tc>
      </w:tr>
      <w:tr w:rsidR="00CA50DE" w:rsidRPr="00E9644F" w14:paraId="6F204899" w14:textId="77777777" w:rsidTr="00D223CF">
        <w:trPr>
          <w:trHeight w:val="159"/>
        </w:trPr>
        <w:tc>
          <w:tcPr>
            <w:cnfStyle w:val="001000000000" w:firstRow="0" w:lastRow="0" w:firstColumn="1" w:lastColumn="0" w:oddVBand="0" w:evenVBand="0" w:oddHBand="0" w:evenHBand="0" w:firstRowFirstColumn="0" w:firstRowLastColumn="0" w:lastRowFirstColumn="0" w:lastRowLastColumn="0"/>
            <w:tcW w:w="2582" w:type="dxa"/>
            <w:noWrap/>
          </w:tcPr>
          <w:p w14:paraId="022C0FE7" w14:textId="44B11E1E" w:rsidR="00CA50DE" w:rsidRPr="00E9644F" w:rsidRDefault="00CF7E1A"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Konongo</w:t>
            </w:r>
          </w:p>
        </w:tc>
        <w:tc>
          <w:tcPr>
            <w:tcW w:w="1742" w:type="dxa"/>
            <w:noWrap/>
          </w:tcPr>
          <w:p w14:paraId="6F6ABB06" w14:textId="7DB70823" w:rsidR="00CA50DE" w:rsidRPr="00E9644F" w:rsidRDefault="008E54F9"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72</w:t>
            </w:r>
          </w:p>
        </w:tc>
        <w:tc>
          <w:tcPr>
            <w:tcW w:w="1824" w:type="dxa"/>
            <w:noWrap/>
          </w:tcPr>
          <w:p w14:paraId="6C95D887" w14:textId="1FBF7998" w:rsidR="00CA50DE" w:rsidRPr="00E9644F" w:rsidRDefault="00293E98"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c>
          <w:tcPr>
            <w:tcW w:w="2951" w:type="dxa"/>
            <w:noWrap/>
          </w:tcPr>
          <w:p w14:paraId="4BA0B3D8" w14:textId="0FA881D5" w:rsidR="00CA50DE" w:rsidRPr="00E9644F" w:rsidRDefault="00293E98"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r w:rsidR="00D223CF" w:rsidRPr="00E9644F" w14:paraId="644F62E3" w14:textId="77777777" w:rsidTr="00D223CF">
        <w:trPr>
          <w:trHeight w:val="81"/>
        </w:trPr>
        <w:tc>
          <w:tcPr>
            <w:cnfStyle w:val="001000000000" w:firstRow="0" w:lastRow="0" w:firstColumn="1" w:lastColumn="0" w:oddVBand="0" w:evenVBand="0" w:oddHBand="0" w:evenHBand="0" w:firstRowFirstColumn="0" w:firstRowLastColumn="0" w:lastRowFirstColumn="0" w:lastRowLastColumn="0"/>
            <w:tcW w:w="2582" w:type="dxa"/>
            <w:tcBorders>
              <w:bottom w:val="single" w:sz="4" w:space="0" w:color="auto"/>
            </w:tcBorders>
            <w:noWrap/>
            <w:hideMark/>
          </w:tcPr>
          <w:p w14:paraId="586A5209" w14:textId="65272294" w:rsidR="00D223CF" w:rsidRPr="00E9644F" w:rsidRDefault="00CF7E1A" w:rsidP="001834B2">
            <w:pPr>
              <w:spacing w:line="360" w:lineRule="auto"/>
              <w:jc w:val="both"/>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Takoradi</w:t>
            </w:r>
          </w:p>
        </w:tc>
        <w:tc>
          <w:tcPr>
            <w:tcW w:w="1742" w:type="dxa"/>
            <w:tcBorders>
              <w:bottom w:val="single" w:sz="4" w:space="0" w:color="auto"/>
            </w:tcBorders>
            <w:noWrap/>
            <w:hideMark/>
          </w:tcPr>
          <w:p w14:paraId="01DA1371" w14:textId="099FD6C0" w:rsidR="00D223CF" w:rsidRPr="00E9644F" w:rsidRDefault="00293E98"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155</w:t>
            </w:r>
          </w:p>
        </w:tc>
        <w:tc>
          <w:tcPr>
            <w:tcW w:w="1824" w:type="dxa"/>
            <w:tcBorders>
              <w:bottom w:val="single" w:sz="4" w:space="0" w:color="auto"/>
            </w:tcBorders>
            <w:noWrap/>
            <w:hideMark/>
          </w:tcPr>
          <w:p w14:paraId="2628864E" w14:textId="1BF95428" w:rsidR="00D223CF" w:rsidRPr="00E9644F" w:rsidRDefault="00293E98"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114</w:t>
            </w:r>
          </w:p>
        </w:tc>
        <w:tc>
          <w:tcPr>
            <w:tcW w:w="2951" w:type="dxa"/>
            <w:tcBorders>
              <w:bottom w:val="single" w:sz="4" w:space="0" w:color="auto"/>
            </w:tcBorders>
            <w:noWrap/>
            <w:hideMark/>
          </w:tcPr>
          <w:p w14:paraId="7BB53746" w14:textId="6D0ABC65" w:rsidR="00D223CF" w:rsidRPr="00E9644F" w:rsidRDefault="00293E98" w:rsidP="006E41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14:ligatures w14:val="none"/>
              </w:rPr>
            </w:pPr>
            <w:r w:rsidRPr="00E9644F">
              <w:rPr>
                <w:rFonts w:ascii="Times New Roman" w:eastAsia="Times New Roman" w:hAnsi="Times New Roman" w:cs="Times New Roman"/>
                <w:color w:val="000000"/>
                <w:kern w:val="0"/>
                <w14:ligatures w14:val="none"/>
              </w:rPr>
              <w:t>0</w:t>
            </w:r>
          </w:p>
        </w:tc>
      </w:tr>
    </w:tbl>
    <w:p w14:paraId="56746154" w14:textId="77777777" w:rsidR="006A0A2D" w:rsidRPr="00E9644F" w:rsidRDefault="006A0A2D" w:rsidP="00055A2D">
      <w:pPr>
        <w:spacing w:line="480" w:lineRule="auto"/>
        <w:jc w:val="both"/>
        <w:rPr>
          <w:rFonts w:ascii="Times New Roman" w:hAnsi="Times New Roman" w:cs="Times New Roman"/>
          <w:b/>
          <w:sz w:val="24"/>
          <w:szCs w:val="24"/>
        </w:rPr>
      </w:pPr>
    </w:p>
    <w:p w14:paraId="4116BFEA" w14:textId="3544D904" w:rsidR="00F537E9" w:rsidRPr="00E9644F" w:rsidRDefault="00F537E9" w:rsidP="00055A2D">
      <w:pPr>
        <w:spacing w:line="480" w:lineRule="auto"/>
        <w:jc w:val="both"/>
        <w:rPr>
          <w:rFonts w:ascii="Times New Roman" w:hAnsi="Times New Roman" w:cs="Times New Roman"/>
          <w:b/>
          <w:sz w:val="24"/>
          <w:szCs w:val="24"/>
        </w:rPr>
      </w:pPr>
      <w:r w:rsidRPr="00E9644F">
        <w:rPr>
          <w:rFonts w:ascii="Times New Roman" w:hAnsi="Times New Roman" w:cs="Times New Roman"/>
          <w:b/>
          <w:sz w:val="24"/>
          <w:szCs w:val="24"/>
        </w:rPr>
        <w:t>Re-use potential</w:t>
      </w:r>
    </w:p>
    <w:p w14:paraId="270FA11E" w14:textId="0372F71B" w:rsidR="00945B57" w:rsidRPr="00E9644F" w:rsidRDefault="00F537E9" w:rsidP="008042C6">
      <w:pPr>
        <w:spacing w:after="0" w:line="480" w:lineRule="auto"/>
        <w:jc w:val="both"/>
        <w:rPr>
          <w:rFonts w:ascii="Times New Roman" w:eastAsia="Times New Roman" w:hAnsi="Times New Roman" w:cs="Times New Roman"/>
          <w:kern w:val="0"/>
          <w:sz w:val="24"/>
          <w:szCs w:val="24"/>
          <w14:ligatures w14:val="none"/>
        </w:rPr>
      </w:pPr>
      <w:r w:rsidRPr="00E9644F">
        <w:rPr>
          <w:rFonts w:ascii="Times New Roman" w:eastAsia="Times New Roman" w:hAnsi="Times New Roman" w:cs="Times New Roman"/>
          <w:kern w:val="0"/>
          <w:sz w:val="24"/>
          <w:szCs w:val="24"/>
          <w14:ligatures w14:val="none"/>
        </w:rPr>
        <w:t xml:space="preserve">Our study provides key insights into the current dynamics of insecticide resistance in </w:t>
      </w:r>
      <w:r w:rsidRPr="00E9644F">
        <w:rPr>
          <w:rFonts w:ascii="Times New Roman" w:eastAsia="Times New Roman" w:hAnsi="Times New Roman" w:cs="Times New Roman"/>
          <w:i/>
          <w:iCs/>
          <w:kern w:val="0"/>
          <w:sz w:val="24"/>
          <w:szCs w:val="24"/>
          <w14:ligatures w14:val="none"/>
        </w:rPr>
        <w:t>Aedes</w:t>
      </w:r>
      <w:r w:rsidRPr="00E9644F">
        <w:rPr>
          <w:rFonts w:ascii="Times New Roman" w:eastAsia="Times New Roman" w:hAnsi="Times New Roman" w:cs="Times New Roman"/>
          <w:kern w:val="0"/>
          <w:sz w:val="24"/>
          <w:szCs w:val="24"/>
          <w14:ligatures w14:val="none"/>
        </w:rPr>
        <w:t xml:space="preserve"> mosquitoes, establishing a vital baseline for longitudinal surveillance. Specifically, we report widespread phenotypic resistance in </w:t>
      </w:r>
      <w:r w:rsidRPr="00E9644F">
        <w:rPr>
          <w:rFonts w:ascii="Times New Roman" w:eastAsia="Times New Roman" w:hAnsi="Times New Roman" w:cs="Times New Roman"/>
          <w:i/>
          <w:iCs/>
          <w:kern w:val="0"/>
          <w:sz w:val="24"/>
          <w:szCs w:val="24"/>
          <w14:ligatures w14:val="none"/>
        </w:rPr>
        <w:t>Ae. aegypti</w:t>
      </w:r>
      <w:r w:rsidRPr="00E9644F">
        <w:rPr>
          <w:rFonts w:ascii="Times New Roman" w:eastAsia="Times New Roman" w:hAnsi="Times New Roman" w:cs="Times New Roman"/>
          <w:kern w:val="0"/>
          <w:sz w:val="24"/>
          <w:szCs w:val="24"/>
          <w14:ligatures w14:val="none"/>
        </w:rPr>
        <w:t xml:space="preserve"> and </w:t>
      </w:r>
      <w:r w:rsidRPr="00E9644F">
        <w:rPr>
          <w:rFonts w:ascii="Times New Roman" w:eastAsia="Times New Roman" w:hAnsi="Times New Roman" w:cs="Times New Roman"/>
          <w:i/>
          <w:iCs/>
          <w:kern w:val="0"/>
          <w:sz w:val="24"/>
          <w:szCs w:val="24"/>
          <w14:ligatures w14:val="none"/>
        </w:rPr>
        <w:t>Ae. vittatus</w:t>
      </w:r>
      <w:r w:rsidRPr="00E9644F">
        <w:rPr>
          <w:rFonts w:ascii="Times New Roman" w:eastAsia="Times New Roman" w:hAnsi="Times New Roman" w:cs="Times New Roman"/>
          <w:kern w:val="0"/>
          <w:sz w:val="24"/>
          <w:szCs w:val="24"/>
          <w14:ligatures w14:val="none"/>
        </w:rPr>
        <w:t xml:space="preserve"> populations, patterns that align with growing evidence </w:t>
      </w:r>
      <w:r w:rsidR="00F50F16" w:rsidRPr="00E9644F">
        <w:rPr>
          <w:rFonts w:ascii="Times New Roman" w:eastAsia="Times New Roman" w:hAnsi="Times New Roman" w:cs="Times New Roman"/>
          <w:kern w:val="0"/>
          <w:sz w:val="24"/>
          <w:szCs w:val="24"/>
          <w14:ligatures w14:val="none"/>
        </w:rPr>
        <w:t>in</w:t>
      </w:r>
      <w:r w:rsidRPr="00E9644F">
        <w:rPr>
          <w:rFonts w:ascii="Times New Roman" w:eastAsia="Times New Roman" w:hAnsi="Times New Roman" w:cs="Times New Roman"/>
          <w:kern w:val="0"/>
          <w:sz w:val="24"/>
          <w:szCs w:val="24"/>
          <w14:ligatures w14:val="none"/>
        </w:rPr>
        <w:t xml:space="preserve"> West Africa, where pyrethroid resistance has become common and can reach notably high local frequencies, undermining the efficacy of pyrethroid-only adulticide </w:t>
      </w:r>
      <w:r w:rsidRPr="00E9644F">
        <w:rPr>
          <w:rFonts w:ascii="Times New Roman" w:eastAsia="Times New Roman" w:hAnsi="Times New Roman" w:cs="Times New Roman"/>
          <w:kern w:val="0"/>
          <w:sz w:val="24"/>
          <w:szCs w:val="24"/>
          <w14:ligatures w14:val="none"/>
        </w:rPr>
        <w:lastRenderedPageBreak/>
        <w:t>interventions. This trend necessitates consideration of local susceptibility data and alternative interventions for effective vector control.</w:t>
      </w:r>
    </w:p>
    <w:p w14:paraId="38F75900" w14:textId="3C620006" w:rsidR="00F537E9" w:rsidRPr="00E9644F" w:rsidRDefault="00F537E9" w:rsidP="00CB7531">
      <w:pPr>
        <w:spacing w:after="0" w:line="480" w:lineRule="auto"/>
        <w:jc w:val="both"/>
        <w:rPr>
          <w:rFonts w:ascii="Times New Roman" w:eastAsia="Times New Roman" w:hAnsi="Times New Roman" w:cs="Times New Roman"/>
          <w:kern w:val="0"/>
          <w:sz w:val="24"/>
          <w:szCs w:val="24"/>
          <w14:ligatures w14:val="none"/>
        </w:rPr>
      </w:pPr>
      <w:r w:rsidRPr="00E9644F">
        <w:rPr>
          <w:rFonts w:ascii="Times New Roman" w:eastAsia="Times New Roman" w:hAnsi="Times New Roman" w:cs="Times New Roman"/>
          <w:kern w:val="0"/>
          <w:sz w:val="24"/>
          <w:szCs w:val="24"/>
          <w14:ligatures w14:val="none"/>
        </w:rPr>
        <w:t>Molecular analysis highlights elevated frequencies of key knockdown resistance (kdr) genotypes, primarily F1534C, V1016I, and V410L, which can be tracked over time as sentinel markers to measure shifts in resistance under varying ecological and operational pressures.</w:t>
      </w:r>
      <w:r w:rsidR="002529A1" w:rsidRPr="00E9644F">
        <w:rPr>
          <w:rFonts w:ascii="Times New Roman" w:eastAsia="Times New Roman" w:hAnsi="Times New Roman" w:cs="Times New Roman"/>
          <w:kern w:val="0"/>
          <w:sz w:val="24"/>
          <w:szCs w:val="24"/>
          <w14:ligatures w14:val="none"/>
        </w:rPr>
        <w:t xml:space="preserve"> </w:t>
      </w:r>
      <w:r w:rsidRPr="00E9644F">
        <w:rPr>
          <w:rFonts w:ascii="Times New Roman" w:eastAsia="Times New Roman" w:hAnsi="Times New Roman" w:cs="Times New Roman"/>
          <w:kern w:val="0"/>
          <w:sz w:val="24"/>
          <w:szCs w:val="24"/>
          <w14:ligatures w14:val="none"/>
        </w:rPr>
        <w:t xml:space="preserve">While </w:t>
      </w:r>
      <w:r w:rsidRPr="00E9644F">
        <w:rPr>
          <w:rFonts w:ascii="Times New Roman" w:eastAsia="Times New Roman" w:hAnsi="Times New Roman" w:cs="Times New Roman"/>
          <w:i/>
          <w:iCs/>
          <w:kern w:val="0"/>
          <w:sz w:val="24"/>
          <w:szCs w:val="24"/>
          <w14:ligatures w14:val="none"/>
        </w:rPr>
        <w:t>Ae. albopictus</w:t>
      </w:r>
      <w:r w:rsidRPr="00E9644F">
        <w:rPr>
          <w:rFonts w:ascii="Times New Roman" w:eastAsia="Times New Roman" w:hAnsi="Times New Roman" w:cs="Times New Roman"/>
          <w:kern w:val="0"/>
          <w:sz w:val="24"/>
          <w:szCs w:val="24"/>
          <w14:ligatures w14:val="none"/>
        </w:rPr>
        <w:t xml:space="preserve"> populations have historically exhibited lower resistance levels compared to </w:t>
      </w:r>
      <w:r w:rsidRPr="00E9644F">
        <w:rPr>
          <w:rFonts w:ascii="Times New Roman" w:eastAsia="Times New Roman" w:hAnsi="Times New Roman" w:cs="Times New Roman"/>
          <w:i/>
          <w:iCs/>
          <w:kern w:val="0"/>
          <w:sz w:val="24"/>
          <w:szCs w:val="24"/>
          <w14:ligatures w14:val="none"/>
        </w:rPr>
        <w:t>Ae. aegypti</w:t>
      </w:r>
      <w:r w:rsidRPr="00E9644F">
        <w:rPr>
          <w:rFonts w:ascii="Times New Roman" w:eastAsia="Times New Roman" w:hAnsi="Times New Roman" w:cs="Times New Roman"/>
          <w:kern w:val="0"/>
          <w:sz w:val="24"/>
          <w:szCs w:val="24"/>
          <w14:ligatures w14:val="none"/>
        </w:rPr>
        <w:t>, recent findings confirm the increasing presence of kdr alleles and pyrethroid resistance coinciding with the species' establishment in new regions.</w:t>
      </w:r>
    </w:p>
    <w:p w14:paraId="059627AE" w14:textId="18DA8B25" w:rsidR="00945B57" w:rsidRPr="00E9644F" w:rsidRDefault="00F537E9" w:rsidP="00CB7531">
      <w:pPr>
        <w:spacing w:after="0" w:line="480" w:lineRule="auto"/>
        <w:jc w:val="both"/>
        <w:rPr>
          <w:rFonts w:ascii="Times New Roman" w:eastAsia="Times New Roman" w:hAnsi="Times New Roman" w:cs="Times New Roman"/>
          <w:kern w:val="0"/>
          <w:sz w:val="24"/>
          <w:szCs w:val="24"/>
          <w14:ligatures w14:val="none"/>
        </w:rPr>
      </w:pPr>
      <w:r w:rsidRPr="00E9644F">
        <w:rPr>
          <w:rFonts w:ascii="Times New Roman" w:eastAsia="Times New Roman" w:hAnsi="Times New Roman" w:cs="Times New Roman"/>
          <w:kern w:val="0"/>
          <w:sz w:val="24"/>
          <w:szCs w:val="24"/>
          <w14:ligatures w14:val="none"/>
        </w:rPr>
        <w:t xml:space="preserve">The cumulative data from our study provide important programmatic value. </w:t>
      </w:r>
      <w:r w:rsidR="00C43CAD" w:rsidRPr="00E9644F">
        <w:rPr>
          <w:rFonts w:ascii="Times New Roman" w:eastAsia="Times New Roman" w:hAnsi="Times New Roman" w:cs="Times New Roman"/>
          <w:kern w:val="0"/>
          <w:sz w:val="24"/>
          <w:szCs w:val="24"/>
          <w14:ligatures w14:val="none"/>
        </w:rPr>
        <w:t>National malaria control, neglected tropical diseases programmes</w:t>
      </w:r>
      <w:r w:rsidRPr="00E9644F">
        <w:rPr>
          <w:rFonts w:ascii="Times New Roman" w:eastAsia="Times New Roman" w:hAnsi="Times New Roman" w:cs="Times New Roman"/>
          <w:kern w:val="0"/>
          <w:sz w:val="24"/>
          <w:szCs w:val="24"/>
          <w14:ligatures w14:val="none"/>
        </w:rPr>
        <w:t xml:space="preserve"> and municipal health authorities, can leverage this resistance profile data to refine insecticide choice for adulticiding campaigns and guide emergency and outbreak response to arboviral diseases. This granular resistance data can greatly enhance and improve the resilience of vector control programs against resistance-driven failures, and support global efforts to curb the spread of arboviral diseases.</w:t>
      </w:r>
    </w:p>
    <w:p w14:paraId="1CDDCC13" w14:textId="1D073C98" w:rsidR="00F537E9" w:rsidRPr="00E9644F" w:rsidRDefault="00F537E9" w:rsidP="008042C6">
      <w:pPr>
        <w:spacing w:before="240" w:line="36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Data Availability</w:t>
      </w:r>
    </w:p>
    <w:p w14:paraId="103FCBCB" w14:textId="6B4BDE91" w:rsidR="00547F74" w:rsidRPr="00E9644F" w:rsidRDefault="00F537E9" w:rsidP="008042C6">
      <w:pPr>
        <w:spacing w:after="0" w:line="480" w:lineRule="auto"/>
        <w:jc w:val="both"/>
        <w:rPr>
          <w:rFonts w:ascii="Times New Roman" w:hAnsi="Times New Roman" w:cs="Times New Roman"/>
          <w:sz w:val="24"/>
          <w:szCs w:val="24"/>
        </w:rPr>
      </w:pPr>
      <w:r w:rsidRPr="00E9644F">
        <w:rPr>
          <w:rFonts w:ascii="Times New Roman" w:hAnsi="Times New Roman" w:cs="Times New Roman"/>
          <w:sz w:val="24"/>
          <w:szCs w:val="24"/>
        </w:rPr>
        <w:t>The dataset supporting this study are available on the GBIF repository</w:t>
      </w:r>
      <w:r w:rsidR="007D0359" w:rsidRPr="00E9644F">
        <w:rPr>
          <w:rFonts w:ascii="Times New Roman" w:hAnsi="Times New Roman" w:cs="Times New Roman"/>
          <w:sz w:val="24"/>
          <w:szCs w:val="24"/>
        </w:rPr>
        <w:t xml:space="preserve">  </w:t>
      </w:r>
      <w:r w:rsidR="007D0359" w:rsidRPr="00E9644F">
        <w:rPr>
          <w:rStyle w:val="FootnoteReference"/>
          <w:rFonts w:ascii="Times New Roman" w:hAnsi="Times New Roman" w:cs="Times New Roman"/>
          <w:sz w:val="24"/>
          <w:szCs w:val="24"/>
        </w:rPr>
        <w:fldChar w:fldCharType="begin" w:fldLock="1"/>
      </w:r>
      <w:r w:rsidR="008F6CAC" w:rsidRPr="00E9644F">
        <w:rPr>
          <w:rFonts w:ascii="Times New Roman" w:hAnsi="Times New Roman" w:cs="Times New Roman"/>
          <w:sz w:val="24"/>
          <w:szCs w:val="24"/>
        </w:rPr>
        <w:instrText>ADDIN CSL_CITATION {"citationItems":[{"id":"ITEM-1","itemData":{"DOI":"https://doi.org/10.1155/2022/1861130","abstract":"The monitoring of rainfall variability over recent decades has become a necessity due to its devastating effects such as floods and droughts, which render humans vulnerable across different parts of the West African region. The current study seeks to provide a good understanding of variability within the minor rainfall season over southern Ghana by employing statistical tools to quantify variability in rainfall. Daily rainfall data from 1981 to 2018 for seventeen (17) synoptic weather stations across southern Ghana are used for this analysis. We perform trend and descriptive statistics of rainfall amount and extreme indices intending to identify the areas with the greatest variability in rainfall. Further, for five recent years (2014–2018), we do an interpolation of the ground station rainfall data and compute anomalies. We find increasing trends of rainfall in the minor rainy season for 16 out of the 17 stations, with rainfall increasing between 0.10 mm and 4.30 mm each season. For extreme rainfall indices, the 17 stations show nonsignificant trends of very wet and extremely wet days. We also find that the middle parts of Ghana have the highest rainfall amounts (262.7 mm/season–400.2 mm/season), while the East Coast has the lowest (125.2 mm/season–181.8 mm/season). Over the whole of southern Ghana, we find high variability in rainfall amount with the coefficient of variations (CV) between 25.3\\% and 70.8\\% and moderate to high variability in rainfall frequency (CV = 14.0\\%–48.8\\%). The results of rainfall anomalies show that the middle parts had an above-normal rainfall amount. In the same period, the transition areas experienced below-normal rainfall. Our finding of high variability in the minor rainfall season has implications for agricultural productivity in Ghana and countries in the West African region, which rely heavily on rain-fed agriculture. Hence, this study recommends more research to understand the causes of variability in the West African monsoon and how this will change in the region.","author":[{"dropping-particle":"","family":"Braimah","given":"Mohammed","non-dropping-particle":"","parse-names":false,"suffix":""},{"dropping-particle":"","family":"Asante","given":"Vincent A","non-dropping-particle":"","parse-names":false,"suffix":""},{"dropping-particle":"","family":"Ahiataku","given":"Maureen A","non-dropping-particle":"","parse-names":false,"suffix":""},{"dropping-particle":"","family":"Ansah","given":"Samuel O","non-dropping-particle":"","parse-names":false,"suffix":""},{"dropping-particle":"","family":"Otu-Larbi","given":"Frederick","non-dropping-particle":"","parse-names":false,"suffix":""},{"dropping-particle":"","family":"Yahaya","given":"Bashiru","non-dropping-particle":"","parse-names":false,"suffix":""},{"dropping-particle":"","family":"Ayabilah","given":"John B","non-dropping-particle":"","parse-names":false,"suffix":""},{"dropping-particle":"","family":"Nkrumah","given":"Francis","non-dropping-particle":"","parse-names":false,"suffix":""}],"container-title":"Advances in Meteorology","id":"ITEM-1","issue":"1","issued":{"date-parts":[["2022"]]},"page":"1861130","title":"Variability of the Minor Season Rainfall over Southern Ghana (1981–2018)","type":"article-journal","volume":"2022"},"uris":["http://www.mendeley.com/documents/?uuid=0e837947-b1b7-4fc0-be0f-c110042a2c1b"]}],"mendeley":{"formattedCitation":"[13]","manualFormatting":"[21]","plainTextFormattedCitation":"[13]","previouslyFormattedCitation":"[12]"},"properties":{"noteIndex":0},"schema":"https://github.com/citation-style-language/schema/raw/master/csl-citation.json"}</w:instrText>
      </w:r>
      <w:r w:rsidR="007D0359" w:rsidRPr="00E9644F">
        <w:rPr>
          <w:rStyle w:val="FootnoteReference"/>
          <w:rFonts w:ascii="Times New Roman" w:hAnsi="Times New Roman" w:cs="Times New Roman"/>
          <w:sz w:val="24"/>
          <w:szCs w:val="24"/>
        </w:rPr>
        <w:fldChar w:fldCharType="separate"/>
      </w:r>
      <w:r w:rsidR="007D0359" w:rsidRPr="00E9644F">
        <w:rPr>
          <w:rFonts w:ascii="Times New Roman" w:hAnsi="Times New Roman" w:cs="Times New Roman"/>
          <w:noProof/>
          <w:sz w:val="24"/>
          <w:szCs w:val="24"/>
        </w:rPr>
        <w:t>[</w:t>
      </w:r>
      <w:r w:rsidR="00125F13" w:rsidRPr="00E9644F">
        <w:rPr>
          <w:rFonts w:ascii="Times New Roman" w:hAnsi="Times New Roman" w:cs="Times New Roman"/>
          <w:noProof/>
          <w:sz w:val="24"/>
          <w:szCs w:val="24"/>
        </w:rPr>
        <w:t>2</w:t>
      </w:r>
      <w:r w:rsidR="008F6CAC" w:rsidRPr="00E9644F">
        <w:rPr>
          <w:rFonts w:ascii="Times New Roman" w:hAnsi="Times New Roman" w:cs="Times New Roman"/>
          <w:noProof/>
          <w:sz w:val="24"/>
          <w:szCs w:val="24"/>
        </w:rPr>
        <w:t>1</w:t>
      </w:r>
      <w:r w:rsidR="007D0359" w:rsidRPr="00E9644F">
        <w:rPr>
          <w:rFonts w:ascii="Times New Roman" w:hAnsi="Times New Roman" w:cs="Times New Roman"/>
          <w:noProof/>
          <w:sz w:val="24"/>
          <w:szCs w:val="24"/>
        </w:rPr>
        <w:t>]</w:t>
      </w:r>
      <w:r w:rsidR="007D0359" w:rsidRPr="00E9644F">
        <w:rPr>
          <w:rStyle w:val="FootnoteReference"/>
          <w:rFonts w:ascii="Times New Roman" w:hAnsi="Times New Roman" w:cs="Times New Roman"/>
          <w:sz w:val="24"/>
          <w:szCs w:val="24"/>
        </w:rPr>
        <w:fldChar w:fldCharType="end"/>
      </w:r>
      <w:r w:rsidRPr="00E9644F">
        <w:rPr>
          <w:rFonts w:ascii="Times New Roman" w:hAnsi="Times New Roman" w:cs="Times New Roman"/>
          <w:sz w:val="24"/>
          <w:szCs w:val="24"/>
        </w:rPr>
        <w:t>.</w:t>
      </w:r>
    </w:p>
    <w:p w14:paraId="7D3E4916" w14:textId="77777777" w:rsidR="008042C6" w:rsidRPr="00E9644F" w:rsidRDefault="008042C6" w:rsidP="008042C6">
      <w:pPr>
        <w:spacing w:after="0" w:line="480" w:lineRule="auto"/>
        <w:jc w:val="both"/>
        <w:rPr>
          <w:rFonts w:ascii="Times New Roman" w:hAnsi="Times New Roman" w:cs="Times New Roman"/>
          <w:sz w:val="24"/>
          <w:szCs w:val="24"/>
        </w:rPr>
      </w:pPr>
    </w:p>
    <w:p w14:paraId="0D7C980F" w14:textId="3C32AFF4" w:rsidR="00F537E9" w:rsidRPr="00E9644F" w:rsidRDefault="00F537E9" w:rsidP="00CB7531">
      <w:pPr>
        <w:spacing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Abbreviations</w:t>
      </w:r>
    </w:p>
    <w:p w14:paraId="53C03959" w14:textId="1D29E062" w:rsidR="00F537E9" w:rsidRPr="00E9644F" w:rsidRDefault="001B1C52" w:rsidP="00CB7531">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VGSC-voltage-gate sodium channel, WHO- World Health Organization, kdr- Knockdown resistance, GBIF-Global Biodiversity Information Facility, PCR-polymerase chain reaction, GPS-</w:t>
      </w:r>
      <w:r w:rsidRPr="00E9644F">
        <w:rPr>
          <w:rFonts w:ascii="Times New Roman" w:eastAsia="Times New Roman" w:hAnsi="Times New Roman" w:cs="Times New Roman"/>
          <w:sz w:val="24"/>
          <w:szCs w:val="24"/>
        </w:rPr>
        <w:t>Geographical Position System,</w:t>
      </w:r>
      <w:r w:rsidRPr="00E9644F">
        <w:rPr>
          <w:rFonts w:ascii="Times New Roman" w:hAnsi="Times New Roman" w:cs="Times New Roman"/>
          <w:sz w:val="24"/>
          <w:szCs w:val="24"/>
        </w:rPr>
        <w:t xml:space="preserve"> MR- mortality rate, EPRC-Ethical and Protocol Review Committee</w:t>
      </w:r>
    </w:p>
    <w:p w14:paraId="3D32EB47" w14:textId="77777777" w:rsidR="00F537E9" w:rsidRPr="00E9644F" w:rsidRDefault="00F537E9" w:rsidP="00CB7531">
      <w:pPr>
        <w:spacing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lastRenderedPageBreak/>
        <w:t>Ethics approval and consent to participate</w:t>
      </w:r>
    </w:p>
    <w:p w14:paraId="6578D0B7" w14:textId="47857F25" w:rsidR="00F537E9" w:rsidRPr="00E9644F" w:rsidRDefault="00F537E9" w:rsidP="00CB7531">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 xml:space="preserve">This study received scientific and ethical approval from the </w:t>
      </w:r>
      <w:bookmarkStart w:id="3" w:name="_Hlk207434452"/>
      <w:r w:rsidRPr="00E9644F">
        <w:rPr>
          <w:rFonts w:ascii="Times New Roman" w:hAnsi="Times New Roman" w:cs="Times New Roman"/>
          <w:sz w:val="24"/>
          <w:szCs w:val="24"/>
        </w:rPr>
        <w:t>Ethical and Protocol Review Committee (EPRC)</w:t>
      </w:r>
      <w:bookmarkEnd w:id="3"/>
      <w:r w:rsidRPr="00E9644F">
        <w:rPr>
          <w:rFonts w:ascii="Times New Roman" w:hAnsi="Times New Roman" w:cs="Times New Roman"/>
          <w:sz w:val="24"/>
          <w:szCs w:val="24"/>
        </w:rPr>
        <w:t xml:space="preserve"> of the College of Health Sciences, University of Ghana, Korle-Bu Campus. Informed consent, verbal and written was obtained from key opinion leaders at the various study sites prior to conducting mosquito sampling.</w:t>
      </w:r>
    </w:p>
    <w:p w14:paraId="0D70B2EC" w14:textId="77777777" w:rsidR="00F537E9" w:rsidRPr="00E9644F" w:rsidRDefault="00F537E9" w:rsidP="00CB7531">
      <w:pPr>
        <w:spacing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Competing interests</w:t>
      </w:r>
    </w:p>
    <w:p w14:paraId="378CD1EA" w14:textId="56BEE0E6" w:rsidR="00F537E9" w:rsidRPr="00E9644F" w:rsidRDefault="00FD4093" w:rsidP="00CB7531">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The authors declared that there is no conflict of interest related to this research.</w:t>
      </w:r>
    </w:p>
    <w:p w14:paraId="305DD11B" w14:textId="77777777" w:rsidR="00F537E9" w:rsidRPr="00E9644F" w:rsidRDefault="00F537E9" w:rsidP="00CB7531">
      <w:pPr>
        <w:spacing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Authors’ contributions</w:t>
      </w:r>
    </w:p>
    <w:p w14:paraId="0C65B1D7" w14:textId="0F13D76D" w:rsidR="00CB7531" w:rsidRPr="00E9644F" w:rsidRDefault="006E4198" w:rsidP="00CB7531">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 xml:space="preserve">IKS, CMO-A and </w:t>
      </w:r>
      <w:r w:rsidR="00F537E9" w:rsidRPr="00E9644F">
        <w:rPr>
          <w:rFonts w:ascii="Times New Roman" w:hAnsi="Times New Roman" w:cs="Times New Roman"/>
          <w:sz w:val="24"/>
          <w:szCs w:val="24"/>
        </w:rPr>
        <w:t xml:space="preserve">YAA </w:t>
      </w:r>
      <w:r w:rsidR="00871540" w:rsidRPr="00E9644F">
        <w:rPr>
          <w:rFonts w:ascii="Times New Roman" w:hAnsi="Times New Roman" w:cs="Times New Roman"/>
          <w:sz w:val="24"/>
          <w:szCs w:val="24"/>
        </w:rPr>
        <w:t>designed and</w:t>
      </w:r>
      <w:r w:rsidR="00F537E9" w:rsidRPr="00E9644F">
        <w:rPr>
          <w:rFonts w:ascii="Times New Roman" w:hAnsi="Times New Roman" w:cs="Times New Roman"/>
          <w:sz w:val="24"/>
          <w:szCs w:val="24"/>
        </w:rPr>
        <w:t xml:space="preserve"> supervised the </w:t>
      </w:r>
      <w:r w:rsidR="00871540" w:rsidRPr="00E9644F">
        <w:rPr>
          <w:rFonts w:ascii="Times New Roman" w:hAnsi="Times New Roman" w:cs="Times New Roman"/>
          <w:sz w:val="24"/>
          <w:szCs w:val="24"/>
        </w:rPr>
        <w:t xml:space="preserve">study. IKS, CMO-A, </w:t>
      </w:r>
      <w:r w:rsidR="0094198E" w:rsidRPr="00E9644F">
        <w:rPr>
          <w:rFonts w:ascii="Times New Roman" w:hAnsi="Times New Roman" w:cs="Times New Roman"/>
          <w:sz w:val="24"/>
          <w:szCs w:val="24"/>
        </w:rPr>
        <w:t>AA, MOA, SKEM, MA, FAO YA</w:t>
      </w:r>
      <w:r w:rsidR="00DB7784" w:rsidRPr="00E9644F">
        <w:rPr>
          <w:rFonts w:ascii="Times New Roman" w:hAnsi="Times New Roman" w:cs="Times New Roman"/>
          <w:sz w:val="24"/>
          <w:szCs w:val="24"/>
        </w:rPr>
        <w:t>-</w:t>
      </w:r>
      <w:r w:rsidR="0094198E" w:rsidRPr="00E9644F">
        <w:rPr>
          <w:rFonts w:ascii="Times New Roman" w:hAnsi="Times New Roman" w:cs="Times New Roman"/>
          <w:sz w:val="24"/>
          <w:szCs w:val="24"/>
        </w:rPr>
        <w:t>B, ARMS, GAD, CAK, AOF, and SKA</w:t>
      </w:r>
      <w:r w:rsidR="005A2049" w:rsidRPr="00E9644F">
        <w:rPr>
          <w:rFonts w:ascii="Times New Roman" w:hAnsi="Times New Roman" w:cs="Times New Roman"/>
          <w:sz w:val="24"/>
          <w:szCs w:val="24"/>
        </w:rPr>
        <w:t xml:space="preserve"> </w:t>
      </w:r>
      <w:r w:rsidR="00871540" w:rsidRPr="00E9644F">
        <w:rPr>
          <w:rFonts w:ascii="Times New Roman" w:hAnsi="Times New Roman" w:cs="Times New Roman"/>
          <w:sz w:val="24"/>
          <w:szCs w:val="24"/>
        </w:rPr>
        <w:t xml:space="preserve">were responsible for </w:t>
      </w:r>
      <w:r w:rsidR="00F537E9" w:rsidRPr="00E9644F">
        <w:rPr>
          <w:rFonts w:ascii="Times New Roman" w:hAnsi="Times New Roman" w:cs="Times New Roman"/>
          <w:sz w:val="24"/>
          <w:szCs w:val="24"/>
        </w:rPr>
        <w:t xml:space="preserve">data collection, and contributed to the </w:t>
      </w:r>
      <w:r w:rsidR="00871540" w:rsidRPr="00E9644F">
        <w:rPr>
          <w:rFonts w:ascii="Times New Roman" w:hAnsi="Times New Roman" w:cs="Times New Roman"/>
          <w:sz w:val="24"/>
          <w:szCs w:val="24"/>
        </w:rPr>
        <w:t>analysis of the data</w:t>
      </w:r>
      <w:r w:rsidR="00F537E9" w:rsidRPr="00E9644F">
        <w:rPr>
          <w:rFonts w:ascii="Times New Roman" w:hAnsi="Times New Roman" w:cs="Times New Roman"/>
          <w:sz w:val="24"/>
          <w:szCs w:val="24"/>
        </w:rPr>
        <w:t>.</w:t>
      </w:r>
      <w:r w:rsidR="00871540" w:rsidRPr="00E9644F">
        <w:rPr>
          <w:rFonts w:ascii="Times New Roman" w:hAnsi="Times New Roman" w:cs="Times New Roman"/>
          <w:sz w:val="24"/>
          <w:szCs w:val="24"/>
        </w:rPr>
        <w:t xml:space="preserve"> IKS and </w:t>
      </w:r>
      <w:r w:rsidR="00F537E9" w:rsidRPr="00E9644F">
        <w:rPr>
          <w:rFonts w:ascii="Times New Roman" w:hAnsi="Times New Roman" w:cs="Times New Roman"/>
          <w:sz w:val="24"/>
          <w:szCs w:val="24"/>
        </w:rPr>
        <w:t>CMO-A drafted the manuscript and data visualization. All the authors read and approved the final manuscript.</w:t>
      </w:r>
    </w:p>
    <w:p w14:paraId="113C0E21" w14:textId="2254058D" w:rsidR="00F537E9" w:rsidRPr="00E9644F" w:rsidRDefault="00F537E9" w:rsidP="00CB7531">
      <w:pPr>
        <w:spacing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Funding</w:t>
      </w:r>
    </w:p>
    <w:p w14:paraId="47F6D23E" w14:textId="7D85ED30" w:rsidR="00F537E9" w:rsidRPr="00E9644F" w:rsidRDefault="00F537E9" w:rsidP="00CB7531">
      <w:pPr>
        <w:spacing w:line="480" w:lineRule="auto"/>
        <w:jc w:val="both"/>
        <w:rPr>
          <w:rFonts w:ascii="Times New Roman" w:hAnsi="Times New Roman" w:cs="Times New Roman"/>
          <w:sz w:val="24"/>
          <w:szCs w:val="24"/>
        </w:rPr>
      </w:pPr>
      <w:r w:rsidRPr="00E9644F">
        <w:rPr>
          <w:rFonts w:ascii="Times New Roman" w:hAnsi="Times New Roman" w:cs="Times New Roman"/>
          <w:sz w:val="24"/>
          <w:szCs w:val="24"/>
        </w:rPr>
        <w:t xml:space="preserve">This study was </w:t>
      </w:r>
      <w:r w:rsidR="00871540" w:rsidRPr="00E9644F">
        <w:rPr>
          <w:rFonts w:ascii="Times New Roman" w:hAnsi="Times New Roman" w:cs="Times New Roman"/>
          <w:sz w:val="24"/>
          <w:szCs w:val="24"/>
        </w:rPr>
        <w:t>funded</w:t>
      </w:r>
      <w:r w:rsidRPr="00E9644F">
        <w:rPr>
          <w:rFonts w:ascii="Times New Roman" w:hAnsi="Times New Roman" w:cs="Times New Roman"/>
          <w:sz w:val="24"/>
          <w:szCs w:val="24"/>
        </w:rPr>
        <w:t xml:space="preserve"> by grants from the National Institute of Health </w:t>
      </w:r>
      <w:r w:rsidR="00871540" w:rsidRPr="00E9644F">
        <w:rPr>
          <w:rFonts w:ascii="Times New Roman" w:hAnsi="Times New Roman" w:cs="Times New Roman"/>
          <w:sz w:val="24"/>
          <w:szCs w:val="24"/>
        </w:rPr>
        <w:t>(</w:t>
      </w:r>
      <w:r w:rsidRPr="00E9644F">
        <w:rPr>
          <w:rFonts w:ascii="Times New Roman" w:hAnsi="Times New Roman" w:cs="Times New Roman"/>
          <w:sz w:val="24"/>
          <w:szCs w:val="24"/>
        </w:rPr>
        <w:t xml:space="preserve">R01 A1123074, R03 AI186018, and D43 TW011513). The funders had no role </w:t>
      </w:r>
      <w:r w:rsidR="00871540" w:rsidRPr="00E9644F">
        <w:rPr>
          <w:rFonts w:ascii="Times New Roman" w:hAnsi="Times New Roman" w:cs="Times New Roman"/>
          <w:sz w:val="24"/>
          <w:szCs w:val="24"/>
        </w:rPr>
        <w:t xml:space="preserve">in the study </w:t>
      </w:r>
      <w:r w:rsidRPr="00E9644F">
        <w:rPr>
          <w:rFonts w:ascii="Times New Roman" w:hAnsi="Times New Roman" w:cs="Times New Roman"/>
          <w:sz w:val="24"/>
          <w:szCs w:val="24"/>
        </w:rPr>
        <w:t xml:space="preserve">design, data collection, analyses, and interpretation </w:t>
      </w:r>
      <w:r w:rsidR="00871540" w:rsidRPr="00E9644F">
        <w:rPr>
          <w:rFonts w:ascii="Times New Roman" w:hAnsi="Times New Roman" w:cs="Times New Roman"/>
          <w:sz w:val="24"/>
          <w:szCs w:val="24"/>
        </w:rPr>
        <w:t xml:space="preserve">or </w:t>
      </w:r>
      <w:r w:rsidRPr="00E9644F">
        <w:rPr>
          <w:rFonts w:ascii="Times New Roman" w:hAnsi="Times New Roman" w:cs="Times New Roman"/>
          <w:sz w:val="24"/>
          <w:szCs w:val="24"/>
        </w:rPr>
        <w:t>manuscript</w:t>
      </w:r>
      <w:r w:rsidR="00871540" w:rsidRPr="00E9644F">
        <w:rPr>
          <w:rFonts w:ascii="Times New Roman" w:hAnsi="Times New Roman" w:cs="Times New Roman"/>
          <w:sz w:val="24"/>
          <w:szCs w:val="24"/>
        </w:rPr>
        <w:t xml:space="preserve"> preparation</w:t>
      </w:r>
      <w:r w:rsidRPr="00E9644F">
        <w:rPr>
          <w:rFonts w:ascii="Times New Roman" w:hAnsi="Times New Roman" w:cs="Times New Roman"/>
          <w:sz w:val="24"/>
          <w:szCs w:val="24"/>
        </w:rPr>
        <w:t>.</w:t>
      </w:r>
    </w:p>
    <w:p w14:paraId="62EC6E96" w14:textId="77777777" w:rsidR="00F537E9" w:rsidRPr="00E9644F" w:rsidRDefault="00F537E9" w:rsidP="00CB7531">
      <w:pPr>
        <w:spacing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Acknowledgements</w:t>
      </w:r>
    </w:p>
    <w:p w14:paraId="7B47A13F" w14:textId="5E168FDA" w:rsidR="00871540" w:rsidRPr="00E9644F" w:rsidRDefault="00871540" w:rsidP="00CB7531">
      <w:pPr>
        <w:spacing w:after="0" w:line="480" w:lineRule="auto"/>
        <w:jc w:val="both"/>
        <w:rPr>
          <w:rFonts w:ascii="Times New Roman" w:eastAsia="Times New Roman" w:hAnsi="Times New Roman" w:cs="Times New Roman"/>
          <w:kern w:val="0"/>
          <w:sz w:val="24"/>
          <w:szCs w:val="24"/>
          <w14:ligatures w14:val="none"/>
        </w:rPr>
      </w:pPr>
      <w:r w:rsidRPr="00E9644F">
        <w:rPr>
          <w:rFonts w:ascii="Times New Roman" w:eastAsia="Times New Roman" w:hAnsi="Times New Roman" w:cs="Times New Roman"/>
          <w:kern w:val="0"/>
          <w:sz w:val="24"/>
          <w:szCs w:val="24"/>
          <w14:ligatures w14:val="none"/>
        </w:rPr>
        <w:t>We express sincere gratitude to the community members and field assistants for their support and cooperation during sample collection and granting permission to conduct the study in their localities.</w:t>
      </w:r>
    </w:p>
    <w:p w14:paraId="2202F3A2" w14:textId="77777777" w:rsidR="000E5FDB" w:rsidRPr="00E9644F" w:rsidRDefault="000E5FDB" w:rsidP="00055A2D">
      <w:pPr>
        <w:spacing w:line="360" w:lineRule="auto"/>
        <w:jc w:val="both"/>
        <w:rPr>
          <w:rFonts w:ascii="Times New Roman" w:hAnsi="Times New Roman" w:cs="Times New Roman"/>
          <w:b/>
          <w:bCs/>
          <w:sz w:val="24"/>
          <w:szCs w:val="24"/>
        </w:rPr>
      </w:pPr>
    </w:p>
    <w:p w14:paraId="6AE43707" w14:textId="77777777" w:rsidR="00FF02CE" w:rsidRPr="00E9644F" w:rsidRDefault="00FF02CE" w:rsidP="00055A2D">
      <w:pPr>
        <w:spacing w:line="360" w:lineRule="auto"/>
        <w:jc w:val="both"/>
        <w:rPr>
          <w:rFonts w:ascii="Times New Roman" w:hAnsi="Times New Roman" w:cs="Times New Roman"/>
          <w:b/>
          <w:bCs/>
          <w:sz w:val="24"/>
          <w:szCs w:val="24"/>
        </w:rPr>
      </w:pPr>
    </w:p>
    <w:p w14:paraId="76BA1710" w14:textId="77777777" w:rsidR="00106495" w:rsidRPr="00E9644F" w:rsidRDefault="00106495" w:rsidP="00055A2D">
      <w:pPr>
        <w:spacing w:line="360" w:lineRule="auto"/>
        <w:jc w:val="both"/>
        <w:rPr>
          <w:rFonts w:ascii="Times New Roman" w:hAnsi="Times New Roman" w:cs="Times New Roman"/>
          <w:b/>
          <w:bCs/>
          <w:sz w:val="24"/>
          <w:szCs w:val="24"/>
        </w:rPr>
      </w:pPr>
    </w:p>
    <w:p w14:paraId="7D50A33A" w14:textId="77777777" w:rsidR="00106495" w:rsidRPr="00E9644F" w:rsidRDefault="00106495" w:rsidP="00055A2D">
      <w:pPr>
        <w:spacing w:line="360" w:lineRule="auto"/>
        <w:jc w:val="both"/>
        <w:rPr>
          <w:rFonts w:ascii="Times New Roman" w:hAnsi="Times New Roman" w:cs="Times New Roman"/>
          <w:b/>
          <w:bCs/>
          <w:sz w:val="24"/>
          <w:szCs w:val="24"/>
        </w:rPr>
      </w:pPr>
    </w:p>
    <w:p w14:paraId="34D42C85" w14:textId="77777777" w:rsidR="00106495" w:rsidRPr="00E9644F" w:rsidRDefault="00106495" w:rsidP="00055A2D">
      <w:pPr>
        <w:spacing w:line="360" w:lineRule="auto"/>
        <w:jc w:val="both"/>
        <w:rPr>
          <w:rFonts w:ascii="Times New Roman" w:hAnsi="Times New Roman" w:cs="Times New Roman"/>
          <w:b/>
          <w:bCs/>
          <w:sz w:val="24"/>
          <w:szCs w:val="24"/>
        </w:rPr>
      </w:pPr>
    </w:p>
    <w:p w14:paraId="3B7A50B2" w14:textId="70F20892" w:rsidR="00E90284" w:rsidRPr="00E9644F" w:rsidRDefault="00E90284" w:rsidP="00055A2D">
      <w:pPr>
        <w:spacing w:line="480" w:lineRule="auto"/>
        <w:jc w:val="both"/>
        <w:rPr>
          <w:rFonts w:ascii="Times New Roman" w:hAnsi="Times New Roman" w:cs="Times New Roman"/>
          <w:b/>
          <w:bCs/>
          <w:sz w:val="24"/>
          <w:szCs w:val="24"/>
        </w:rPr>
      </w:pPr>
      <w:r w:rsidRPr="00E9644F">
        <w:rPr>
          <w:rFonts w:ascii="Times New Roman" w:hAnsi="Times New Roman" w:cs="Times New Roman"/>
          <w:b/>
          <w:bCs/>
          <w:sz w:val="24"/>
          <w:szCs w:val="24"/>
        </w:rPr>
        <w:t>References</w:t>
      </w:r>
    </w:p>
    <w:p w14:paraId="1A9ACFE4" w14:textId="6640D198" w:rsidR="00DF7040" w:rsidRPr="00E9644F" w:rsidRDefault="00E90284"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cstheme="minorHAnsi"/>
          <w:b/>
          <w:bCs/>
          <w:sz w:val="24"/>
          <w:szCs w:val="24"/>
        </w:rPr>
        <w:fldChar w:fldCharType="begin" w:fldLock="1"/>
      </w:r>
      <w:r w:rsidRPr="00E9644F">
        <w:rPr>
          <w:rFonts w:cstheme="minorHAnsi"/>
          <w:b/>
          <w:bCs/>
          <w:sz w:val="24"/>
          <w:szCs w:val="24"/>
        </w:rPr>
        <w:instrText xml:space="preserve">ADDIN Mendeley Bibliography CSL_BIBLIOGRAPHY </w:instrText>
      </w:r>
      <w:r w:rsidRPr="00E9644F">
        <w:rPr>
          <w:rFonts w:cstheme="minorHAnsi"/>
          <w:b/>
          <w:bCs/>
          <w:sz w:val="24"/>
          <w:szCs w:val="24"/>
        </w:rPr>
        <w:fldChar w:fldCharType="separate"/>
      </w:r>
      <w:r w:rsidR="00DF7040" w:rsidRPr="00E9644F">
        <w:rPr>
          <w:rFonts w:ascii="Calibri" w:hAnsi="Calibri" w:cs="Calibri"/>
          <w:noProof/>
          <w:kern w:val="0"/>
          <w:sz w:val="24"/>
        </w:rPr>
        <w:t>1.</w:t>
      </w:r>
      <w:r w:rsidR="00DF7040" w:rsidRPr="00E9644F">
        <w:rPr>
          <w:rFonts w:ascii="Calibri" w:hAnsi="Calibri" w:cs="Calibri"/>
          <w:noProof/>
          <w:kern w:val="0"/>
          <w:sz w:val="24"/>
        </w:rPr>
        <w:tab/>
        <w:t xml:space="preserve">K. Alfsnes, V. Eldholm, M. W. Gaunt, X. de Lamballerie, E. A. Gould, and J. H.-O. Pettersson, “Tracing and tracking the emergence, epidemiology and dispersal of dengue virus to Africa during the 20th century,” </w:t>
      </w:r>
      <w:r w:rsidR="00DF7040" w:rsidRPr="00E9644F">
        <w:rPr>
          <w:rFonts w:ascii="Calibri" w:hAnsi="Calibri" w:cs="Calibri"/>
          <w:i/>
          <w:iCs/>
          <w:noProof/>
          <w:kern w:val="0"/>
          <w:sz w:val="24"/>
        </w:rPr>
        <w:t>One Heal.</w:t>
      </w:r>
      <w:r w:rsidR="00DF7040" w:rsidRPr="00E9644F">
        <w:rPr>
          <w:rFonts w:ascii="Calibri" w:hAnsi="Calibri" w:cs="Calibri"/>
          <w:noProof/>
          <w:kern w:val="0"/>
          <w:sz w:val="24"/>
        </w:rPr>
        <w:t>, vol. 13, p. 100337, 2021, doi: https://doi.org/10.1016/j.onehlt.2021.100337.</w:t>
      </w:r>
    </w:p>
    <w:p w14:paraId="40261D5E" w14:textId="40C72017"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2</w:t>
      </w:r>
      <w:r w:rsidR="00410485" w:rsidRPr="00E9644F">
        <w:rPr>
          <w:rFonts w:ascii="Calibri" w:hAnsi="Calibri" w:cs="Calibri"/>
          <w:noProof/>
          <w:kern w:val="0"/>
          <w:sz w:val="24"/>
        </w:rPr>
        <w:t>.</w:t>
      </w:r>
      <w:r w:rsidRPr="00E9644F">
        <w:rPr>
          <w:rFonts w:ascii="Calibri" w:hAnsi="Calibri" w:cs="Calibri"/>
          <w:noProof/>
          <w:kern w:val="0"/>
          <w:sz w:val="24"/>
        </w:rPr>
        <w:tab/>
        <w:t xml:space="preserve">J. M. Reinhold, C. R. Lazzari, and C. Lahondère, “Effects of the environmental temperature on Aedes aegypti and Aedes albopictus mosquitoes: a review Insects, 9 (2018), p. 158 Kamgang, B., Yougang, A,” </w:t>
      </w:r>
      <w:r w:rsidRPr="00E9644F">
        <w:rPr>
          <w:rFonts w:ascii="Calibri" w:hAnsi="Calibri" w:cs="Calibri"/>
          <w:i/>
          <w:iCs/>
          <w:noProof/>
          <w:kern w:val="0"/>
          <w:sz w:val="24"/>
        </w:rPr>
        <w:t>P., Tchoupo, M., Riveron, J. M., Wondji, C. (</w:t>
      </w:r>
      <w:r w:rsidRPr="00E9644F">
        <w:rPr>
          <w:rFonts w:ascii="Calibri" w:hAnsi="Calibri" w:cs="Calibri"/>
          <w:noProof/>
          <w:kern w:val="0"/>
          <w:sz w:val="24"/>
        </w:rPr>
        <w:t>, vol. 10, no. 469, pp. 1–9, 2018.</w:t>
      </w:r>
    </w:p>
    <w:p w14:paraId="11417A31" w14:textId="767BB6E3"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3</w:t>
      </w:r>
      <w:r w:rsidR="00410485" w:rsidRPr="00E9644F">
        <w:rPr>
          <w:rFonts w:ascii="Calibri" w:hAnsi="Calibri" w:cs="Calibri"/>
          <w:noProof/>
          <w:kern w:val="0"/>
          <w:sz w:val="24"/>
        </w:rPr>
        <w:t>.</w:t>
      </w:r>
      <w:r w:rsidRPr="00E9644F">
        <w:rPr>
          <w:rFonts w:ascii="Calibri" w:hAnsi="Calibri" w:cs="Calibri"/>
          <w:noProof/>
          <w:kern w:val="0"/>
          <w:sz w:val="24"/>
        </w:rPr>
        <w:tab/>
        <w:t xml:space="preserve">A. Yaméogo, F., Sombié, A., Oté, M., Saiki, E., Sakurai, T., Wangrawa, D. W., ... &amp; Badolo, “Three years of insecticide resistance evolution and associated mechanisms in Aedes aegypti populations of Ouagadougou, Burkina Faso,” </w:t>
      </w:r>
      <w:r w:rsidRPr="00E9644F">
        <w:rPr>
          <w:rFonts w:ascii="Calibri" w:hAnsi="Calibri" w:cs="Calibri"/>
          <w:i/>
          <w:iCs/>
          <w:noProof/>
          <w:kern w:val="0"/>
          <w:sz w:val="24"/>
        </w:rPr>
        <w:t>PLoS Negl. Trop. Dis.</w:t>
      </w:r>
      <w:r w:rsidRPr="00E9644F">
        <w:rPr>
          <w:rFonts w:ascii="Calibri" w:hAnsi="Calibri" w:cs="Calibri"/>
          <w:noProof/>
          <w:kern w:val="0"/>
          <w:sz w:val="24"/>
        </w:rPr>
        <w:t>, vol. 18, 2024.</w:t>
      </w:r>
    </w:p>
    <w:p w14:paraId="17F95184" w14:textId="632356D4"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4</w:t>
      </w:r>
      <w:r w:rsidR="00410485" w:rsidRPr="00E9644F">
        <w:rPr>
          <w:rFonts w:ascii="Calibri" w:hAnsi="Calibri" w:cs="Calibri"/>
          <w:noProof/>
          <w:kern w:val="0"/>
          <w:sz w:val="24"/>
        </w:rPr>
        <w:t>.</w:t>
      </w:r>
      <w:r w:rsidRPr="00E9644F">
        <w:rPr>
          <w:rFonts w:ascii="Calibri" w:hAnsi="Calibri" w:cs="Calibri"/>
          <w:noProof/>
          <w:kern w:val="0"/>
          <w:sz w:val="24"/>
        </w:rPr>
        <w:tab/>
        <w:t xml:space="preserve">M. D. 1 Ndeye Marie Sene 1, Konstantinos Mavridis 2, El Hadji Ndiaye 1, Cheikh Tidiane Diagne 1 3, Alioune Gaye 1, El Hadji Malick Ngom 1, Yamar Ba 1, Diawo Diallo 1, John Vontas 2 4, Ibrahima Dia 1, “Insecticide resistance status and mechanisms in Aedes aegypti populations from Senegal,” </w:t>
      </w:r>
      <w:r w:rsidRPr="00E9644F">
        <w:rPr>
          <w:rFonts w:ascii="Calibri" w:hAnsi="Calibri" w:cs="Calibri"/>
          <w:i/>
          <w:iCs/>
          <w:noProof/>
          <w:kern w:val="0"/>
          <w:sz w:val="24"/>
        </w:rPr>
        <w:t>PLoS Negl Trop Dis</w:t>
      </w:r>
      <w:r w:rsidRPr="00E9644F">
        <w:rPr>
          <w:rFonts w:ascii="Calibri" w:hAnsi="Calibri" w:cs="Calibri"/>
          <w:noProof/>
          <w:kern w:val="0"/>
          <w:sz w:val="24"/>
        </w:rPr>
        <w:t>, vol. 15, no. 5, 2021.</w:t>
      </w:r>
    </w:p>
    <w:p w14:paraId="52B8F2C5" w14:textId="798078B8"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5</w:t>
      </w:r>
      <w:r w:rsidR="00410485" w:rsidRPr="00E9644F">
        <w:rPr>
          <w:rFonts w:ascii="Calibri" w:hAnsi="Calibri" w:cs="Calibri"/>
          <w:noProof/>
          <w:kern w:val="0"/>
          <w:sz w:val="24"/>
        </w:rPr>
        <w:t>.</w:t>
      </w:r>
      <w:r w:rsidRPr="00E9644F">
        <w:rPr>
          <w:rFonts w:ascii="Calibri" w:hAnsi="Calibri" w:cs="Calibri"/>
          <w:noProof/>
          <w:kern w:val="0"/>
          <w:sz w:val="24"/>
        </w:rPr>
        <w:tab/>
        <w:t xml:space="preserve">D. S. S. Enitan </w:t>
      </w:r>
      <w:r w:rsidRPr="00E9644F">
        <w:rPr>
          <w:rFonts w:ascii="Calibri" w:hAnsi="Calibri" w:cs="Calibri"/>
          <w:i/>
          <w:iCs/>
          <w:noProof/>
          <w:kern w:val="0"/>
          <w:sz w:val="24"/>
        </w:rPr>
        <w:t>et al.</w:t>
      </w:r>
      <w:r w:rsidRPr="00E9644F">
        <w:rPr>
          <w:rFonts w:ascii="Calibri" w:hAnsi="Calibri" w:cs="Calibri"/>
          <w:noProof/>
          <w:kern w:val="0"/>
          <w:sz w:val="24"/>
        </w:rPr>
        <w:t xml:space="preserve">, “Advancing Dengue Fever Preparedness in Africa: Challenges, Resilience, and Contributions to Global Health,” </w:t>
      </w:r>
      <w:r w:rsidRPr="00E9644F">
        <w:rPr>
          <w:rFonts w:ascii="Calibri" w:hAnsi="Calibri" w:cs="Calibri"/>
          <w:i/>
          <w:iCs/>
          <w:noProof/>
          <w:kern w:val="0"/>
          <w:sz w:val="24"/>
        </w:rPr>
        <w:t>Acta Elit Salut.</w:t>
      </w:r>
      <w:r w:rsidRPr="00E9644F">
        <w:rPr>
          <w:rFonts w:ascii="Calibri" w:hAnsi="Calibri" w:cs="Calibri"/>
          <w:noProof/>
          <w:kern w:val="0"/>
          <w:sz w:val="24"/>
        </w:rPr>
        <w:t>, vol. 9, no. 1, 2024, doi: 10.48075/aes.v9i1.33267.</w:t>
      </w:r>
    </w:p>
    <w:p w14:paraId="1C4643CA" w14:textId="059C9091"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6</w:t>
      </w:r>
      <w:r w:rsidR="00410485" w:rsidRPr="00E9644F">
        <w:rPr>
          <w:rFonts w:ascii="Calibri" w:hAnsi="Calibri" w:cs="Calibri"/>
          <w:noProof/>
          <w:kern w:val="0"/>
          <w:sz w:val="24"/>
        </w:rPr>
        <w:t>.</w:t>
      </w:r>
      <w:r w:rsidRPr="00E9644F">
        <w:rPr>
          <w:rFonts w:ascii="Calibri" w:hAnsi="Calibri" w:cs="Calibri"/>
          <w:noProof/>
          <w:kern w:val="0"/>
          <w:sz w:val="24"/>
        </w:rPr>
        <w:tab/>
        <w:t xml:space="preserve">A. Adam and C. Jassoy, “Epidemiology and Laboratory Diagnostics of Dengue, Yellow Fever, Zika, and Chikungunya Virus Infections in Africa,” </w:t>
      </w:r>
      <w:r w:rsidRPr="00E9644F">
        <w:rPr>
          <w:rFonts w:ascii="Calibri" w:hAnsi="Calibri" w:cs="Calibri"/>
          <w:i/>
          <w:iCs/>
          <w:noProof/>
          <w:kern w:val="0"/>
          <w:sz w:val="24"/>
        </w:rPr>
        <w:t>Pathogens</w:t>
      </w:r>
      <w:r w:rsidRPr="00E9644F">
        <w:rPr>
          <w:rFonts w:ascii="Calibri" w:hAnsi="Calibri" w:cs="Calibri"/>
          <w:noProof/>
          <w:kern w:val="0"/>
          <w:sz w:val="24"/>
        </w:rPr>
        <w:t>, vol. 10, no. 10, 2021, doi: 10.3390/pathogens10101324.</w:t>
      </w:r>
    </w:p>
    <w:p w14:paraId="4EA35627" w14:textId="64418881"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lastRenderedPageBreak/>
        <w:t>7</w:t>
      </w:r>
      <w:r w:rsidR="00410485" w:rsidRPr="00E9644F">
        <w:rPr>
          <w:rFonts w:ascii="Calibri" w:hAnsi="Calibri" w:cs="Calibri"/>
          <w:noProof/>
          <w:kern w:val="0"/>
          <w:sz w:val="24"/>
        </w:rPr>
        <w:t>.</w:t>
      </w:r>
      <w:r w:rsidRPr="00E9644F">
        <w:rPr>
          <w:rFonts w:ascii="Calibri" w:hAnsi="Calibri" w:cs="Calibri"/>
          <w:noProof/>
          <w:kern w:val="0"/>
          <w:sz w:val="24"/>
        </w:rPr>
        <w:tab/>
        <w:t xml:space="preserve">C. Ngoagouni </w:t>
      </w:r>
      <w:r w:rsidRPr="00E9644F">
        <w:rPr>
          <w:rFonts w:ascii="Calibri" w:hAnsi="Calibri" w:cs="Calibri"/>
          <w:i/>
          <w:iCs/>
          <w:noProof/>
          <w:kern w:val="0"/>
          <w:sz w:val="24"/>
        </w:rPr>
        <w:t>et al.</w:t>
      </w:r>
      <w:r w:rsidRPr="00E9644F">
        <w:rPr>
          <w:rFonts w:ascii="Calibri" w:hAnsi="Calibri" w:cs="Calibri"/>
          <w:noProof/>
          <w:kern w:val="0"/>
          <w:sz w:val="24"/>
        </w:rPr>
        <w:t xml:space="preserve">, “Susceptibility profile and metabolic mechanisms involved in Aedes aegypti and Aedes albopictus resistant to DDT and deltamethrin in the Central African Republic,” </w:t>
      </w:r>
      <w:r w:rsidRPr="00E9644F">
        <w:rPr>
          <w:rFonts w:ascii="Calibri" w:hAnsi="Calibri" w:cs="Calibri"/>
          <w:i/>
          <w:iCs/>
          <w:noProof/>
          <w:kern w:val="0"/>
          <w:sz w:val="24"/>
        </w:rPr>
        <w:t>Parasites and Vectors</w:t>
      </w:r>
      <w:r w:rsidRPr="00E9644F">
        <w:rPr>
          <w:rFonts w:ascii="Calibri" w:hAnsi="Calibri" w:cs="Calibri"/>
          <w:noProof/>
          <w:kern w:val="0"/>
          <w:sz w:val="24"/>
        </w:rPr>
        <w:t>, vol. 9, no. 1, pp. 1–13, 2016, doi: 10.1186/s13071-016-1887-5.</w:t>
      </w:r>
    </w:p>
    <w:p w14:paraId="6B2CF1BA" w14:textId="022F8B2A"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8</w:t>
      </w:r>
      <w:r w:rsidR="00410485" w:rsidRPr="00E9644F">
        <w:rPr>
          <w:rFonts w:ascii="Calibri" w:hAnsi="Calibri" w:cs="Calibri"/>
          <w:noProof/>
          <w:kern w:val="0"/>
          <w:sz w:val="24"/>
        </w:rPr>
        <w:t>.</w:t>
      </w:r>
      <w:r w:rsidRPr="00E9644F">
        <w:rPr>
          <w:rFonts w:ascii="Calibri" w:hAnsi="Calibri" w:cs="Calibri"/>
          <w:noProof/>
          <w:kern w:val="0"/>
          <w:sz w:val="24"/>
        </w:rPr>
        <w:tab/>
        <w:t xml:space="preserve">F. A. Shafie, M. P. M. Tahir, and N. M. Sabri, “Aedes Mosquitoes Resistance in Urban Community Setting,” </w:t>
      </w:r>
      <w:r w:rsidRPr="00E9644F">
        <w:rPr>
          <w:rFonts w:ascii="Calibri" w:hAnsi="Calibri" w:cs="Calibri"/>
          <w:i/>
          <w:iCs/>
          <w:noProof/>
          <w:kern w:val="0"/>
          <w:sz w:val="24"/>
        </w:rPr>
        <w:t>Procedia - Soc. Behav. Sci.</w:t>
      </w:r>
      <w:r w:rsidRPr="00E9644F">
        <w:rPr>
          <w:rFonts w:ascii="Calibri" w:hAnsi="Calibri" w:cs="Calibri"/>
          <w:noProof/>
          <w:kern w:val="0"/>
          <w:sz w:val="24"/>
        </w:rPr>
        <w:t>, vol. 36, pp. 70–76, 2012, doi: https://doi.org/10.1016/j.sbspro.2012.03.008.</w:t>
      </w:r>
    </w:p>
    <w:p w14:paraId="36426B6D" w14:textId="500A2646"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lang w:val="fr-FR"/>
        </w:rPr>
      </w:pPr>
      <w:r w:rsidRPr="00E9644F">
        <w:rPr>
          <w:rFonts w:ascii="Calibri" w:hAnsi="Calibri" w:cs="Calibri"/>
          <w:noProof/>
          <w:kern w:val="0"/>
          <w:sz w:val="24"/>
        </w:rPr>
        <w:t>9</w:t>
      </w:r>
      <w:r w:rsidR="00410485" w:rsidRPr="00E9644F">
        <w:rPr>
          <w:rFonts w:ascii="Calibri" w:hAnsi="Calibri" w:cs="Calibri"/>
          <w:noProof/>
          <w:kern w:val="0"/>
          <w:sz w:val="24"/>
        </w:rPr>
        <w:t>.</w:t>
      </w:r>
      <w:r w:rsidRPr="00E9644F">
        <w:rPr>
          <w:rFonts w:ascii="Calibri" w:hAnsi="Calibri" w:cs="Calibri"/>
          <w:noProof/>
          <w:kern w:val="0"/>
          <w:sz w:val="24"/>
        </w:rPr>
        <w:tab/>
        <w:t xml:space="preserve">M. Bharati and D. Saha, “Insecticide resistance status and biochemical mechanisms involved in Aedes mosquitoes: A scoping review,” </w:t>
      </w:r>
      <w:r w:rsidRPr="00E9644F">
        <w:rPr>
          <w:rFonts w:ascii="Calibri" w:hAnsi="Calibri" w:cs="Calibri"/>
          <w:i/>
          <w:iCs/>
          <w:noProof/>
          <w:kern w:val="0"/>
          <w:sz w:val="24"/>
        </w:rPr>
        <w:t>Asian Pac. J. Trop. Med.</w:t>
      </w:r>
      <w:r w:rsidRPr="00E9644F">
        <w:rPr>
          <w:rFonts w:ascii="Calibri" w:hAnsi="Calibri" w:cs="Calibri"/>
          <w:noProof/>
          <w:kern w:val="0"/>
          <w:sz w:val="24"/>
        </w:rPr>
        <w:t xml:space="preserve">, vol. 14, no. 2, 2021, [Online]. </w:t>
      </w:r>
      <w:r w:rsidRPr="00E9644F">
        <w:rPr>
          <w:rFonts w:ascii="Calibri" w:hAnsi="Calibri" w:cs="Calibri"/>
          <w:noProof/>
          <w:kern w:val="0"/>
          <w:sz w:val="24"/>
          <w:lang w:val="fr-FR"/>
        </w:rPr>
        <w:t>Available: https://journals.lww.com/aptm/fulltext/2021/14020/insecticide_resistance_status_and_biochemical.2.aspx.</w:t>
      </w:r>
    </w:p>
    <w:p w14:paraId="2D1FFC01" w14:textId="767A93A8"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lang w:val="fr-FR"/>
        </w:rPr>
        <w:t>10</w:t>
      </w:r>
      <w:r w:rsidR="00410485" w:rsidRPr="00E9644F">
        <w:rPr>
          <w:rFonts w:ascii="Calibri" w:hAnsi="Calibri" w:cs="Calibri"/>
          <w:noProof/>
          <w:kern w:val="0"/>
          <w:sz w:val="24"/>
          <w:lang w:val="fr-FR"/>
        </w:rPr>
        <w:t>.</w:t>
      </w:r>
      <w:r w:rsidRPr="00E9644F">
        <w:rPr>
          <w:rFonts w:ascii="Calibri" w:hAnsi="Calibri" w:cs="Calibri"/>
          <w:noProof/>
          <w:kern w:val="0"/>
          <w:sz w:val="24"/>
          <w:lang w:val="fr-FR"/>
        </w:rPr>
        <w:tab/>
        <w:t xml:space="preserve">O. (2021) Kolimenakis, A., Heinz, S., Wilson, M. L., Winkler, V., Yakob, L., Michaelakis, A., ... </w:t>
      </w:r>
      <w:r w:rsidRPr="00E9644F">
        <w:rPr>
          <w:rFonts w:ascii="Calibri" w:hAnsi="Calibri" w:cs="Calibri"/>
          <w:noProof/>
          <w:kern w:val="0"/>
          <w:sz w:val="24"/>
        </w:rPr>
        <w:t>&amp; Horstick, “The role of urbanisation in the spread of Aedes mosquitoes and the diseases they transmit—A systematic review,” 2021.</w:t>
      </w:r>
    </w:p>
    <w:p w14:paraId="3F13902D" w14:textId="7E371BDA"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11</w:t>
      </w:r>
      <w:r w:rsidR="00410485" w:rsidRPr="00E9644F">
        <w:rPr>
          <w:rFonts w:ascii="Calibri" w:hAnsi="Calibri" w:cs="Calibri"/>
          <w:noProof/>
          <w:kern w:val="0"/>
          <w:sz w:val="24"/>
        </w:rPr>
        <w:t>.</w:t>
      </w:r>
      <w:r w:rsidRPr="00E9644F">
        <w:rPr>
          <w:rFonts w:ascii="Calibri" w:hAnsi="Calibri" w:cs="Calibri"/>
          <w:noProof/>
          <w:kern w:val="0"/>
          <w:sz w:val="24"/>
        </w:rPr>
        <w:tab/>
        <w:t xml:space="preserve">A. Abdulai </w:t>
      </w:r>
      <w:r w:rsidRPr="00E9644F">
        <w:rPr>
          <w:rFonts w:ascii="Calibri" w:hAnsi="Calibri" w:cs="Calibri"/>
          <w:i/>
          <w:iCs/>
          <w:noProof/>
          <w:kern w:val="0"/>
          <w:sz w:val="24"/>
        </w:rPr>
        <w:t>et al.</w:t>
      </w:r>
      <w:r w:rsidRPr="00E9644F">
        <w:rPr>
          <w:rFonts w:ascii="Calibri" w:hAnsi="Calibri" w:cs="Calibri"/>
          <w:noProof/>
          <w:kern w:val="0"/>
          <w:sz w:val="24"/>
        </w:rPr>
        <w:t xml:space="preserve">, “Insecticide resistance status of Aedes aegypti in southern and northern Ghana,” </w:t>
      </w:r>
      <w:r w:rsidRPr="00E9644F">
        <w:rPr>
          <w:rFonts w:ascii="Calibri" w:hAnsi="Calibri" w:cs="Calibri"/>
          <w:i/>
          <w:iCs/>
          <w:noProof/>
          <w:kern w:val="0"/>
          <w:sz w:val="24"/>
        </w:rPr>
        <w:t>Parasit. Vectors</w:t>
      </w:r>
      <w:r w:rsidRPr="00E9644F">
        <w:rPr>
          <w:rFonts w:ascii="Calibri" w:hAnsi="Calibri" w:cs="Calibri"/>
          <w:noProof/>
          <w:kern w:val="0"/>
          <w:sz w:val="24"/>
        </w:rPr>
        <w:t>, vol. 16, no. 1, p. 135, 2023, doi: 10.1186/s13071-023-05752-x.</w:t>
      </w:r>
    </w:p>
    <w:p w14:paraId="6C8ED1B5" w14:textId="12BFF7CB"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12</w:t>
      </w:r>
      <w:r w:rsidR="00410485" w:rsidRPr="00E9644F">
        <w:rPr>
          <w:rFonts w:ascii="Calibri" w:hAnsi="Calibri" w:cs="Calibri"/>
          <w:noProof/>
          <w:kern w:val="0"/>
          <w:sz w:val="24"/>
        </w:rPr>
        <w:t>.</w:t>
      </w:r>
      <w:r w:rsidRPr="00E9644F">
        <w:rPr>
          <w:rFonts w:ascii="Calibri" w:hAnsi="Calibri" w:cs="Calibri"/>
          <w:noProof/>
          <w:kern w:val="0"/>
          <w:sz w:val="24"/>
        </w:rPr>
        <w:tab/>
        <w:t xml:space="preserve">A. Ahmed, Y. Ali, and N. S. Mohamed, “Arboviral diseases: the emergence of a major yet ignored public health threat in Africa,” </w:t>
      </w:r>
      <w:r w:rsidRPr="00E9644F">
        <w:rPr>
          <w:rFonts w:ascii="Calibri" w:hAnsi="Calibri" w:cs="Calibri"/>
          <w:i/>
          <w:iCs/>
          <w:noProof/>
          <w:kern w:val="0"/>
          <w:sz w:val="24"/>
        </w:rPr>
        <w:t>Lancet Planet. Heal.</w:t>
      </w:r>
      <w:r w:rsidRPr="00E9644F">
        <w:rPr>
          <w:rFonts w:ascii="Calibri" w:hAnsi="Calibri" w:cs="Calibri"/>
          <w:noProof/>
          <w:kern w:val="0"/>
          <w:sz w:val="24"/>
        </w:rPr>
        <w:t>, vol. 4, no. 12, p. e555, Dec. 2020, doi: 10.1016/S2542-5196(20)30269-2.</w:t>
      </w:r>
    </w:p>
    <w:p w14:paraId="3E0FF1E8" w14:textId="38E62274"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13</w:t>
      </w:r>
      <w:r w:rsidR="00410485" w:rsidRPr="00E9644F">
        <w:rPr>
          <w:rFonts w:ascii="Calibri" w:hAnsi="Calibri" w:cs="Calibri"/>
          <w:noProof/>
          <w:kern w:val="0"/>
          <w:sz w:val="24"/>
        </w:rPr>
        <w:t>.</w:t>
      </w:r>
      <w:r w:rsidRPr="00E9644F">
        <w:rPr>
          <w:rFonts w:ascii="Calibri" w:hAnsi="Calibri" w:cs="Calibri"/>
          <w:noProof/>
          <w:kern w:val="0"/>
          <w:sz w:val="24"/>
        </w:rPr>
        <w:tab/>
        <w:t xml:space="preserve">M. Braimah </w:t>
      </w:r>
      <w:r w:rsidRPr="00E9644F">
        <w:rPr>
          <w:rFonts w:ascii="Calibri" w:hAnsi="Calibri" w:cs="Calibri"/>
          <w:i/>
          <w:iCs/>
          <w:noProof/>
          <w:kern w:val="0"/>
          <w:sz w:val="24"/>
        </w:rPr>
        <w:t>et al.</w:t>
      </w:r>
      <w:r w:rsidRPr="00E9644F">
        <w:rPr>
          <w:rFonts w:ascii="Calibri" w:hAnsi="Calibri" w:cs="Calibri"/>
          <w:noProof/>
          <w:kern w:val="0"/>
          <w:sz w:val="24"/>
        </w:rPr>
        <w:t xml:space="preserve">, “Variability of the Minor Season Rainfall over Southern Ghana (1981–2018),” </w:t>
      </w:r>
      <w:r w:rsidRPr="00E9644F">
        <w:rPr>
          <w:rFonts w:ascii="Calibri" w:hAnsi="Calibri" w:cs="Calibri"/>
          <w:i/>
          <w:iCs/>
          <w:noProof/>
          <w:kern w:val="0"/>
          <w:sz w:val="24"/>
        </w:rPr>
        <w:t>Adv. Meteorol.</w:t>
      </w:r>
      <w:r w:rsidRPr="00E9644F">
        <w:rPr>
          <w:rFonts w:ascii="Calibri" w:hAnsi="Calibri" w:cs="Calibri"/>
          <w:noProof/>
          <w:kern w:val="0"/>
          <w:sz w:val="24"/>
        </w:rPr>
        <w:t>, vol. 2022, no. 1, p. 1861130, 2022, doi: https://doi.org/10.1155/2022/1861130.</w:t>
      </w:r>
    </w:p>
    <w:p w14:paraId="04C03384" w14:textId="0FA2FA08"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14</w:t>
      </w:r>
      <w:r w:rsidR="00410485" w:rsidRPr="00E9644F">
        <w:rPr>
          <w:rFonts w:ascii="Calibri" w:hAnsi="Calibri" w:cs="Calibri"/>
          <w:noProof/>
          <w:kern w:val="0"/>
          <w:sz w:val="24"/>
        </w:rPr>
        <w:t>.</w:t>
      </w:r>
      <w:r w:rsidRPr="00E9644F">
        <w:rPr>
          <w:rFonts w:ascii="Calibri" w:hAnsi="Calibri" w:cs="Calibri"/>
          <w:noProof/>
          <w:kern w:val="0"/>
          <w:sz w:val="24"/>
        </w:rPr>
        <w:tab/>
        <w:t>L. K. Amekudzi, E. I. Yamba, K. Preko, and E. O. Asare, “Variabilities in Rainfall Onset, Cessation and Length of Rainy Season for the Various Agro-Ecological Zones of Ghana,” pp. 416–434, 2015, doi: 10.3390/cli3020416.</w:t>
      </w:r>
    </w:p>
    <w:p w14:paraId="5C850773" w14:textId="6F2A2ABF"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15</w:t>
      </w:r>
      <w:r w:rsidR="00410485" w:rsidRPr="00E9644F">
        <w:rPr>
          <w:rFonts w:ascii="Calibri" w:hAnsi="Calibri" w:cs="Calibri"/>
          <w:noProof/>
          <w:kern w:val="0"/>
          <w:sz w:val="24"/>
        </w:rPr>
        <w:t>.</w:t>
      </w:r>
      <w:r w:rsidRPr="00E9644F">
        <w:rPr>
          <w:rFonts w:ascii="Calibri" w:hAnsi="Calibri" w:cs="Calibri"/>
          <w:noProof/>
          <w:kern w:val="0"/>
          <w:sz w:val="24"/>
        </w:rPr>
        <w:tab/>
        <w:t xml:space="preserve">I. FAO, “Guidelines for Routine Colony Maintenance of Aedes Mosquito Species,” </w:t>
      </w:r>
      <w:r w:rsidRPr="00E9644F">
        <w:rPr>
          <w:rFonts w:ascii="Calibri" w:hAnsi="Calibri" w:cs="Calibri"/>
          <w:i/>
          <w:iCs/>
          <w:noProof/>
          <w:kern w:val="0"/>
          <w:sz w:val="24"/>
        </w:rPr>
        <w:t>FAO Rome, Italy</w:t>
      </w:r>
      <w:r w:rsidRPr="00E9644F">
        <w:rPr>
          <w:rFonts w:ascii="Calibri" w:hAnsi="Calibri" w:cs="Calibri"/>
          <w:noProof/>
          <w:kern w:val="0"/>
          <w:sz w:val="24"/>
        </w:rPr>
        <w:t>, 2017.</w:t>
      </w:r>
    </w:p>
    <w:p w14:paraId="767B9EF7" w14:textId="0601C484"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16</w:t>
      </w:r>
      <w:r w:rsidR="00410485" w:rsidRPr="00E9644F">
        <w:rPr>
          <w:rFonts w:ascii="Calibri" w:hAnsi="Calibri" w:cs="Calibri"/>
          <w:noProof/>
          <w:kern w:val="0"/>
          <w:sz w:val="24"/>
        </w:rPr>
        <w:t>.</w:t>
      </w:r>
      <w:r w:rsidRPr="00E9644F">
        <w:rPr>
          <w:rFonts w:ascii="Calibri" w:hAnsi="Calibri" w:cs="Calibri"/>
          <w:noProof/>
          <w:kern w:val="0"/>
          <w:sz w:val="24"/>
        </w:rPr>
        <w:tab/>
        <w:t xml:space="preserve">WHO, “Standard operating procedure for impregnation of filter papers for testing </w:t>
      </w:r>
      <w:r w:rsidRPr="00E9644F">
        <w:rPr>
          <w:rFonts w:ascii="Calibri" w:hAnsi="Calibri" w:cs="Calibri"/>
          <w:noProof/>
          <w:kern w:val="0"/>
          <w:sz w:val="24"/>
        </w:rPr>
        <w:lastRenderedPageBreak/>
        <w:t xml:space="preserve">insecticide susceptibility of adult mosquitoes in WHO tube tests,” </w:t>
      </w:r>
      <w:r w:rsidRPr="00E9644F">
        <w:rPr>
          <w:rFonts w:ascii="Calibri" w:hAnsi="Calibri" w:cs="Calibri"/>
          <w:i/>
          <w:iCs/>
          <w:noProof/>
          <w:kern w:val="0"/>
          <w:sz w:val="24"/>
        </w:rPr>
        <w:t>World Heal. Organ.</w:t>
      </w:r>
      <w:r w:rsidRPr="00E9644F">
        <w:rPr>
          <w:rFonts w:ascii="Calibri" w:hAnsi="Calibri" w:cs="Calibri"/>
          <w:noProof/>
          <w:kern w:val="0"/>
          <w:sz w:val="24"/>
        </w:rPr>
        <w:t>, no. January, p. 17p, 2022.</w:t>
      </w:r>
    </w:p>
    <w:p w14:paraId="7F8E61E9" w14:textId="0CF17497"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rPr>
        <w:t>17</w:t>
      </w:r>
      <w:r w:rsidR="00410485" w:rsidRPr="00E9644F">
        <w:rPr>
          <w:rFonts w:ascii="Calibri" w:hAnsi="Calibri" w:cs="Calibri"/>
          <w:noProof/>
          <w:kern w:val="0"/>
          <w:sz w:val="24"/>
        </w:rPr>
        <w:t>.</w:t>
      </w:r>
      <w:r w:rsidRPr="00E9644F">
        <w:rPr>
          <w:rFonts w:ascii="Calibri" w:hAnsi="Calibri" w:cs="Calibri"/>
          <w:noProof/>
          <w:kern w:val="0"/>
          <w:sz w:val="24"/>
        </w:rPr>
        <w:tab/>
        <w:t xml:space="preserve">J. G. B. Linss </w:t>
      </w:r>
      <w:r w:rsidRPr="00E9644F">
        <w:rPr>
          <w:rFonts w:ascii="Calibri" w:hAnsi="Calibri" w:cs="Calibri"/>
          <w:i/>
          <w:iCs/>
          <w:noProof/>
          <w:kern w:val="0"/>
          <w:sz w:val="24"/>
        </w:rPr>
        <w:t>et al.</w:t>
      </w:r>
      <w:r w:rsidRPr="00E9644F">
        <w:rPr>
          <w:rFonts w:ascii="Calibri" w:hAnsi="Calibri" w:cs="Calibri"/>
          <w:noProof/>
          <w:kern w:val="0"/>
          <w:sz w:val="24"/>
        </w:rPr>
        <w:t xml:space="preserve">, “Distribution and dissemination of the Val1016Ile and Phe1534Cys Kdr mutations in Aedes aegypti Brazilian natural populations,” </w:t>
      </w:r>
      <w:r w:rsidRPr="00E9644F">
        <w:rPr>
          <w:rFonts w:ascii="Calibri" w:hAnsi="Calibri" w:cs="Calibri"/>
          <w:i/>
          <w:iCs/>
          <w:noProof/>
          <w:kern w:val="0"/>
          <w:sz w:val="24"/>
        </w:rPr>
        <w:t>Parasit. Vectors</w:t>
      </w:r>
      <w:r w:rsidRPr="00E9644F">
        <w:rPr>
          <w:rFonts w:ascii="Calibri" w:hAnsi="Calibri" w:cs="Calibri"/>
          <w:noProof/>
          <w:kern w:val="0"/>
          <w:sz w:val="24"/>
        </w:rPr>
        <w:t>, vol. 7, no. 1, p. 25, 2014, doi: 10.1186/1756-3305-7-25.</w:t>
      </w:r>
    </w:p>
    <w:p w14:paraId="144F3556" w14:textId="4D39714A"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lang w:val="pt-PT"/>
        </w:rPr>
      </w:pPr>
      <w:r w:rsidRPr="00E9644F">
        <w:rPr>
          <w:rFonts w:ascii="Calibri" w:hAnsi="Calibri" w:cs="Calibri"/>
          <w:noProof/>
          <w:kern w:val="0"/>
          <w:sz w:val="24"/>
        </w:rPr>
        <w:t>18</w:t>
      </w:r>
      <w:r w:rsidR="00410485" w:rsidRPr="00E9644F">
        <w:rPr>
          <w:rFonts w:ascii="Calibri" w:hAnsi="Calibri" w:cs="Calibri"/>
          <w:noProof/>
          <w:kern w:val="0"/>
          <w:sz w:val="24"/>
        </w:rPr>
        <w:t>.</w:t>
      </w:r>
      <w:r w:rsidRPr="00E9644F">
        <w:rPr>
          <w:rFonts w:ascii="Calibri" w:hAnsi="Calibri" w:cs="Calibri"/>
          <w:noProof/>
          <w:kern w:val="0"/>
          <w:sz w:val="24"/>
        </w:rPr>
        <w:tab/>
        <w:t xml:space="preserve">K. Villanueva-Segura </w:t>
      </w:r>
      <w:r w:rsidRPr="00E9644F">
        <w:rPr>
          <w:rFonts w:ascii="Calibri" w:hAnsi="Calibri" w:cs="Calibri"/>
          <w:i/>
          <w:iCs/>
          <w:noProof/>
          <w:kern w:val="0"/>
          <w:sz w:val="24"/>
        </w:rPr>
        <w:t>et al.</w:t>
      </w:r>
      <w:r w:rsidRPr="00E9644F">
        <w:rPr>
          <w:rFonts w:ascii="Calibri" w:hAnsi="Calibri" w:cs="Calibri"/>
          <w:noProof/>
          <w:kern w:val="0"/>
          <w:sz w:val="24"/>
        </w:rPr>
        <w:t xml:space="preserve">, “Multiplex PCR for simultaneous genotyping of kdr mutations V410L, V1016I and F1534C in Aedes aegypti (L.),” </w:t>
      </w:r>
      <w:r w:rsidRPr="00E9644F">
        <w:rPr>
          <w:rFonts w:ascii="Calibri" w:hAnsi="Calibri" w:cs="Calibri"/>
          <w:i/>
          <w:iCs/>
          <w:noProof/>
          <w:kern w:val="0"/>
          <w:sz w:val="24"/>
        </w:rPr>
        <w:t xml:space="preserve">Parasit. </w:t>
      </w:r>
      <w:r w:rsidRPr="00E9644F">
        <w:rPr>
          <w:rFonts w:ascii="Calibri" w:hAnsi="Calibri" w:cs="Calibri"/>
          <w:i/>
          <w:iCs/>
          <w:noProof/>
          <w:kern w:val="0"/>
          <w:sz w:val="24"/>
          <w:lang w:val="pt-PT"/>
        </w:rPr>
        <w:t>Vectors</w:t>
      </w:r>
      <w:r w:rsidRPr="00E9644F">
        <w:rPr>
          <w:rFonts w:ascii="Calibri" w:hAnsi="Calibri" w:cs="Calibri"/>
          <w:noProof/>
          <w:kern w:val="0"/>
          <w:sz w:val="24"/>
          <w:lang w:val="pt-PT"/>
        </w:rPr>
        <w:t>, vol. 13, no. 1, p. 325, 2020, doi: 10.1186/s13071-020-04193-0.</w:t>
      </w:r>
    </w:p>
    <w:p w14:paraId="3DBDEA4D" w14:textId="317EBE74" w:rsidR="00DF7040" w:rsidRPr="00E9644F" w:rsidRDefault="00DF7040" w:rsidP="00DF7040">
      <w:pPr>
        <w:widowControl w:val="0"/>
        <w:autoSpaceDE w:val="0"/>
        <w:autoSpaceDN w:val="0"/>
        <w:adjustRightInd w:val="0"/>
        <w:spacing w:after="0" w:line="360" w:lineRule="auto"/>
        <w:ind w:left="640" w:hanging="640"/>
        <w:rPr>
          <w:rFonts w:ascii="Calibri" w:hAnsi="Calibri" w:cs="Calibri"/>
          <w:noProof/>
          <w:kern w:val="0"/>
          <w:sz w:val="24"/>
        </w:rPr>
      </w:pPr>
      <w:r w:rsidRPr="00E9644F">
        <w:rPr>
          <w:rFonts w:ascii="Calibri" w:hAnsi="Calibri" w:cs="Calibri"/>
          <w:noProof/>
          <w:kern w:val="0"/>
          <w:sz w:val="24"/>
          <w:lang w:val="pt-PT"/>
        </w:rPr>
        <w:t>19</w:t>
      </w:r>
      <w:r w:rsidR="00410485" w:rsidRPr="00E9644F">
        <w:rPr>
          <w:rFonts w:ascii="Calibri" w:hAnsi="Calibri" w:cs="Calibri"/>
          <w:noProof/>
          <w:kern w:val="0"/>
          <w:sz w:val="24"/>
          <w:lang w:val="pt-PT"/>
        </w:rPr>
        <w:t>.</w:t>
      </w:r>
      <w:r w:rsidRPr="00E9644F">
        <w:rPr>
          <w:rFonts w:ascii="Calibri" w:hAnsi="Calibri" w:cs="Calibri"/>
          <w:noProof/>
          <w:kern w:val="0"/>
          <w:sz w:val="24"/>
          <w:lang w:val="pt-PT"/>
        </w:rPr>
        <w:tab/>
        <w:t xml:space="preserve">Y.-M. HUANG, </w:t>
      </w:r>
      <w:r w:rsidRPr="00E9644F">
        <w:rPr>
          <w:rFonts w:ascii="Calibri" w:hAnsi="Calibri" w:cs="Calibri"/>
          <w:i/>
          <w:iCs/>
          <w:noProof/>
          <w:kern w:val="0"/>
          <w:sz w:val="24"/>
          <w:lang w:val="pt-PT"/>
        </w:rPr>
        <w:t>Zootaxa 700</w:t>
      </w:r>
      <w:r w:rsidRPr="00E9644F">
        <w:rPr>
          <w:rFonts w:ascii="Calibri" w:hAnsi="Calibri" w:cs="Calibri"/>
          <w:noProof/>
          <w:kern w:val="0"/>
          <w:sz w:val="24"/>
          <w:lang w:val="pt-PT"/>
        </w:rPr>
        <w:t xml:space="preserve">. </w:t>
      </w:r>
      <w:r w:rsidRPr="00E9644F">
        <w:rPr>
          <w:rFonts w:ascii="Calibri" w:hAnsi="Calibri" w:cs="Calibri"/>
          <w:noProof/>
          <w:kern w:val="0"/>
          <w:sz w:val="24"/>
        </w:rPr>
        <w:t>2004.</w:t>
      </w:r>
    </w:p>
    <w:p w14:paraId="54E1F4ED" w14:textId="2033CC5D" w:rsidR="00125F13" w:rsidRPr="00E9644F" w:rsidRDefault="00125F13" w:rsidP="00E644A9">
      <w:pPr>
        <w:widowControl w:val="0"/>
        <w:autoSpaceDE w:val="0"/>
        <w:autoSpaceDN w:val="0"/>
        <w:adjustRightInd w:val="0"/>
        <w:spacing w:after="0" w:line="360" w:lineRule="auto"/>
        <w:ind w:left="630" w:hanging="630"/>
        <w:rPr>
          <w:rFonts w:ascii="Calibri" w:hAnsi="Calibri" w:cs="Calibri"/>
          <w:noProof/>
          <w:kern w:val="0"/>
          <w:sz w:val="24"/>
        </w:rPr>
      </w:pPr>
      <w:r w:rsidRPr="00E9644F">
        <w:rPr>
          <w:rFonts w:ascii="Calibri" w:hAnsi="Calibri" w:cs="Calibri"/>
          <w:noProof/>
          <w:kern w:val="0"/>
          <w:sz w:val="24"/>
        </w:rPr>
        <w:t xml:space="preserve">20.      </w:t>
      </w:r>
      <w:r w:rsidR="00E644A9" w:rsidRPr="00E9644F">
        <w:t xml:space="preserve">GBIF: Global Biodiversity Information Facility (GBIF). IPT: The Integrated Publishing Toolkit. </w:t>
      </w:r>
      <w:r w:rsidR="00E644A9" w:rsidRPr="00E9644F">
        <w:rPr>
          <w:b/>
        </w:rPr>
        <w:t xml:space="preserve"> </w:t>
      </w:r>
      <w:hyperlink r:id="rId8" w:history="1">
        <w:r w:rsidR="00E644A9" w:rsidRPr="00E9644F">
          <w:rPr>
            <w:rStyle w:val="Hyperlink"/>
          </w:rPr>
          <w:t>https://www.gbif.org/en/ipt</w:t>
        </w:r>
      </w:hyperlink>
      <w:r w:rsidR="00E644A9" w:rsidRPr="00E9644F">
        <w:t>.  Accessed July 2025.</w:t>
      </w:r>
    </w:p>
    <w:p w14:paraId="6EB5A3F1" w14:textId="493D6A2D" w:rsidR="00D64A77" w:rsidRPr="00E9644F" w:rsidRDefault="00D64A77" w:rsidP="00E644A9">
      <w:pPr>
        <w:widowControl w:val="0"/>
        <w:autoSpaceDE w:val="0"/>
        <w:autoSpaceDN w:val="0"/>
        <w:adjustRightInd w:val="0"/>
        <w:spacing w:after="0" w:line="360" w:lineRule="auto"/>
        <w:ind w:left="630" w:hanging="630"/>
        <w:rPr>
          <w:rFonts w:ascii="Calibri" w:hAnsi="Calibri" w:cs="Calibri"/>
          <w:noProof/>
          <w:sz w:val="24"/>
        </w:rPr>
      </w:pPr>
      <w:r w:rsidRPr="00E9644F">
        <w:rPr>
          <w:rFonts w:ascii="Calibri" w:hAnsi="Calibri" w:cs="Calibri"/>
          <w:noProof/>
          <w:kern w:val="0"/>
          <w:sz w:val="24"/>
        </w:rPr>
        <w:t xml:space="preserve">21. </w:t>
      </w:r>
      <w:r w:rsidR="008F6CAC" w:rsidRPr="00E9644F">
        <w:rPr>
          <w:rFonts w:ascii="Calibri" w:hAnsi="Calibri" w:cs="Calibri"/>
          <w:noProof/>
          <w:kern w:val="0"/>
          <w:sz w:val="24"/>
        </w:rPr>
        <w:t xml:space="preserve">     </w:t>
      </w:r>
      <w:r w:rsidR="008F6CAC" w:rsidRPr="00E9644F">
        <w:rPr>
          <w:rFonts w:ascii="Calibri" w:hAnsi="Calibri" w:cs="Calibri"/>
          <w:color w:val="000000" w:themeColor="text1"/>
          <w:sz w:val="24"/>
          <w:szCs w:val="24"/>
          <w:shd w:val="clear" w:color="auto" w:fill="FFFFFF"/>
        </w:rPr>
        <w:t xml:space="preserve">Afrane Y A, Owusu-Asenso C M, Akuamoah-Boateng Y, Abdulai A, Mohammed Sabtui A R (2025). Phenotypic and Genotypic Insecticide Resistance Profiles of Aedes Mosquitoes </w:t>
      </w:r>
      <w:r w:rsidR="00F50F16" w:rsidRPr="00E9644F">
        <w:rPr>
          <w:rFonts w:ascii="Calibri" w:hAnsi="Calibri" w:cs="Calibri"/>
          <w:color w:val="000000" w:themeColor="text1"/>
          <w:sz w:val="24"/>
          <w:szCs w:val="24"/>
          <w:shd w:val="clear" w:color="auto" w:fill="FFFFFF"/>
        </w:rPr>
        <w:t>in</w:t>
      </w:r>
      <w:r w:rsidR="008F6CAC" w:rsidRPr="00E9644F">
        <w:rPr>
          <w:rFonts w:ascii="Calibri" w:hAnsi="Calibri" w:cs="Calibri"/>
          <w:color w:val="000000" w:themeColor="text1"/>
          <w:sz w:val="24"/>
          <w:szCs w:val="24"/>
          <w:shd w:val="clear" w:color="auto" w:fill="FFFFFF"/>
        </w:rPr>
        <w:t xml:space="preserve"> Ghana. University of Ghana Medical School. Occurrence dataset </w:t>
      </w:r>
      <w:hyperlink r:id="rId9" w:history="1">
        <w:r w:rsidR="008F6CAC" w:rsidRPr="00E9644F">
          <w:rPr>
            <w:rStyle w:val="Hyperlink"/>
            <w:rFonts w:ascii="Calibri" w:hAnsi="Calibri" w:cs="Calibri"/>
            <w:sz w:val="24"/>
            <w:szCs w:val="24"/>
            <w:shd w:val="clear" w:color="auto" w:fill="FFFFFF"/>
          </w:rPr>
          <w:t>https://doi.org/10.15468/ef5mry</w:t>
        </w:r>
      </w:hyperlink>
      <w:r w:rsidR="008F6CAC" w:rsidRPr="00E9644F">
        <w:rPr>
          <w:rFonts w:ascii="Calibri" w:hAnsi="Calibri" w:cs="Calibri"/>
          <w:color w:val="000000" w:themeColor="text1"/>
          <w:sz w:val="24"/>
          <w:szCs w:val="24"/>
          <w:shd w:val="clear" w:color="auto" w:fill="FFFFFF"/>
        </w:rPr>
        <w:t xml:space="preserve"> accessed via GBIF.org on 2025-09-12.</w:t>
      </w:r>
    </w:p>
    <w:p w14:paraId="57691171" w14:textId="58319769" w:rsidR="00E90284" w:rsidRPr="00055A2D" w:rsidRDefault="00E90284" w:rsidP="00F04FA1">
      <w:pPr>
        <w:pStyle w:val="EndNoteBibliography"/>
        <w:spacing w:after="0" w:line="360" w:lineRule="auto"/>
        <w:ind w:left="630" w:hanging="630"/>
        <w:rPr>
          <w:rFonts w:ascii="Times New Roman" w:hAnsi="Times New Roman" w:cs="Times New Roman"/>
          <w:b/>
          <w:bCs/>
          <w:sz w:val="24"/>
          <w:szCs w:val="24"/>
        </w:rPr>
      </w:pPr>
      <w:r w:rsidRPr="00E9644F">
        <w:rPr>
          <w:rFonts w:asciiTheme="minorHAnsi" w:hAnsiTheme="minorHAnsi" w:cstheme="minorHAnsi"/>
          <w:b/>
          <w:bCs/>
          <w:sz w:val="24"/>
          <w:szCs w:val="24"/>
        </w:rPr>
        <w:fldChar w:fldCharType="end"/>
      </w:r>
      <w:r w:rsidR="00592D02" w:rsidRPr="00592D02">
        <w:t xml:space="preserve"> </w:t>
      </w:r>
      <w:r w:rsidR="00592D02">
        <w:rPr>
          <w:rFonts w:ascii="Times New Roman" w:hAnsi="Times New Roman" w:cs="Times New Roman"/>
          <w:sz w:val="24"/>
          <w:szCs w:val="24"/>
        </w:rPr>
        <w:t xml:space="preserve"> </w:t>
      </w:r>
    </w:p>
    <w:sectPr w:rsidR="00E90284" w:rsidRPr="00055A2D" w:rsidSect="002C1893">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77D095" w14:textId="77777777" w:rsidR="00714019" w:rsidRDefault="00714019" w:rsidP="008640D1">
      <w:pPr>
        <w:spacing w:after="0" w:line="240" w:lineRule="auto"/>
      </w:pPr>
      <w:r>
        <w:separator/>
      </w:r>
    </w:p>
  </w:endnote>
  <w:endnote w:type="continuationSeparator" w:id="0">
    <w:p w14:paraId="4D3ED353" w14:textId="77777777" w:rsidR="00714019" w:rsidRDefault="00714019" w:rsidP="008640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4E2E8B" w14:textId="77777777" w:rsidR="00714019" w:rsidRDefault="00714019" w:rsidP="008640D1">
      <w:pPr>
        <w:spacing w:after="0" w:line="240" w:lineRule="auto"/>
      </w:pPr>
      <w:r>
        <w:separator/>
      </w:r>
    </w:p>
  </w:footnote>
  <w:footnote w:type="continuationSeparator" w:id="0">
    <w:p w14:paraId="243F94DF" w14:textId="77777777" w:rsidR="00714019" w:rsidRDefault="00714019" w:rsidP="008640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5867E9"/>
    <w:multiLevelType w:val="multilevel"/>
    <w:tmpl w:val="69AA4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291947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xMDC0sDC3NDY3MDQwMDdU0lEKTi0uzszPAykwrgUAJaCmmiwAAAA="/>
  </w:docVars>
  <w:rsids>
    <w:rsidRoot w:val="002D7076"/>
    <w:rsid w:val="000011FA"/>
    <w:rsid w:val="0000780D"/>
    <w:rsid w:val="00020CB1"/>
    <w:rsid w:val="00023E94"/>
    <w:rsid w:val="00032F79"/>
    <w:rsid w:val="0004312C"/>
    <w:rsid w:val="00055A2D"/>
    <w:rsid w:val="00055CC3"/>
    <w:rsid w:val="00057EAB"/>
    <w:rsid w:val="00066D77"/>
    <w:rsid w:val="00082AFA"/>
    <w:rsid w:val="000851F7"/>
    <w:rsid w:val="000A18A7"/>
    <w:rsid w:val="000C35E9"/>
    <w:rsid w:val="000D346F"/>
    <w:rsid w:val="000D5FE7"/>
    <w:rsid w:val="000E0B80"/>
    <w:rsid w:val="000E5FDB"/>
    <w:rsid w:val="000F08FD"/>
    <w:rsid w:val="000F3769"/>
    <w:rsid w:val="000F53B9"/>
    <w:rsid w:val="000F5FFC"/>
    <w:rsid w:val="00106495"/>
    <w:rsid w:val="00113C0E"/>
    <w:rsid w:val="0011406E"/>
    <w:rsid w:val="00124DB6"/>
    <w:rsid w:val="00125D2D"/>
    <w:rsid w:val="00125F13"/>
    <w:rsid w:val="00126D58"/>
    <w:rsid w:val="00130F5A"/>
    <w:rsid w:val="00136D75"/>
    <w:rsid w:val="0013776F"/>
    <w:rsid w:val="00141C2C"/>
    <w:rsid w:val="00147409"/>
    <w:rsid w:val="00152C3C"/>
    <w:rsid w:val="0016269D"/>
    <w:rsid w:val="001834B2"/>
    <w:rsid w:val="00187FE2"/>
    <w:rsid w:val="001B01B6"/>
    <w:rsid w:val="001B1BED"/>
    <w:rsid w:val="001B1C52"/>
    <w:rsid w:val="001B53DE"/>
    <w:rsid w:val="001C4757"/>
    <w:rsid w:val="001C5244"/>
    <w:rsid w:val="00211B94"/>
    <w:rsid w:val="00214EDC"/>
    <w:rsid w:val="00216673"/>
    <w:rsid w:val="0022413B"/>
    <w:rsid w:val="00226B7A"/>
    <w:rsid w:val="00227ED4"/>
    <w:rsid w:val="002301F2"/>
    <w:rsid w:val="00232580"/>
    <w:rsid w:val="002359C2"/>
    <w:rsid w:val="00241FE7"/>
    <w:rsid w:val="00244699"/>
    <w:rsid w:val="002447E0"/>
    <w:rsid w:val="002529A1"/>
    <w:rsid w:val="0025543C"/>
    <w:rsid w:val="00262A80"/>
    <w:rsid w:val="00267AE6"/>
    <w:rsid w:val="00293C1C"/>
    <w:rsid w:val="00293E98"/>
    <w:rsid w:val="00294B2D"/>
    <w:rsid w:val="002A2DEF"/>
    <w:rsid w:val="002B0E95"/>
    <w:rsid w:val="002B263E"/>
    <w:rsid w:val="002C1893"/>
    <w:rsid w:val="002C7460"/>
    <w:rsid w:val="002D7076"/>
    <w:rsid w:val="002E4046"/>
    <w:rsid w:val="002E4D22"/>
    <w:rsid w:val="002E59AD"/>
    <w:rsid w:val="002F5F4C"/>
    <w:rsid w:val="00300AE3"/>
    <w:rsid w:val="0030520C"/>
    <w:rsid w:val="0032141A"/>
    <w:rsid w:val="0032198D"/>
    <w:rsid w:val="003275BB"/>
    <w:rsid w:val="00360A38"/>
    <w:rsid w:val="00372788"/>
    <w:rsid w:val="00374BA9"/>
    <w:rsid w:val="00377003"/>
    <w:rsid w:val="00377AB5"/>
    <w:rsid w:val="0038252D"/>
    <w:rsid w:val="00396C22"/>
    <w:rsid w:val="00396EC3"/>
    <w:rsid w:val="003A0DAB"/>
    <w:rsid w:val="003A51FC"/>
    <w:rsid w:val="003C4C98"/>
    <w:rsid w:val="003C61C2"/>
    <w:rsid w:val="003D1DC9"/>
    <w:rsid w:val="003D2D81"/>
    <w:rsid w:val="003E24D1"/>
    <w:rsid w:val="003F1AEC"/>
    <w:rsid w:val="00410485"/>
    <w:rsid w:val="0041193D"/>
    <w:rsid w:val="004129FB"/>
    <w:rsid w:val="004246DA"/>
    <w:rsid w:val="00426CC2"/>
    <w:rsid w:val="00432ED4"/>
    <w:rsid w:val="004500DE"/>
    <w:rsid w:val="004531C1"/>
    <w:rsid w:val="00454947"/>
    <w:rsid w:val="00466DD7"/>
    <w:rsid w:val="0047465C"/>
    <w:rsid w:val="00491CF4"/>
    <w:rsid w:val="004970AE"/>
    <w:rsid w:val="004A15E8"/>
    <w:rsid w:val="004A601E"/>
    <w:rsid w:val="004B3452"/>
    <w:rsid w:val="004B450D"/>
    <w:rsid w:val="004C01DC"/>
    <w:rsid w:val="004C1A3D"/>
    <w:rsid w:val="004D2ACB"/>
    <w:rsid w:val="004D57A7"/>
    <w:rsid w:val="004E41E8"/>
    <w:rsid w:val="004E572D"/>
    <w:rsid w:val="004F0BB2"/>
    <w:rsid w:val="004F0F8D"/>
    <w:rsid w:val="004F292C"/>
    <w:rsid w:val="004F6D7A"/>
    <w:rsid w:val="00505F7C"/>
    <w:rsid w:val="005172E1"/>
    <w:rsid w:val="0053351B"/>
    <w:rsid w:val="005340B1"/>
    <w:rsid w:val="00535E27"/>
    <w:rsid w:val="00535F48"/>
    <w:rsid w:val="00540568"/>
    <w:rsid w:val="00547700"/>
    <w:rsid w:val="00547974"/>
    <w:rsid w:val="00547F74"/>
    <w:rsid w:val="00552EE7"/>
    <w:rsid w:val="00554C69"/>
    <w:rsid w:val="00560498"/>
    <w:rsid w:val="0056623A"/>
    <w:rsid w:val="00566FAC"/>
    <w:rsid w:val="005735C5"/>
    <w:rsid w:val="00574E42"/>
    <w:rsid w:val="005754CA"/>
    <w:rsid w:val="00576742"/>
    <w:rsid w:val="00584A7E"/>
    <w:rsid w:val="005869F6"/>
    <w:rsid w:val="00592D02"/>
    <w:rsid w:val="005A2049"/>
    <w:rsid w:val="005A4646"/>
    <w:rsid w:val="005A70A2"/>
    <w:rsid w:val="005D01F2"/>
    <w:rsid w:val="005D4605"/>
    <w:rsid w:val="005D7C18"/>
    <w:rsid w:val="005D7D42"/>
    <w:rsid w:val="005E3C1C"/>
    <w:rsid w:val="00604DCE"/>
    <w:rsid w:val="00614F8A"/>
    <w:rsid w:val="006262D3"/>
    <w:rsid w:val="006301F7"/>
    <w:rsid w:val="00630281"/>
    <w:rsid w:val="00654567"/>
    <w:rsid w:val="00656ECF"/>
    <w:rsid w:val="00670A0B"/>
    <w:rsid w:val="006715F1"/>
    <w:rsid w:val="0068293A"/>
    <w:rsid w:val="0069286F"/>
    <w:rsid w:val="0069293E"/>
    <w:rsid w:val="00694397"/>
    <w:rsid w:val="006A0A2D"/>
    <w:rsid w:val="006B28DB"/>
    <w:rsid w:val="006C449B"/>
    <w:rsid w:val="006C58AF"/>
    <w:rsid w:val="006E4198"/>
    <w:rsid w:val="006E54BA"/>
    <w:rsid w:val="006F1B0D"/>
    <w:rsid w:val="006F703B"/>
    <w:rsid w:val="00701CE2"/>
    <w:rsid w:val="00714019"/>
    <w:rsid w:val="00717171"/>
    <w:rsid w:val="0072097F"/>
    <w:rsid w:val="00731B63"/>
    <w:rsid w:val="00746F19"/>
    <w:rsid w:val="00752C42"/>
    <w:rsid w:val="007704F8"/>
    <w:rsid w:val="00770C3D"/>
    <w:rsid w:val="007733A7"/>
    <w:rsid w:val="007751D0"/>
    <w:rsid w:val="00776D5D"/>
    <w:rsid w:val="00776E00"/>
    <w:rsid w:val="0078720E"/>
    <w:rsid w:val="0079095E"/>
    <w:rsid w:val="007C0D38"/>
    <w:rsid w:val="007C5B55"/>
    <w:rsid w:val="007C7D80"/>
    <w:rsid w:val="007D0359"/>
    <w:rsid w:val="007D2DB9"/>
    <w:rsid w:val="007E3228"/>
    <w:rsid w:val="007E39F1"/>
    <w:rsid w:val="007E77BD"/>
    <w:rsid w:val="00802258"/>
    <w:rsid w:val="008042C6"/>
    <w:rsid w:val="0081301F"/>
    <w:rsid w:val="008158FB"/>
    <w:rsid w:val="0082415D"/>
    <w:rsid w:val="0082530C"/>
    <w:rsid w:val="00825AF0"/>
    <w:rsid w:val="00827611"/>
    <w:rsid w:val="00834233"/>
    <w:rsid w:val="00835BE3"/>
    <w:rsid w:val="00836E9E"/>
    <w:rsid w:val="008565C3"/>
    <w:rsid w:val="0086220D"/>
    <w:rsid w:val="008640D1"/>
    <w:rsid w:val="00870809"/>
    <w:rsid w:val="00871540"/>
    <w:rsid w:val="008773D4"/>
    <w:rsid w:val="00887271"/>
    <w:rsid w:val="0089653B"/>
    <w:rsid w:val="008A18B5"/>
    <w:rsid w:val="008A4305"/>
    <w:rsid w:val="008B035A"/>
    <w:rsid w:val="008D0F77"/>
    <w:rsid w:val="008D0FEA"/>
    <w:rsid w:val="008E19B5"/>
    <w:rsid w:val="008E42FC"/>
    <w:rsid w:val="008E54F9"/>
    <w:rsid w:val="008E56D3"/>
    <w:rsid w:val="008F2160"/>
    <w:rsid w:val="008F6CAC"/>
    <w:rsid w:val="009052C5"/>
    <w:rsid w:val="00910983"/>
    <w:rsid w:val="009151F5"/>
    <w:rsid w:val="00917D95"/>
    <w:rsid w:val="00925CBC"/>
    <w:rsid w:val="00934891"/>
    <w:rsid w:val="0094198E"/>
    <w:rsid w:val="00942ECA"/>
    <w:rsid w:val="00944D0E"/>
    <w:rsid w:val="00945B57"/>
    <w:rsid w:val="00961495"/>
    <w:rsid w:val="009633F9"/>
    <w:rsid w:val="0097192D"/>
    <w:rsid w:val="00972D43"/>
    <w:rsid w:val="00982BE6"/>
    <w:rsid w:val="0098442C"/>
    <w:rsid w:val="009858D5"/>
    <w:rsid w:val="00994378"/>
    <w:rsid w:val="009A59A2"/>
    <w:rsid w:val="009B6A1E"/>
    <w:rsid w:val="009D1183"/>
    <w:rsid w:val="009D54BA"/>
    <w:rsid w:val="009E2F22"/>
    <w:rsid w:val="009F0784"/>
    <w:rsid w:val="009F6B8D"/>
    <w:rsid w:val="00A10F75"/>
    <w:rsid w:val="00A11ADC"/>
    <w:rsid w:val="00A11FA9"/>
    <w:rsid w:val="00A235E9"/>
    <w:rsid w:val="00A36194"/>
    <w:rsid w:val="00A425B3"/>
    <w:rsid w:val="00A5405F"/>
    <w:rsid w:val="00A659A1"/>
    <w:rsid w:val="00A67AE4"/>
    <w:rsid w:val="00A67D2A"/>
    <w:rsid w:val="00A92B14"/>
    <w:rsid w:val="00A96A09"/>
    <w:rsid w:val="00AA360A"/>
    <w:rsid w:val="00AA624C"/>
    <w:rsid w:val="00AB3BA0"/>
    <w:rsid w:val="00AC6B76"/>
    <w:rsid w:val="00AC789E"/>
    <w:rsid w:val="00AE0637"/>
    <w:rsid w:val="00B45BE3"/>
    <w:rsid w:val="00B45FEC"/>
    <w:rsid w:val="00B53C1C"/>
    <w:rsid w:val="00B721ED"/>
    <w:rsid w:val="00B75838"/>
    <w:rsid w:val="00B76860"/>
    <w:rsid w:val="00B8210A"/>
    <w:rsid w:val="00B82A2A"/>
    <w:rsid w:val="00BA5C22"/>
    <w:rsid w:val="00BB02E6"/>
    <w:rsid w:val="00BC354C"/>
    <w:rsid w:val="00BD3F40"/>
    <w:rsid w:val="00BD4C90"/>
    <w:rsid w:val="00BE02D5"/>
    <w:rsid w:val="00BF3AC3"/>
    <w:rsid w:val="00C050DB"/>
    <w:rsid w:val="00C073C1"/>
    <w:rsid w:val="00C073EE"/>
    <w:rsid w:val="00C2581D"/>
    <w:rsid w:val="00C2666E"/>
    <w:rsid w:val="00C268B8"/>
    <w:rsid w:val="00C32436"/>
    <w:rsid w:val="00C3695A"/>
    <w:rsid w:val="00C420DF"/>
    <w:rsid w:val="00C43CAD"/>
    <w:rsid w:val="00C52705"/>
    <w:rsid w:val="00C54B35"/>
    <w:rsid w:val="00C700B3"/>
    <w:rsid w:val="00C76D87"/>
    <w:rsid w:val="00C77E67"/>
    <w:rsid w:val="00C80616"/>
    <w:rsid w:val="00C86D17"/>
    <w:rsid w:val="00C90F6A"/>
    <w:rsid w:val="00CA50DE"/>
    <w:rsid w:val="00CA5747"/>
    <w:rsid w:val="00CB7531"/>
    <w:rsid w:val="00CC722A"/>
    <w:rsid w:val="00CC7B11"/>
    <w:rsid w:val="00CE7C0C"/>
    <w:rsid w:val="00CF7E1A"/>
    <w:rsid w:val="00D01F15"/>
    <w:rsid w:val="00D02E70"/>
    <w:rsid w:val="00D13F85"/>
    <w:rsid w:val="00D223CF"/>
    <w:rsid w:val="00D32282"/>
    <w:rsid w:val="00D50B4A"/>
    <w:rsid w:val="00D54FA1"/>
    <w:rsid w:val="00D60B0A"/>
    <w:rsid w:val="00D64A77"/>
    <w:rsid w:val="00D73FE0"/>
    <w:rsid w:val="00D7787E"/>
    <w:rsid w:val="00D812CF"/>
    <w:rsid w:val="00D8176F"/>
    <w:rsid w:val="00DB7784"/>
    <w:rsid w:val="00DC275E"/>
    <w:rsid w:val="00DD45B9"/>
    <w:rsid w:val="00DD7954"/>
    <w:rsid w:val="00DF7040"/>
    <w:rsid w:val="00E14EB8"/>
    <w:rsid w:val="00E154B3"/>
    <w:rsid w:val="00E213D3"/>
    <w:rsid w:val="00E215D8"/>
    <w:rsid w:val="00E23162"/>
    <w:rsid w:val="00E25F00"/>
    <w:rsid w:val="00E2637C"/>
    <w:rsid w:val="00E347D9"/>
    <w:rsid w:val="00E3654E"/>
    <w:rsid w:val="00E36947"/>
    <w:rsid w:val="00E37424"/>
    <w:rsid w:val="00E4254E"/>
    <w:rsid w:val="00E508D1"/>
    <w:rsid w:val="00E6322E"/>
    <w:rsid w:val="00E6362E"/>
    <w:rsid w:val="00E644A9"/>
    <w:rsid w:val="00E66042"/>
    <w:rsid w:val="00E75640"/>
    <w:rsid w:val="00E76EDB"/>
    <w:rsid w:val="00E77853"/>
    <w:rsid w:val="00E80870"/>
    <w:rsid w:val="00E90284"/>
    <w:rsid w:val="00E90AE5"/>
    <w:rsid w:val="00E92472"/>
    <w:rsid w:val="00E9644F"/>
    <w:rsid w:val="00EA19C7"/>
    <w:rsid w:val="00EA7C74"/>
    <w:rsid w:val="00EC3349"/>
    <w:rsid w:val="00EC5CA1"/>
    <w:rsid w:val="00ED34EF"/>
    <w:rsid w:val="00EF119F"/>
    <w:rsid w:val="00EF2C5E"/>
    <w:rsid w:val="00EF703B"/>
    <w:rsid w:val="00EF739F"/>
    <w:rsid w:val="00F0068C"/>
    <w:rsid w:val="00F02ABF"/>
    <w:rsid w:val="00F04FA1"/>
    <w:rsid w:val="00F120EB"/>
    <w:rsid w:val="00F16520"/>
    <w:rsid w:val="00F2481F"/>
    <w:rsid w:val="00F34D46"/>
    <w:rsid w:val="00F443D1"/>
    <w:rsid w:val="00F45D02"/>
    <w:rsid w:val="00F50F16"/>
    <w:rsid w:val="00F51068"/>
    <w:rsid w:val="00F537E9"/>
    <w:rsid w:val="00F62AB8"/>
    <w:rsid w:val="00F646A9"/>
    <w:rsid w:val="00F66E17"/>
    <w:rsid w:val="00F72074"/>
    <w:rsid w:val="00F8327E"/>
    <w:rsid w:val="00FA1E97"/>
    <w:rsid w:val="00FA712D"/>
    <w:rsid w:val="00FC3A7B"/>
    <w:rsid w:val="00FC79FB"/>
    <w:rsid w:val="00FD2E00"/>
    <w:rsid w:val="00FD4093"/>
    <w:rsid w:val="00FD5418"/>
    <w:rsid w:val="00FE1EA9"/>
    <w:rsid w:val="00FF02CE"/>
    <w:rsid w:val="00FF4F1D"/>
    <w:rsid w:val="00FF76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240ABF"/>
  <w15:chartTrackingRefBased/>
  <w15:docId w15:val="{254F362F-6F54-4BA7-9D31-2DF5E1C0C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23CF"/>
  </w:style>
  <w:style w:type="paragraph" w:styleId="Heading1">
    <w:name w:val="heading 1"/>
    <w:basedOn w:val="Normal"/>
    <w:next w:val="Normal"/>
    <w:link w:val="Heading1Char"/>
    <w:uiPriority w:val="9"/>
    <w:qFormat/>
    <w:rsid w:val="002D7076"/>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unhideWhenUsed/>
    <w:qFormat/>
    <w:rsid w:val="002D7076"/>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2D7076"/>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unhideWhenUsed/>
    <w:qFormat/>
    <w:rsid w:val="002D7076"/>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2D7076"/>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2D707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707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707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707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7076"/>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rsid w:val="002D7076"/>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2D7076"/>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2D7076"/>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2D7076"/>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2D707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707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707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7076"/>
    <w:rPr>
      <w:rFonts w:eastAsiaTheme="majorEastAsia" w:cstheme="majorBidi"/>
      <w:color w:val="272727" w:themeColor="text1" w:themeTint="D8"/>
    </w:rPr>
  </w:style>
  <w:style w:type="paragraph" w:styleId="Title">
    <w:name w:val="Title"/>
    <w:basedOn w:val="Normal"/>
    <w:next w:val="Normal"/>
    <w:link w:val="TitleChar"/>
    <w:uiPriority w:val="10"/>
    <w:qFormat/>
    <w:rsid w:val="002D707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D707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D707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D707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D707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D7076"/>
    <w:rPr>
      <w:i/>
      <w:iCs/>
      <w:color w:val="404040" w:themeColor="text1" w:themeTint="BF"/>
    </w:rPr>
  </w:style>
  <w:style w:type="paragraph" w:styleId="ListParagraph">
    <w:name w:val="List Paragraph"/>
    <w:basedOn w:val="Normal"/>
    <w:uiPriority w:val="34"/>
    <w:qFormat/>
    <w:rsid w:val="002D7076"/>
    <w:pPr>
      <w:ind w:left="720"/>
      <w:contextualSpacing/>
    </w:pPr>
  </w:style>
  <w:style w:type="character" w:styleId="IntenseEmphasis">
    <w:name w:val="Intense Emphasis"/>
    <w:basedOn w:val="DefaultParagraphFont"/>
    <w:uiPriority w:val="21"/>
    <w:qFormat/>
    <w:rsid w:val="002D7076"/>
    <w:rPr>
      <w:i/>
      <w:iCs/>
      <w:color w:val="365F91" w:themeColor="accent1" w:themeShade="BF"/>
    </w:rPr>
  </w:style>
  <w:style w:type="paragraph" w:styleId="IntenseQuote">
    <w:name w:val="Intense Quote"/>
    <w:basedOn w:val="Normal"/>
    <w:next w:val="Normal"/>
    <w:link w:val="IntenseQuoteChar"/>
    <w:uiPriority w:val="30"/>
    <w:qFormat/>
    <w:rsid w:val="002D7076"/>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2D7076"/>
    <w:rPr>
      <w:i/>
      <w:iCs/>
      <w:color w:val="365F91" w:themeColor="accent1" w:themeShade="BF"/>
    </w:rPr>
  </w:style>
  <w:style w:type="character" w:styleId="IntenseReference">
    <w:name w:val="Intense Reference"/>
    <w:basedOn w:val="DefaultParagraphFont"/>
    <w:uiPriority w:val="32"/>
    <w:qFormat/>
    <w:rsid w:val="002D7076"/>
    <w:rPr>
      <w:b/>
      <w:bCs/>
      <w:smallCaps/>
      <w:color w:val="365F91" w:themeColor="accent1" w:themeShade="BF"/>
      <w:spacing w:val="5"/>
    </w:rPr>
  </w:style>
  <w:style w:type="character" w:styleId="LineNumber">
    <w:name w:val="line number"/>
    <w:basedOn w:val="DefaultParagraphFont"/>
    <w:uiPriority w:val="99"/>
    <w:semiHidden/>
    <w:unhideWhenUsed/>
    <w:rsid w:val="00752C42"/>
  </w:style>
  <w:style w:type="table" w:styleId="ListTable6Colorful">
    <w:name w:val="List Table 6 Colorful"/>
    <w:basedOn w:val="TableNormal"/>
    <w:uiPriority w:val="51"/>
    <w:rsid w:val="00746F19"/>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
    <w:name w:val="List Table 1 Light"/>
    <w:basedOn w:val="TableNormal"/>
    <w:uiPriority w:val="46"/>
    <w:rsid w:val="0082530C"/>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Header">
    <w:name w:val="header"/>
    <w:basedOn w:val="Normal"/>
    <w:link w:val="HeaderChar"/>
    <w:uiPriority w:val="99"/>
    <w:unhideWhenUsed/>
    <w:rsid w:val="008640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640D1"/>
  </w:style>
  <w:style w:type="paragraph" w:styleId="Footer">
    <w:name w:val="footer"/>
    <w:basedOn w:val="Normal"/>
    <w:link w:val="FooterChar"/>
    <w:uiPriority w:val="99"/>
    <w:unhideWhenUsed/>
    <w:rsid w:val="008640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640D1"/>
  </w:style>
  <w:style w:type="character" w:styleId="Hyperlink">
    <w:name w:val="Hyperlink"/>
    <w:basedOn w:val="DefaultParagraphFont"/>
    <w:uiPriority w:val="99"/>
    <w:unhideWhenUsed/>
    <w:rsid w:val="007D2DB9"/>
    <w:rPr>
      <w:color w:val="0000FF"/>
      <w:u w:val="single"/>
    </w:rPr>
  </w:style>
  <w:style w:type="paragraph" w:styleId="Caption">
    <w:name w:val="caption"/>
    <w:basedOn w:val="Normal"/>
    <w:next w:val="Normal"/>
    <w:uiPriority w:val="35"/>
    <w:unhideWhenUsed/>
    <w:qFormat/>
    <w:rsid w:val="004F292C"/>
    <w:pPr>
      <w:spacing w:line="240" w:lineRule="auto"/>
    </w:pPr>
    <w:rPr>
      <w:i/>
      <w:iCs/>
      <w:color w:val="1F497D" w:themeColor="text2"/>
      <w:kern w:val="0"/>
      <w:sz w:val="18"/>
      <w:szCs w:val="18"/>
      <w:lang w:val="en-GB"/>
      <w14:ligatures w14:val="none"/>
    </w:rPr>
  </w:style>
  <w:style w:type="character" w:customStyle="1" w:styleId="UnresolvedMention1">
    <w:name w:val="Unresolved Mention1"/>
    <w:basedOn w:val="DefaultParagraphFont"/>
    <w:uiPriority w:val="99"/>
    <w:semiHidden/>
    <w:unhideWhenUsed/>
    <w:rsid w:val="00871540"/>
    <w:rPr>
      <w:color w:val="605E5C"/>
      <w:shd w:val="clear" w:color="auto" w:fill="E1DFDD"/>
    </w:rPr>
  </w:style>
  <w:style w:type="character" w:customStyle="1" w:styleId="EndNoteBibliographyChar">
    <w:name w:val="EndNote Bibliography Char"/>
    <w:basedOn w:val="DefaultParagraphFont"/>
    <w:link w:val="EndNoteBibliography"/>
    <w:locked/>
    <w:rsid w:val="00592D02"/>
    <w:rPr>
      <w:rFonts w:ascii="Calibri" w:hAnsi="Calibri" w:cs="Calibri"/>
      <w:noProof/>
    </w:rPr>
  </w:style>
  <w:style w:type="paragraph" w:customStyle="1" w:styleId="EndNoteBibliography">
    <w:name w:val="EndNote Bibliography"/>
    <w:basedOn w:val="Normal"/>
    <w:link w:val="EndNoteBibliographyChar"/>
    <w:rsid w:val="00592D02"/>
    <w:pPr>
      <w:spacing w:after="160" w:line="240" w:lineRule="auto"/>
      <w:jc w:val="both"/>
    </w:pPr>
    <w:rPr>
      <w:rFonts w:ascii="Calibri" w:hAnsi="Calibri" w:cs="Calibri"/>
      <w:noProof/>
    </w:rPr>
  </w:style>
  <w:style w:type="paragraph" w:styleId="FootnoteText">
    <w:name w:val="footnote text"/>
    <w:basedOn w:val="Normal"/>
    <w:link w:val="FootnoteTextChar"/>
    <w:uiPriority w:val="99"/>
    <w:semiHidden/>
    <w:unhideWhenUsed/>
    <w:rsid w:val="00592D0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92D02"/>
    <w:rPr>
      <w:sz w:val="20"/>
      <w:szCs w:val="20"/>
    </w:rPr>
  </w:style>
  <w:style w:type="character" w:styleId="FootnoteReference">
    <w:name w:val="footnote reference"/>
    <w:basedOn w:val="DefaultParagraphFont"/>
    <w:uiPriority w:val="99"/>
    <w:semiHidden/>
    <w:unhideWhenUsed/>
    <w:rsid w:val="00592D02"/>
    <w:rPr>
      <w:vertAlign w:val="superscript"/>
    </w:rPr>
  </w:style>
  <w:style w:type="character" w:styleId="FollowedHyperlink">
    <w:name w:val="FollowedHyperlink"/>
    <w:basedOn w:val="DefaultParagraphFont"/>
    <w:uiPriority w:val="99"/>
    <w:semiHidden/>
    <w:unhideWhenUsed/>
    <w:rsid w:val="007D0359"/>
    <w:rPr>
      <w:color w:val="800080" w:themeColor="followedHyperlink"/>
      <w:u w:val="single"/>
    </w:rPr>
  </w:style>
  <w:style w:type="character" w:customStyle="1" w:styleId="anchor-text">
    <w:name w:val="anchor-text"/>
    <w:basedOn w:val="DefaultParagraphFont"/>
    <w:rsid w:val="0000780D"/>
  </w:style>
  <w:style w:type="character" w:styleId="CommentReference">
    <w:name w:val="annotation reference"/>
    <w:basedOn w:val="DefaultParagraphFont"/>
    <w:uiPriority w:val="99"/>
    <w:semiHidden/>
    <w:unhideWhenUsed/>
    <w:rsid w:val="00055CC3"/>
    <w:rPr>
      <w:sz w:val="16"/>
      <w:szCs w:val="16"/>
    </w:rPr>
  </w:style>
  <w:style w:type="paragraph" w:styleId="CommentText">
    <w:name w:val="annotation text"/>
    <w:basedOn w:val="Normal"/>
    <w:link w:val="CommentTextChar"/>
    <w:uiPriority w:val="99"/>
    <w:unhideWhenUsed/>
    <w:rsid w:val="00055CC3"/>
    <w:pPr>
      <w:spacing w:line="240" w:lineRule="auto"/>
    </w:pPr>
    <w:rPr>
      <w:sz w:val="20"/>
      <w:szCs w:val="20"/>
    </w:rPr>
  </w:style>
  <w:style w:type="character" w:customStyle="1" w:styleId="CommentTextChar">
    <w:name w:val="Comment Text Char"/>
    <w:basedOn w:val="DefaultParagraphFont"/>
    <w:link w:val="CommentText"/>
    <w:uiPriority w:val="99"/>
    <w:rsid w:val="00055CC3"/>
    <w:rPr>
      <w:sz w:val="20"/>
      <w:szCs w:val="20"/>
    </w:rPr>
  </w:style>
  <w:style w:type="paragraph" w:styleId="CommentSubject">
    <w:name w:val="annotation subject"/>
    <w:basedOn w:val="CommentText"/>
    <w:next w:val="CommentText"/>
    <w:link w:val="CommentSubjectChar"/>
    <w:uiPriority w:val="99"/>
    <w:semiHidden/>
    <w:unhideWhenUsed/>
    <w:rsid w:val="00055CC3"/>
    <w:rPr>
      <w:b/>
      <w:bCs/>
    </w:rPr>
  </w:style>
  <w:style w:type="character" w:customStyle="1" w:styleId="CommentSubjectChar">
    <w:name w:val="Comment Subject Char"/>
    <w:basedOn w:val="CommentTextChar"/>
    <w:link w:val="CommentSubject"/>
    <w:uiPriority w:val="99"/>
    <w:semiHidden/>
    <w:rsid w:val="00055CC3"/>
    <w:rPr>
      <w:b/>
      <w:bCs/>
      <w:sz w:val="20"/>
      <w:szCs w:val="20"/>
    </w:rPr>
  </w:style>
  <w:style w:type="paragraph" w:styleId="BalloonText">
    <w:name w:val="Balloon Text"/>
    <w:basedOn w:val="Normal"/>
    <w:link w:val="BalloonTextChar"/>
    <w:uiPriority w:val="99"/>
    <w:semiHidden/>
    <w:unhideWhenUsed/>
    <w:rsid w:val="00055C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55CC3"/>
    <w:rPr>
      <w:rFonts w:ascii="Segoe UI" w:hAnsi="Segoe UI" w:cs="Segoe UI"/>
      <w:sz w:val="18"/>
      <w:szCs w:val="18"/>
    </w:rPr>
  </w:style>
  <w:style w:type="paragraph" w:styleId="Revision">
    <w:name w:val="Revision"/>
    <w:hidden/>
    <w:uiPriority w:val="99"/>
    <w:semiHidden/>
    <w:rsid w:val="002529A1"/>
    <w:pPr>
      <w:spacing w:after="0" w:line="240" w:lineRule="auto"/>
    </w:pPr>
  </w:style>
  <w:style w:type="character" w:styleId="UnresolvedMention">
    <w:name w:val="Unresolved Mention"/>
    <w:basedOn w:val="DefaultParagraphFont"/>
    <w:uiPriority w:val="99"/>
    <w:semiHidden/>
    <w:unhideWhenUsed/>
    <w:rsid w:val="00E644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bif.org/en/ip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5468/ef5m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5221CC-0392-4A01-A17B-6A02AF6C2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Pages>
  <Words>10589</Words>
  <Characters>60361</Characters>
  <Application>Microsoft Office Word</Application>
  <DocSecurity>0</DocSecurity>
  <Lines>503</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Isaac Sun</dc:creator>
  <cp:keywords/>
  <dc:description/>
  <cp:lastModifiedBy>Christopher Mfum Owusu-Asenso</cp:lastModifiedBy>
  <cp:revision>3</cp:revision>
  <dcterms:created xsi:type="dcterms:W3CDTF">2025-09-18T11:57:00Z</dcterms:created>
  <dcterms:modified xsi:type="dcterms:W3CDTF">2025-09-22T14:04:00Z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8b729ff0-df7a-37aa-a6c1-587dd94352d1</vt:lpwstr>
  </property>
  <property fmtid="{D5CDD505-2E9C-101B-9397-08002B2CF9AE}" pid="24" name="Mendeley Citation Style_1">
    <vt:lpwstr>http://www.zotero.org/styles/ieee</vt:lpwstr>
  </property>
  <property fmtid="{D5CDD505-2E9C-101B-9397-08002B2CF9AE}" pid="25" name="GrammarlyDocumentId">
    <vt:lpwstr>e19a3be7-a58c-4c78-a8f1-f36572d29e19</vt:lpwstr>
  </property>
</Properties>
</file>