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50.xml" ContentType="application/vnd.openxmlformats-officedocument.drawingml.chart+xml"/>
  <Override PartName="/word/charts/colors50.xml" ContentType="application/vnd.ms-office.chartcolorstyle+xml"/>
  <Override PartName="/word/charts/style5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8C5692" w14:textId="29D06E60" w:rsidR="00D9123D" w:rsidRPr="00D9123D" w:rsidRDefault="00977C61" w:rsidP="00977C61">
      <w:pPr>
        <w:jc w:val="both"/>
        <w:rPr>
          <w:rFonts w:ascii="Times New Roman" w:hAnsi="Times New Roman" w:cs="Times New Roman"/>
          <w:sz w:val="24"/>
          <w:szCs w:val="24"/>
        </w:rPr>
      </w:pPr>
      <w:r w:rsidRPr="009A21E9">
        <w:rPr>
          <w:rFonts w:ascii="Times New Roman" w:hAnsi="Times New Roman" w:cs="Times New Roman"/>
          <w:b/>
          <w:sz w:val="28"/>
          <w:szCs w:val="28"/>
        </w:rPr>
        <w:t>Title</w:t>
      </w:r>
      <w:r w:rsidRPr="009A21E9">
        <w:rPr>
          <w:rFonts w:ascii="Times New Roman" w:hAnsi="Times New Roman" w:cs="Times New Roman"/>
          <w:sz w:val="28"/>
          <w:szCs w:val="28"/>
        </w:rPr>
        <w:t xml:space="preserve">: </w:t>
      </w:r>
      <w:r w:rsidR="00D9123D" w:rsidRPr="00D9123D">
        <w:rPr>
          <w:rFonts w:ascii="Times New Roman" w:hAnsi="Times New Roman" w:cs="Times New Roman"/>
          <w:sz w:val="24"/>
          <w:szCs w:val="24"/>
        </w:rPr>
        <w:t>Community Barriers, Perceptions, and Health-Seeking Behaviors within the One Health Approach in Six Priority Districts of Rwanda: A Descriptive Qualitative Study</w:t>
      </w:r>
    </w:p>
    <w:p w14:paraId="09566C4C" w14:textId="77777777" w:rsidR="00977C61" w:rsidRPr="009A21E9" w:rsidRDefault="00977C61" w:rsidP="00977C61">
      <w:pPr>
        <w:jc w:val="both"/>
        <w:rPr>
          <w:rFonts w:ascii="Times New Roman" w:hAnsi="Times New Roman" w:cs="Times New Roman"/>
          <w:sz w:val="28"/>
          <w:szCs w:val="28"/>
        </w:rPr>
      </w:pPr>
    </w:p>
    <w:p w14:paraId="53854898" w14:textId="1AAE389E" w:rsidR="00977C61" w:rsidRDefault="00977C61" w:rsidP="00977C61">
      <w:pPr>
        <w:pStyle w:val="Default"/>
        <w:rPr>
          <w:rFonts w:ascii="Times New Roman" w:hAnsi="Times New Roman" w:cs="Times New Roman"/>
          <w:color w:val="auto"/>
        </w:rPr>
      </w:pPr>
      <w:r w:rsidRPr="001A5144">
        <w:rPr>
          <w:rFonts w:ascii="Times New Roman" w:hAnsi="Times New Roman" w:cs="Times New Roman"/>
          <w:b/>
          <w:color w:val="auto"/>
          <w:sz w:val="28"/>
          <w:szCs w:val="28"/>
        </w:rPr>
        <w:t xml:space="preserve">Authors: </w:t>
      </w:r>
      <w:r w:rsidRPr="001A5144">
        <w:rPr>
          <w:rFonts w:ascii="Times New Roman" w:hAnsi="Times New Roman" w:cs="Times New Roman"/>
          <w:color w:val="auto"/>
          <w:sz w:val="28"/>
          <w:szCs w:val="28"/>
        </w:rPr>
        <w:t xml:space="preserve"> </w:t>
      </w:r>
      <w:r w:rsidRPr="001A5144">
        <w:rPr>
          <w:rFonts w:ascii="Times New Roman" w:hAnsi="Times New Roman" w:cs="Times New Roman"/>
          <w:color w:val="auto"/>
        </w:rPr>
        <w:t>Marie-Michelle Umulisa</w:t>
      </w:r>
      <w:r w:rsidRPr="001A5144">
        <w:rPr>
          <w:rFonts w:ascii="Times New Roman" w:hAnsi="Times New Roman" w:cs="Times New Roman"/>
          <w:color w:val="auto"/>
          <w:vertAlign w:val="superscript"/>
        </w:rPr>
        <w:t>1</w:t>
      </w:r>
      <w:r w:rsidRPr="001A5144">
        <w:rPr>
          <w:rFonts w:ascii="Times New Roman" w:hAnsi="Times New Roman" w:cs="Times New Roman"/>
          <w:color w:val="auto"/>
        </w:rPr>
        <w:t>, Leandre Ishema</w:t>
      </w:r>
      <w:r w:rsidRPr="001A5144">
        <w:rPr>
          <w:rFonts w:ascii="Times New Roman" w:hAnsi="Times New Roman" w:cs="Times New Roman"/>
          <w:color w:val="auto"/>
          <w:vertAlign w:val="superscript"/>
        </w:rPr>
        <w:t>2</w:t>
      </w:r>
      <w:r w:rsidRPr="001A5144">
        <w:rPr>
          <w:rFonts w:ascii="Times New Roman" w:hAnsi="Times New Roman" w:cs="Times New Roman"/>
          <w:color w:val="auto"/>
        </w:rPr>
        <w:t>,</w:t>
      </w:r>
      <w:r w:rsidR="00E8050B" w:rsidRPr="001A5144">
        <w:rPr>
          <w:rFonts w:ascii="Times New Roman" w:hAnsi="Times New Roman" w:cs="Times New Roman"/>
          <w:color w:val="auto"/>
        </w:rPr>
        <w:t xml:space="preserve"> Edson Rwagasore</w:t>
      </w:r>
      <w:r w:rsidR="00E8050B" w:rsidRPr="001A5144">
        <w:rPr>
          <w:rFonts w:ascii="Times New Roman" w:hAnsi="Times New Roman" w:cs="Times New Roman"/>
          <w:color w:val="auto"/>
          <w:vertAlign w:val="superscript"/>
        </w:rPr>
        <w:t>2</w:t>
      </w:r>
      <w:r w:rsidR="00E8050B" w:rsidRPr="001A5144">
        <w:rPr>
          <w:rFonts w:ascii="Times New Roman" w:hAnsi="Times New Roman" w:cs="Times New Roman"/>
          <w:color w:val="auto"/>
        </w:rPr>
        <w:t xml:space="preserve">, </w:t>
      </w:r>
      <w:r w:rsidR="004403F7" w:rsidRPr="001A5144">
        <w:rPr>
          <w:rFonts w:ascii="Times New Roman" w:hAnsi="Times New Roman" w:cs="Times New Roman"/>
          <w:color w:val="auto"/>
        </w:rPr>
        <w:t>Patrick Kayinamura Muhirwa</w:t>
      </w:r>
      <w:r w:rsidR="004403F7" w:rsidRPr="001A5144">
        <w:rPr>
          <w:rFonts w:ascii="Times New Roman" w:hAnsi="Times New Roman" w:cs="Times New Roman"/>
          <w:color w:val="auto"/>
          <w:vertAlign w:val="superscript"/>
        </w:rPr>
        <w:t>2</w:t>
      </w:r>
      <w:r w:rsidR="004403F7" w:rsidRPr="001A5144">
        <w:rPr>
          <w:rFonts w:ascii="Times New Roman" w:hAnsi="Times New Roman" w:cs="Times New Roman"/>
          <w:color w:val="auto"/>
        </w:rPr>
        <w:t>, O</w:t>
      </w:r>
      <w:r w:rsidRPr="001A5144">
        <w:rPr>
          <w:rFonts w:ascii="Times New Roman" w:hAnsi="Times New Roman" w:cs="Times New Roman"/>
          <w:color w:val="auto"/>
        </w:rPr>
        <w:t>dree Mugwaneza</w:t>
      </w:r>
      <w:r w:rsidRPr="001A5144">
        <w:rPr>
          <w:rFonts w:ascii="Times New Roman" w:hAnsi="Times New Roman" w:cs="Times New Roman"/>
          <w:color w:val="auto"/>
          <w:vertAlign w:val="superscript"/>
        </w:rPr>
        <w:t>1</w:t>
      </w:r>
      <w:r w:rsidRPr="001A5144">
        <w:rPr>
          <w:rFonts w:ascii="Times New Roman" w:hAnsi="Times New Roman" w:cs="Times New Roman"/>
          <w:color w:val="auto"/>
        </w:rPr>
        <w:t>, Roseline Dzekem Dine</w:t>
      </w:r>
      <w:r w:rsidRPr="001A5144">
        <w:rPr>
          <w:rFonts w:ascii="Times New Roman" w:hAnsi="Times New Roman" w:cs="Times New Roman"/>
          <w:color w:val="auto"/>
          <w:vertAlign w:val="superscript"/>
        </w:rPr>
        <w:t>1</w:t>
      </w:r>
      <w:r w:rsidRPr="001A5144">
        <w:rPr>
          <w:rFonts w:ascii="Times New Roman" w:hAnsi="Times New Roman" w:cs="Times New Roman"/>
          <w:color w:val="auto"/>
        </w:rPr>
        <w:t xml:space="preserve"> </w:t>
      </w:r>
    </w:p>
    <w:p w14:paraId="28BEBDF9" w14:textId="77777777" w:rsidR="001A5144" w:rsidRPr="001A5144" w:rsidRDefault="001A5144" w:rsidP="00977C61">
      <w:pPr>
        <w:pStyle w:val="Default"/>
        <w:rPr>
          <w:rFonts w:ascii="Times New Roman" w:hAnsi="Times New Roman" w:cs="Times New Roman"/>
          <w:color w:val="auto"/>
        </w:rPr>
      </w:pPr>
    </w:p>
    <w:p w14:paraId="3B3ED6C5" w14:textId="77777777" w:rsidR="00977C61" w:rsidRPr="001A5144" w:rsidRDefault="00977C61" w:rsidP="00977C61">
      <w:pPr>
        <w:pStyle w:val="Default"/>
        <w:rPr>
          <w:rFonts w:ascii="Times New Roman" w:hAnsi="Times New Roman" w:cs="Times New Roman"/>
          <w:color w:val="auto"/>
        </w:rPr>
      </w:pPr>
    </w:p>
    <w:p w14:paraId="74C21E74" w14:textId="47987E4C" w:rsidR="00977C61" w:rsidRPr="001A5144" w:rsidRDefault="00977C61" w:rsidP="00977C61">
      <w:pPr>
        <w:pStyle w:val="Default"/>
        <w:rPr>
          <w:rFonts w:ascii="Times New Roman" w:hAnsi="Times New Roman" w:cs="Times New Roman"/>
          <w:color w:val="auto"/>
        </w:rPr>
      </w:pPr>
      <w:r w:rsidRPr="001A5144">
        <w:rPr>
          <w:rFonts w:ascii="Times New Roman" w:hAnsi="Times New Roman" w:cs="Times New Roman"/>
          <w:color w:val="auto"/>
        </w:rPr>
        <w:t>1. Rinda Ubuzima</w:t>
      </w:r>
      <w:r w:rsidR="00E8050B" w:rsidRPr="001A5144">
        <w:rPr>
          <w:rFonts w:ascii="Times New Roman" w:hAnsi="Times New Roman" w:cs="Times New Roman"/>
          <w:color w:val="auto"/>
        </w:rPr>
        <w:t xml:space="preserve"> </w:t>
      </w:r>
      <w:r w:rsidRPr="001A5144">
        <w:rPr>
          <w:rFonts w:ascii="Times New Roman" w:hAnsi="Times New Roman" w:cs="Times New Roman"/>
          <w:color w:val="auto"/>
        </w:rPr>
        <w:t xml:space="preserve">- Kigali, Rwanda </w:t>
      </w:r>
    </w:p>
    <w:p w14:paraId="56172EA4" w14:textId="61067ADC" w:rsidR="00977C61" w:rsidRPr="001A5144" w:rsidRDefault="00977C61" w:rsidP="00977C61">
      <w:pPr>
        <w:pStyle w:val="Default"/>
        <w:rPr>
          <w:rFonts w:ascii="Times New Roman" w:hAnsi="Times New Roman" w:cs="Times New Roman"/>
          <w:color w:val="auto"/>
        </w:rPr>
      </w:pPr>
      <w:r w:rsidRPr="001A5144">
        <w:rPr>
          <w:rFonts w:ascii="Times New Roman" w:hAnsi="Times New Roman" w:cs="Times New Roman"/>
          <w:color w:val="auto"/>
        </w:rPr>
        <w:t>2. Rwanda Biomedical Centre</w:t>
      </w:r>
      <w:r w:rsidR="00E8050B" w:rsidRPr="001A5144">
        <w:rPr>
          <w:rFonts w:ascii="Times New Roman" w:hAnsi="Times New Roman" w:cs="Times New Roman"/>
          <w:color w:val="auto"/>
        </w:rPr>
        <w:t xml:space="preserve"> -</w:t>
      </w:r>
      <w:r w:rsidRPr="001A5144">
        <w:rPr>
          <w:rFonts w:ascii="Times New Roman" w:hAnsi="Times New Roman" w:cs="Times New Roman"/>
          <w:color w:val="auto"/>
        </w:rPr>
        <w:t xml:space="preserve"> </w:t>
      </w:r>
      <w:r w:rsidR="00E8050B" w:rsidRPr="001A5144">
        <w:rPr>
          <w:rFonts w:ascii="Times New Roman" w:hAnsi="Times New Roman" w:cs="Times New Roman"/>
          <w:color w:val="auto"/>
        </w:rPr>
        <w:t>Kigali, Rwanda</w:t>
      </w:r>
    </w:p>
    <w:p w14:paraId="50A439B7" w14:textId="15990C27" w:rsidR="00E8050B" w:rsidRDefault="00E8050B" w:rsidP="00977C61">
      <w:pPr>
        <w:pStyle w:val="Default"/>
        <w:rPr>
          <w:rFonts w:ascii="Times New Roman" w:hAnsi="Times New Roman" w:cs="Times New Roman"/>
          <w:color w:val="auto"/>
        </w:rPr>
      </w:pPr>
    </w:p>
    <w:p w14:paraId="4BB6E434" w14:textId="77777777" w:rsidR="00C63944" w:rsidRPr="001A5144" w:rsidRDefault="00C63944" w:rsidP="00977C61">
      <w:pPr>
        <w:pStyle w:val="Default"/>
        <w:rPr>
          <w:rFonts w:ascii="Times New Roman" w:hAnsi="Times New Roman" w:cs="Times New Roman"/>
          <w:color w:val="auto"/>
        </w:rPr>
      </w:pPr>
      <w:bookmarkStart w:id="0" w:name="_GoBack"/>
      <w:bookmarkEnd w:id="0"/>
    </w:p>
    <w:p w14:paraId="424636B9" w14:textId="77777777" w:rsidR="001A5144" w:rsidRDefault="001A5144" w:rsidP="001A5144">
      <w:pPr>
        <w:spacing w:after="400"/>
        <w:rPr>
          <w:iCs/>
        </w:rPr>
      </w:pPr>
    </w:p>
    <w:p w14:paraId="0FD57179" w14:textId="0628B752" w:rsidR="00977C61" w:rsidRDefault="00E8050B" w:rsidP="001A5144">
      <w:pPr>
        <w:spacing w:after="400"/>
        <w:rPr>
          <w:rFonts w:ascii="Times New Roman" w:hAnsi="Times New Roman" w:cs="Times New Roman"/>
          <w:iCs/>
          <w:sz w:val="24"/>
          <w:szCs w:val="24"/>
        </w:rPr>
      </w:pPr>
      <w:r w:rsidRPr="001A5144">
        <w:rPr>
          <w:rFonts w:ascii="Times New Roman" w:hAnsi="Times New Roman" w:cs="Times New Roman"/>
          <w:b/>
          <w:iCs/>
          <w:sz w:val="24"/>
          <w:szCs w:val="24"/>
        </w:rPr>
        <w:t>Corresponding author</w:t>
      </w:r>
      <w:r w:rsidRPr="001A5144">
        <w:rPr>
          <w:rFonts w:ascii="Times New Roman" w:hAnsi="Times New Roman" w:cs="Times New Roman"/>
          <w:iCs/>
          <w:sz w:val="24"/>
          <w:szCs w:val="24"/>
        </w:rPr>
        <w:t xml:space="preserve">: </w:t>
      </w:r>
      <w:r w:rsidR="004403F7" w:rsidRPr="001A5144">
        <w:rPr>
          <w:rFonts w:ascii="Times New Roman" w:hAnsi="Times New Roman" w:cs="Times New Roman"/>
          <w:sz w:val="24"/>
          <w:szCs w:val="24"/>
        </w:rPr>
        <w:t>Roseline Dzekem Dine</w:t>
      </w:r>
      <w:r w:rsidR="001A5144" w:rsidRPr="001A5144">
        <w:rPr>
          <w:rFonts w:ascii="Times New Roman" w:hAnsi="Times New Roman" w:cs="Times New Roman"/>
          <w:sz w:val="24"/>
          <w:szCs w:val="24"/>
        </w:rPr>
        <w:t xml:space="preserve">, </w:t>
      </w:r>
      <w:hyperlink r:id="rId6" w:history="1">
        <w:r w:rsidR="001A5144" w:rsidRPr="001A5144">
          <w:rPr>
            <w:rStyle w:val="Hyperlink"/>
            <w:rFonts w:ascii="Times New Roman" w:hAnsi="Times New Roman" w:cs="Times New Roman"/>
            <w:iCs/>
            <w:sz w:val="24"/>
            <w:szCs w:val="24"/>
          </w:rPr>
          <w:t>dineroselinedzekem@gmail.com</w:t>
        </w:r>
      </w:hyperlink>
      <w:r w:rsidR="001A5144" w:rsidRPr="001A5144">
        <w:rPr>
          <w:rFonts w:ascii="Times New Roman" w:hAnsi="Times New Roman" w:cs="Times New Roman"/>
          <w:iCs/>
          <w:sz w:val="24"/>
          <w:szCs w:val="24"/>
        </w:rPr>
        <w:t xml:space="preserve"> </w:t>
      </w:r>
      <w:r w:rsidRPr="001A5144">
        <w:rPr>
          <w:rFonts w:ascii="Times New Roman" w:hAnsi="Times New Roman" w:cs="Times New Roman"/>
          <w:iCs/>
          <w:sz w:val="24"/>
          <w:szCs w:val="24"/>
        </w:rPr>
        <w:t>,</w:t>
      </w:r>
      <w:r w:rsidR="001A5144" w:rsidRPr="001A5144">
        <w:rPr>
          <w:rFonts w:ascii="Times New Roman" w:hAnsi="Times New Roman" w:cs="Times New Roman"/>
          <w:iCs/>
          <w:sz w:val="24"/>
          <w:szCs w:val="24"/>
        </w:rPr>
        <w:t xml:space="preserve"> </w:t>
      </w:r>
      <w:r w:rsidR="004403F7" w:rsidRPr="001A5144">
        <w:rPr>
          <w:rFonts w:ascii="Times New Roman" w:hAnsi="Times New Roman" w:cs="Times New Roman"/>
          <w:iCs/>
          <w:sz w:val="24"/>
          <w:szCs w:val="24"/>
        </w:rPr>
        <w:t>Rinda Ubuzima</w:t>
      </w:r>
      <w:r w:rsidR="001A5144" w:rsidRPr="001A5144">
        <w:rPr>
          <w:rFonts w:ascii="Times New Roman" w:hAnsi="Times New Roman" w:cs="Times New Roman"/>
          <w:iCs/>
          <w:sz w:val="24"/>
          <w:szCs w:val="24"/>
        </w:rPr>
        <w:t>, Kigali, Rwanda</w:t>
      </w:r>
    </w:p>
    <w:p w14:paraId="630D84C7" w14:textId="18ABA4C8" w:rsidR="001A5144" w:rsidRDefault="001A5144" w:rsidP="001A5144">
      <w:pPr>
        <w:spacing w:after="400"/>
        <w:rPr>
          <w:rFonts w:ascii="Times New Roman" w:hAnsi="Times New Roman" w:cs="Times New Roman"/>
          <w:iCs/>
          <w:sz w:val="24"/>
          <w:szCs w:val="24"/>
        </w:rPr>
      </w:pPr>
    </w:p>
    <w:p w14:paraId="0BDD4202" w14:textId="423A06CA" w:rsidR="001A5144" w:rsidRDefault="001A5144" w:rsidP="001A5144">
      <w:pPr>
        <w:spacing w:after="400"/>
        <w:rPr>
          <w:rFonts w:ascii="Times New Roman" w:hAnsi="Times New Roman" w:cs="Times New Roman"/>
          <w:iCs/>
          <w:sz w:val="24"/>
          <w:szCs w:val="24"/>
        </w:rPr>
      </w:pPr>
    </w:p>
    <w:p w14:paraId="472358D6" w14:textId="3213E156" w:rsidR="001A5144" w:rsidRDefault="001A5144" w:rsidP="001A5144">
      <w:pPr>
        <w:spacing w:after="400"/>
        <w:rPr>
          <w:rFonts w:ascii="Times New Roman" w:hAnsi="Times New Roman" w:cs="Times New Roman"/>
          <w:iCs/>
          <w:sz w:val="24"/>
          <w:szCs w:val="24"/>
        </w:rPr>
      </w:pPr>
    </w:p>
    <w:p w14:paraId="3FB860AE" w14:textId="1F61D525" w:rsidR="001A5144" w:rsidRDefault="001A5144" w:rsidP="001A5144">
      <w:pPr>
        <w:spacing w:after="400"/>
        <w:rPr>
          <w:rFonts w:ascii="Times New Roman" w:hAnsi="Times New Roman" w:cs="Times New Roman"/>
          <w:iCs/>
          <w:sz w:val="24"/>
          <w:szCs w:val="24"/>
        </w:rPr>
      </w:pPr>
    </w:p>
    <w:p w14:paraId="073AAF6E" w14:textId="7168D145" w:rsidR="001A5144" w:rsidRDefault="001A5144" w:rsidP="001A5144">
      <w:pPr>
        <w:spacing w:after="400"/>
        <w:rPr>
          <w:rFonts w:ascii="Times New Roman" w:hAnsi="Times New Roman" w:cs="Times New Roman"/>
          <w:iCs/>
          <w:sz w:val="24"/>
          <w:szCs w:val="24"/>
        </w:rPr>
      </w:pPr>
    </w:p>
    <w:p w14:paraId="5D313AC0" w14:textId="44A7CD2A" w:rsidR="001A5144" w:rsidRDefault="001A5144" w:rsidP="001A5144">
      <w:pPr>
        <w:spacing w:after="400"/>
        <w:rPr>
          <w:rFonts w:ascii="Times New Roman" w:hAnsi="Times New Roman" w:cs="Times New Roman"/>
          <w:iCs/>
          <w:sz w:val="24"/>
          <w:szCs w:val="24"/>
        </w:rPr>
      </w:pPr>
    </w:p>
    <w:p w14:paraId="74768FEF" w14:textId="037CAF33" w:rsidR="001A5144" w:rsidRDefault="001A5144" w:rsidP="001A5144">
      <w:pPr>
        <w:spacing w:after="400"/>
        <w:rPr>
          <w:rFonts w:ascii="Times New Roman" w:hAnsi="Times New Roman" w:cs="Times New Roman"/>
          <w:iCs/>
          <w:sz w:val="24"/>
          <w:szCs w:val="24"/>
        </w:rPr>
      </w:pPr>
    </w:p>
    <w:p w14:paraId="6159F63E" w14:textId="534883A3" w:rsidR="001A5144" w:rsidRDefault="001A5144" w:rsidP="001A5144">
      <w:pPr>
        <w:spacing w:after="400"/>
        <w:rPr>
          <w:rFonts w:ascii="Times New Roman" w:hAnsi="Times New Roman" w:cs="Times New Roman"/>
          <w:iCs/>
          <w:sz w:val="24"/>
          <w:szCs w:val="24"/>
        </w:rPr>
      </w:pPr>
    </w:p>
    <w:p w14:paraId="1FEED943" w14:textId="29119909" w:rsidR="001A5144" w:rsidRDefault="001A5144" w:rsidP="001A5144">
      <w:pPr>
        <w:spacing w:after="400"/>
        <w:rPr>
          <w:rFonts w:ascii="Times New Roman" w:hAnsi="Times New Roman" w:cs="Times New Roman"/>
          <w:iCs/>
          <w:sz w:val="24"/>
          <w:szCs w:val="24"/>
        </w:rPr>
      </w:pPr>
    </w:p>
    <w:p w14:paraId="2328C2DE" w14:textId="6DC874E5" w:rsidR="001A5144" w:rsidRDefault="001A5144" w:rsidP="001A5144">
      <w:pPr>
        <w:spacing w:after="400"/>
        <w:rPr>
          <w:rFonts w:ascii="Times New Roman" w:hAnsi="Times New Roman" w:cs="Times New Roman"/>
          <w:iCs/>
          <w:sz w:val="24"/>
          <w:szCs w:val="24"/>
        </w:rPr>
      </w:pPr>
    </w:p>
    <w:p w14:paraId="0843AB19" w14:textId="0939476F" w:rsidR="001A5144" w:rsidRPr="001A5144" w:rsidRDefault="001A5144" w:rsidP="001A5144">
      <w:pPr>
        <w:spacing w:after="400"/>
        <w:rPr>
          <w:rFonts w:ascii="Times New Roman" w:hAnsi="Times New Roman" w:cs="Times New Roman"/>
          <w:b/>
          <w:sz w:val="32"/>
          <w:szCs w:val="32"/>
        </w:rPr>
      </w:pPr>
      <w:r w:rsidRPr="001A5144">
        <w:rPr>
          <w:rFonts w:ascii="Times New Roman" w:hAnsi="Times New Roman" w:cs="Times New Roman"/>
          <w:b/>
          <w:iCs/>
          <w:sz w:val="32"/>
          <w:szCs w:val="32"/>
        </w:rPr>
        <w:t xml:space="preserve">Abstract </w:t>
      </w:r>
    </w:p>
    <w:p w14:paraId="0A6EEFC6" w14:textId="77777777" w:rsidR="00977C61" w:rsidRPr="003E49EC" w:rsidRDefault="00977C61" w:rsidP="00977C61">
      <w:pPr>
        <w:jc w:val="both"/>
        <w:rPr>
          <w:rFonts w:ascii="Times New Roman" w:eastAsia="Times New Roman" w:hAnsi="Times New Roman" w:cs="Times New Roman"/>
          <w:sz w:val="24"/>
          <w:szCs w:val="24"/>
        </w:rPr>
      </w:pPr>
      <w:r w:rsidRPr="003E49EC">
        <w:rPr>
          <w:rFonts w:ascii="Times New Roman" w:hAnsi="Times New Roman" w:cs="Times New Roman"/>
          <w:b/>
          <w:sz w:val="28"/>
          <w:szCs w:val="28"/>
        </w:rPr>
        <w:t>Background</w:t>
      </w:r>
      <w:r w:rsidRPr="003E49EC">
        <w:rPr>
          <w:rFonts w:ascii="Times New Roman" w:hAnsi="Times New Roman" w:cs="Times New Roman"/>
          <w:sz w:val="24"/>
          <w:szCs w:val="24"/>
        </w:rPr>
        <w:t xml:space="preserve">: </w:t>
      </w:r>
      <w:r w:rsidRPr="003E49EC">
        <w:rPr>
          <w:rFonts w:ascii="Times New Roman" w:eastAsia="Times New Roman" w:hAnsi="Times New Roman" w:cs="Times New Roman"/>
          <w:sz w:val="24"/>
          <w:szCs w:val="24"/>
        </w:rPr>
        <w:t>Rwanda’s health security can only be strengthened through integrated One Health approaches that link human, animal, and environmental health. Emerging</w:t>
      </w:r>
      <w:r>
        <w:rPr>
          <w:rFonts w:ascii="Times New Roman" w:eastAsia="Times New Roman" w:hAnsi="Times New Roman" w:cs="Times New Roman"/>
          <w:sz w:val="24"/>
          <w:szCs w:val="24"/>
        </w:rPr>
        <w:t xml:space="preserve"> health threats </w:t>
      </w:r>
      <w:r>
        <w:rPr>
          <w:rFonts w:ascii="Times New Roman" w:eastAsia="Times New Roman" w:hAnsi="Times New Roman" w:cs="Times New Roman"/>
          <w:sz w:val="24"/>
          <w:szCs w:val="24"/>
        </w:rPr>
        <w:lastRenderedPageBreak/>
        <w:t xml:space="preserve">such as the </w:t>
      </w:r>
      <w:r w:rsidRPr="003E49EC">
        <w:rPr>
          <w:rFonts w:ascii="Times New Roman" w:eastAsia="Times New Roman" w:hAnsi="Times New Roman" w:cs="Times New Roman"/>
          <w:sz w:val="24"/>
          <w:szCs w:val="24"/>
        </w:rPr>
        <w:t>Marburg Vi</w:t>
      </w:r>
      <w:r>
        <w:rPr>
          <w:rFonts w:ascii="Times New Roman" w:eastAsia="Times New Roman" w:hAnsi="Times New Roman" w:cs="Times New Roman"/>
          <w:sz w:val="24"/>
          <w:szCs w:val="24"/>
        </w:rPr>
        <w:t xml:space="preserve">rus highlight the urgency, yet </w:t>
      </w:r>
      <w:r w:rsidRPr="003E49EC">
        <w:rPr>
          <w:rFonts w:ascii="Times New Roman" w:eastAsia="Times New Roman" w:hAnsi="Times New Roman" w:cs="Times New Roman"/>
          <w:sz w:val="24"/>
          <w:szCs w:val="24"/>
        </w:rPr>
        <w:t xml:space="preserve">fragmented systems, weak coordination, </w:t>
      </w:r>
      <w:r>
        <w:rPr>
          <w:rFonts w:ascii="Times New Roman" w:eastAsia="Times New Roman" w:hAnsi="Times New Roman" w:cs="Times New Roman"/>
          <w:sz w:val="24"/>
          <w:szCs w:val="24"/>
        </w:rPr>
        <w:t xml:space="preserve">and </w:t>
      </w:r>
      <w:r w:rsidRPr="003E49EC">
        <w:rPr>
          <w:rFonts w:ascii="Times New Roman" w:eastAsia="Times New Roman" w:hAnsi="Times New Roman" w:cs="Times New Roman"/>
          <w:sz w:val="24"/>
          <w:szCs w:val="24"/>
        </w:rPr>
        <w:t>behavioral barriers continue to constrain resilience. Thus, we assess</w:t>
      </w:r>
      <w:r>
        <w:rPr>
          <w:rFonts w:ascii="Times New Roman" w:eastAsia="Times New Roman" w:hAnsi="Times New Roman" w:cs="Times New Roman"/>
          <w:sz w:val="24"/>
          <w:szCs w:val="24"/>
        </w:rPr>
        <w:t>ed</w:t>
      </w:r>
      <w:r w:rsidRPr="003E49EC">
        <w:rPr>
          <w:rFonts w:ascii="Times New Roman" w:eastAsia="Times New Roman" w:hAnsi="Times New Roman" w:cs="Times New Roman"/>
          <w:sz w:val="24"/>
          <w:szCs w:val="24"/>
        </w:rPr>
        <w:t xml:space="preserve"> behavioral, social, and systemic determinants influencing community resilience, outbreak preparedness, and response, using the Human Belief Model (HBM) and the Social Ecological Model (SEM) to generate actionable evidence for strengthening One Health integration, health system performance, and risk communication strategies for effective disease prevention and outbreak mitigation in Rwanda. </w:t>
      </w:r>
    </w:p>
    <w:p w14:paraId="5CF136FA" w14:textId="756FB7E4" w:rsidR="00977C61" w:rsidRPr="003E49EC" w:rsidRDefault="00977C61" w:rsidP="00977C61">
      <w:pPr>
        <w:jc w:val="both"/>
        <w:rPr>
          <w:rFonts w:ascii="Times New Roman" w:hAnsi="Times New Roman" w:cs="Times New Roman"/>
          <w:b/>
          <w:sz w:val="24"/>
          <w:szCs w:val="24"/>
        </w:rPr>
      </w:pPr>
      <w:r w:rsidRPr="003E49EC">
        <w:rPr>
          <w:rFonts w:ascii="Times New Roman" w:hAnsi="Times New Roman" w:cs="Times New Roman"/>
          <w:b/>
          <w:sz w:val="28"/>
          <w:szCs w:val="28"/>
        </w:rPr>
        <w:t>Methods</w:t>
      </w:r>
      <w:r w:rsidRPr="003E49EC">
        <w:rPr>
          <w:rFonts w:ascii="Times New Roman" w:hAnsi="Times New Roman" w:cs="Times New Roman"/>
          <w:sz w:val="24"/>
          <w:szCs w:val="24"/>
        </w:rPr>
        <w:t xml:space="preserve">: </w:t>
      </w:r>
      <w:r w:rsidRPr="00577BC0">
        <w:rPr>
          <w:rFonts w:ascii="Times New Roman" w:eastAsia="Times New Roman" w:hAnsi="Times New Roman" w:cs="Times New Roman"/>
          <w:sz w:val="24"/>
          <w:szCs w:val="24"/>
        </w:rPr>
        <w:t>Our descriptive qualitative assessment included participants from Rulindo, Kayonza, Nyanza, Rusizi, Rubavu, and Nyaruguru districts of Rwanda. We had six IDIs per district and two FGDs per district. Participants were selected from all domains of life, ensuring inclusivity</w:t>
      </w:r>
      <w:r w:rsidR="00D9123D">
        <w:rPr>
          <w:rFonts w:ascii="Times New Roman" w:eastAsia="Times New Roman" w:hAnsi="Times New Roman" w:cs="Times New Roman"/>
          <w:sz w:val="24"/>
          <w:szCs w:val="24"/>
        </w:rPr>
        <w:t>,</w:t>
      </w:r>
      <w:r w:rsidRPr="00577BC0">
        <w:rPr>
          <w:rFonts w:ascii="Times New Roman" w:eastAsia="Times New Roman" w:hAnsi="Times New Roman" w:cs="Times New Roman"/>
          <w:sz w:val="24"/>
          <w:szCs w:val="24"/>
        </w:rPr>
        <w:t xml:space="preserve"> while data collection was carried</w:t>
      </w:r>
      <w:r w:rsidR="00D9123D">
        <w:rPr>
          <w:rFonts w:ascii="Times New Roman" w:eastAsia="Times New Roman" w:hAnsi="Times New Roman" w:cs="Times New Roman"/>
          <w:sz w:val="24"/>
          <w:szCs w:val="24"/>
        </w:rPr>
        <w:t xml:space="preserve"> out in </w:t>
      </w:r>
      <w:r w:rsidRPr="00577BC0">
        <w:rPr>
          <w:rFonts w:ascii="Times New Roman" w:eastAsia="Times New Roman" w:hAnsi="Times New Roman" w:cs="Times New Roman"/>
          <w:sz w:val="24"/>
          <w:szCs w:val="24"/>
        </w:rPr>
        <w:t xml:space="preserve">October 2025. We conducted weekly debriefing meetings, which enabled us to familiarize ourselves with the data. Using Dedoose for data coding, </w:t>
      </w:r>
      <w:r>
        <w:rPr>
          <w:rFonts w:ascii="Times New Roman" w:eastAsia="Times New Roman" w:hAnsi="Times New Roman" w:cs="Times New Roman"/>
          <w:sz w:val="24"/>
          <w:szCs w:val="24"/>
        </w:rPr>
        <w:t xml:space="preserve">results were </w:t>
      </w:r>
      <w:r w:rsidRPr="00577BC0">
        <w:rPr>
          <w:rFonts w:ascii="Times New Roman" w:eastAsia="Times New Roman" w:hAnsi="Times New Roman" w:cs="Times New Roman"/>
          <w:sz w:val="24"/>
          <w:szCs w:val="24"/>
        </w:rPr>
        <w:t>presented according to themes, while indicating areas of convergence.</w:t>
      </w:r>
      <w:r w:rsidRPr="00B72736">
        <w:rPr>
          <w:rFonts w:ascii="Times New Roman" w:eastAsia="Times New Roman" w:hAnsi="Times New Roman" w:cs="Times New Roman"/>
          <w:sz w:val="28"/>
          <w:szCs w:val="28"/>
        </w:rPr>
        <w:t xml:space="preserve"> </w:t>
      </w:r>
      <w:r w:rsidRPr="003E49EC">
        <w:rPr>
          <w:rFonts w:ascii="Times New Roman" w:eastAsia="Times New Roman" w:hAnsi="Times New Roman" w:cs="Times New Roman"/>
          <w:sz w:val="24"/>
          <w:szCs w:val="24"/>
        </w:rPr>
        <w:t>We received ethical approval for this study from the Rwanda National Ethics Committee (IRB00001497 of IORG0001100).</w:t>
      </w:r>
    </w:p>
    <w:p w14:paraId="2CD6E991" w14:textId="77777777" w:rsidR="00977C61" w:rsidRPr="00C63C67" w:rsidRDefault="00977C61" w:rsidP="00977C61">
      <w:pPr>
        <w:jc w:val="both"/>
        <w:rPr>
          <w:rFonts w:ascii="Times New Roman" w:eastAsia="Times New Roman" w:hAnsi="Times New Roman" w:cs="Times New Roman"/>
          <w:sz w:val="24"/>
          <w:szCs w:val="24"/>
        </w:rPr>
      </w:pPr>
      <w:r w:rsidRPr="003E49EC">
        <w:rPr>
          <w:rFonts w:ascii="Times New Roman" w:eastAsia="Times New Roman" w:hAnsi="Times New Roman" w:cs="Times New Roman"/>
          <w:b/>
          <w:sz w:val="28"/>
          <w:szCs w:val="28"/>
        </w:rPr>
        <w:t>Results</w:t>
      </w:r>
      <w:r w:rsidRPr="003E49EC">
        <w:rPr>
          <w:rFonts w:ascii="Times New Roman" w:eastAsia="Times New Roman" w:hAnsi="Times New Roman" w:cs="Times New Roman"/>
          <w:sz w:val="24"/>
          <w:szCs w:val="24"/>
        </w:rPr>
        <w:t xml:space="preserve">: </w:t>
      </w:r>
      <w:r w:rsidRPr="00576047">
        <w:rPr>
          <w:rFonts w:ascii="Times New Roman" w:eastAsia="Times New Roman" w:hAnsi="Times New Roman" w:cs="Times New Roman"/>
          <w:sz w:val="24"/>
          <w:szCs w:val="24"/>
        </w:rPr>
        <w:t>A total of 143 participants took part in the FGDs; the majority were male (n = 82, 57.3</w:t>
      </w:r>
      <w:r>
        <w:rPr>
          <w:rFonts w:ascii="Times New Roman" w:eastAsia="Times New Roman" w:hAnsi="Times New Roman" w:cs="Times New Roman"/>
          <w:sz w:val="24"/>
          <w:szCs w:val="24"/>
        </w:rPr>
        <w:t>4%) and were aged between 31-40</w:t>
      </w:r>
      <w:r w:rsidRPr="0057604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C63C67">
        <w:rPr>
          <w:rFonts w:ascii="Times New Roman" w:eastAsia="Times New Roman" w:hAnsi="Times New Roman" w:cs="Times New Roman"/>
          <w:sz w:val="24"/>
          <w:szCs w:val="24"/>
        </w:rPr>
        <w:t>Most participants were either working in the veterinary sector n=10 (7%) or simply community members n=9 (6%). In the IDIs of 36 participants, almost half of the participants were in the age group 31-40, n=15 (41.67%)</w:t>
      </w:r>
      <w:r>
        <w:rPr>
          <w:rFonts w:ascii="Times New Roman" w:eastAsia="Times New Roman" w:hAnsi="Times New Roman" w:cs="Times New Roman"/>
          <w:sz w:val="24"/>
          <w:szCs w:val="24"/>
        </w:rPr>
        <w:t>, and working as</w:t>
      </w:r>
      <w:r w:rsidRPr="00C63C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either </w:t>
      </w:r>
      <w:r w:rsidRPr="00C63C67">
        <w:rPr>
          <w:rFonts w:ascii="Times New Roman" w:eastAsia="Times New Roman" w:hAnsi="Times New Roman" w:cs="Times New Roman"/>
          <w:sz w:val="24"/>
          <w:szCs w:val="24"/>
        </w:rPr>
        <w:t xml:space="preserve">Integrated Disease Surveillance and Response officers, Private Sector Federation members, </w:t>
      </w:r>
      <w:r>
        <w:rPr>
          <w:rFonts w:ascii="Times New Roman" w:eastAsia="Times New Roman" w:hAnsi="Times New Roman" w:cs="Times New Roman"/>
          <w:sz w:val="24"/>
          <w:szCs w:val="24"/>
        </w:rPr>
        <w:t>or</w:t>
      </w:r>
      <w:r w:rsidRPr="00C63C67">
        <w:rPr>
          <w:rFonts w:ascii="Times New Roman" w:eastAsia="Times New Roman" w:hAnsi="Times New Roman" w:cs="Times New Roman"/>
          <w:sz w:val="24"/>
          <w:szCs w:val="24"/>
        </w:rPr>
        <w:t xml:space="preserve"> Environmental Officers </w:t>
      </w:r>
      <w:r>
        <w:rPr>
          <w:rFonts w:ascii="Times New Roman" w:eastAsia="Times New Roman" w:hAnsi="Times New Roman" w:cs="Times New Roman"/>
          <w:sz w:val="24"/>
          <w:szCs w:val="24"/>
        </w:rPr>
        <w:t xml:space="preserve">with </w:t>
      </w:r>
      <w:r w:rsidRPr="00C63C67">
        <w:rPr>
          <w:rFonts w:ascii="Times New Roman" w:eastAsia="Times New Roman" w:hAnsi="Times New Roman" w:cs="Times New Roman"/>
          <w:sz w:val="24"/>
          <w:szCs w:val="24"/>
        </w:rPr>
        <w:t>n=6 (17%)</w:t>
      </w:r>
      <w:r>
        <w:rPr>
          <w:rFonts w:ascii="Times New Roman" w:eastAsia="Times New Roman" w:hAnsi="Times New Roman" w:cs="Times New Roman"/>
          <w:sz w:val="24"/>
          <w:szCs w:val="24"/>
        </w:rPr>
        <w:t xml:space="preserve"> respectively</w:t>
      </w:r>
      <w:r w:rsidRPr="00C63C67">
        <w:rPr>
          <w:rFonts w:ascii="Times New Roman" w:eastAsia="Times New Roman" w:hAnsi="Times New Roman" w:cs="Times New Roman"/>
          <w:sz w:val="24"/>
          <w:szCs w:val="24"/>
        </w:rPr>
        <w:t xml:space="preserve">. </w:t>
      </w:r>
      <w:r w:rsidRPr="003E49EC">
        <w:rPr>
          <w:rFonts w:ascii="Times New Roman" w:eastAsia="Times New Roman" w:hAnsi="Times New Roman" w:cs="Times New Roman"/>
          <w:sz w:val="24"/>
          <w:szCs w:val="24"/>
        </w:rPr>
        <w:t>Several themes emerged; however, using the joint display method of comparing findings from IDIs and FGDs, we</w:t>
      </w:r>
      <w:r>
        <w:rPr>
          <w:rFonts w:ascii="Times New Roman" w:eastAsia="Times New Roman" w:hAnsi="Times New Roman" w:cs="Times New Roman"/>
          <w:sz w:val="24"/>
          <w:szCs w:val="24"/>
        </w:rPr>
        <w:t xml:space="preserve"> identified data </w:t>
      </w:r>
      <w:r w:rsidRPr="00181653">
        <w:rPr>
          <w:rFonts w:ascii="Times New Roman" w:eastAsia="Times New Roman" w:hAnsi="Times New Roman" w:cs="Times New Roman"/>
          <w:sz w:val="24"/>
          <w:szCs w:val="24"/>
        </w:rPr>
        <w:t>convergent points to include access to services, economic and livelihood constraints, coordination and collaboration</w:t>
      </w:r>
      <w:r>
        <w:rPr>
          <w:rFonts w:ascii="Times New Roman" w:eastAsia="Times New Roman" w:hAnsi="Times New Roman" w:cs="Times New Roman"/>
          <w:sz w:val="24"/>
          <w:szCs w:val="24"/>
        </w:rPr>
        <w:t xml:space="preserve"> gaps</w:t>
      </w:r>
      <w:r w:rsidRPr="00181653">
        <w:rPr>
          <w:rFonts w:ascii="Times New Roman" w:eastAsia="Times New Roman" w:hAnsi="Times New Roman" w:cs="Times New Roman"/>
          <w:sz w:val="24"/>
          <w:szCs w:val="24"/>
        </w:rPr>
        <w:t xml:space="preserve">, communication of health information, shared and collective norms, as well as practices. </w:t>
      </w:r>
    </w:p>
    <w:p w14:paraId="4BCB23DC" w14:textId="6F2492A9" w:rsidR="00977C61" w:rsidRPr="00CD6081" w:rsidRDefault="00977C61" w:rsidP="00977C61">
      <w:pPr>
        <w:jc w:val="both"/>
        <w:rPr>
          <w:rFonts w:ascii="Times New Roman" w:eastAsia="Times New Roman" w:hAnsi="Times New Roman" w:cs="Times New Roman"/>
          <w:sz w:val="24"/>
          <w:szCs w:val="24"/>
        </w:rPr>
      </w:pPr>
      <w:r w:rsidRPr="003E49EC">
        <w:rPr>
          <w:rFonts w:ascii="Times New Roman" w:eastAsia="Times New Roman" w:hAnsi="Times New Roman" w:cs="Times New Roman"/>
          <w:b/>
          <w:sz w:val="28"/>
          <w:szCs w:val="28"/>
        </w:rPr>
        <w:t>Conclusion</w:t>
      </w:r>
      <w:r>
        <w:rPr>
          <w:rFonts w:ascii="Times New Roman" w:eastAsia="Times New Roman" w:hAnsi="Times New Roman" w:cs="Times New Roman"/>
          <w:sz w:val="24"/>
          <w:szCs w:val="24"/>
        </w:rPr>
        <w:t xml:space="preserve">: </w:t>
      </w:r>
      <w:r w:rsidRPr="003E49EC">
        <w:rPr>
          <w:rFonts w:ascii="Times New Roman" w:eastAsia="Times New Roman" w:hAnsi="Times New Roman" w:cs="Times New Roman"/>
          <w:sz w:val="24"/>
          <w:szCs w:val="24"/>
        </w:rPr>
        <w:t>Fi</w:t>
      </w:r>
      <w:r>
        <w:rPr>
          <w:rFonts w:ascii="Times New Roman" w:eastAsia="Times New Roman" w:hAnsi="Times New Roman" w:cs="Times New Roman"/>
          <w:sz w:val="24"/>
          <w:szCs w:val="24"/>
        </w:rPr>
        <w:t xml:space="preserve">ndings from this assessment </w:t>
      </w:r>
      <w:r w:rsidRPr="003E49EC">
        <w:rPr>
          <w:rFonts w:ascii="Times New Roman" w:eastAsia="Times New Roman" w:hAnsi="Times New Roman" w:cs="Times New Roman"/>
          <w:sz w:val="24"/>
          <w:szCs w:val="24"/>
        </w:rPr>
        <w:t>provide a critical foundation for identifyi</w:t>
      </w:r>
      <w:r>
        <w:rPr>
          <w:rFonts w:ascii="Times New Roman" w:eastAsia="Times New Roman" w:hAnsi="Times New Roman" w:cs="Times New Roman"/>
          <w:sz w:val="24"/>
          <w:szCs w:val="24"/>
        </w:rPr>
        <w:t>ng behavioral and systemic gaps and facilitators towards</w:t>
      </w:r>
      <w:r w:rsidRPr="003E49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r w:rsidRPr="003E49EC">
        <w:rPr>
          <w:rFonts w:ascii="Times New Roman" w:eastAsia="Times New Roman" w:hAnsi="Times New Roman" w:cs="Times New Roman"/>
          <w:sz w:val="24"/>
          <w:szCs w:val="24"/>
        </w:rPr>
        <w:t xml:space="preserve">One Health </w:t>
      </w:r>
      <w:r>
        <w:rPr>
          <w:rFonts w:ascii="Times New Roman" w:eastAsia="Times New Roman" w:hAnsi="Times New Roman" w:cs="Times New Roman"/>
          <w:sz w:val="24"/>
          <w:szCs w:val="24"/>
        </w:rPr>
        <w:t xml:space="preserve">approach. Bottleneck challenges on resources and limited engagement of community members continue to promote health insecurity. Therefore, district-level coordination and accountability, as well as </w:t>
      </w:r>
      <w:r w:rsidRPr="00EE113B">
        <w:rPr>
          <w:rFonts w:ascii="Times New Roman" w:eastAsia="Times New Roman" w:hAnsi="Times New Roman" w:cs="Times New Roman"/>
          <w:sz w:val="24"/>
          <w:szCs w:val="24"/>
        </w:rPr>
        <w:t>t</w:t>
      </w:r>
      <w:r w:rsidRPr="00160BBE">
        <w:rPr>
          <w:rFonts w:ascii="Times New Roman" w:eastAsia="Times New Roman" w:hAnsi="Times New Roman" w:cs="Times New Roman"/>
          <w:sz w:val="24"/>
          <w:szCs w:val="24"/>
        </w:rPr>
        <w:t>rain</w:t>
      </w:r>
      <w:r w:rsidRPr="00EE113B">
        <w:rPr>
          <w:rFonts w:ascii="Times New Roman" w:eastAsia="Times New Roman" w:hAnsi="Times New Roman" w:cs="Times New Roman"/>
          <w:sz w:val="24"/>
          <w:szCs w:val="24"/>
        </w:rPr>
        <w:t>ing of</w:t>
      </w:r>
      <w:r w:rsidRPr="00160BBE">
        <w:rPr>
          <w:rFonts w:ascii="Times New Roman" w:eastAsia="Times New Roman" w:hAnsi="Times New Roman" w:cs="Times New Roman"/>
          <w:sz w:val="24"/>
          <w:szCs w:val="24"/>
        </w:rPr>
        <w:t xml:space="preserve"> community health workers to listen and engage</w:t>
      </w:r>
      <w:r w:rsidRPr="00EE11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community </w:t>
      </w:r>
      <w:r w:rsidR="001A5144">
        <w:rPr>
          <w:rFonts w:ascii="Times New Roman" w:eastAsia="Times New Roman" w:hAnsi="Times New Roman" w:cs="Times New Roman"/>
          <w:sz w:val="24"/>
          <w:szCs w:val="24"/>
        </w:rPr>
        <w:t>members,</w:t>
      </w:r>
      <w:r>
        <w:rPr>
          <w:rFonts w:ascii="Times New Roman" w:eastAsia="Times New Roman" w:hAnsi="Times New Roman" w:cs="Times New Roman"/>
          <w:sz w:val="24"/>
          <w:szCs w:val="24"/>
        </w:rPr>
        <w:t xml:space="preserve"> wi</w:t>
      </w:r>
      <w:r w:rsidRPr="00EE113B">
        <w:rPr>
          <w:rFonts w:ascii="Times New Roman" w:eastAsia="Times New Roman" w:hAnsi="Times New Roman" w:cs="Times New Roman"/>
          <w:sz w:val="24"/>
          <w:szCs w:val="24"/>
        </w:rPr>
        <w:t xml:space="preserve">ll enhance the </w:t>
      </w:r>
      <w:r w:rsidRPr="00CD6081">
        <w:rPr>
          <w:rFonts w:ascii="Times New Roman" w:eastAsia="Times New Roman" w:hAnsi="Times New Roman" w:cs="Times New Roman"/>
          <w:sz w:val="24"/>
          <w:szCs w:val="24"/>
        </w:rPr>
        <w:t xml:space="preserve">One Health </w:t>
      </w:r>
      <w:r>
        <w:rPr>
          <w:rFonts w:ascii="Times New Roman" w:eastAsia="Times New Roman" w:hAnsi="Times New Roman" w:cs="Times New Roman"/>
          <w:sz w:val="24"/>
          <w:szCs w:val="24"/>
        </w:rPr>
        <w:t>sector of Rwanda.</w:t>
      </w:r>
    </w:p>
    <w:p w14:paraId="4B2B9400" w14:textId="77777777" w:rsidR="00977C61" w:rsidRPr="00CD6081" w:rsidRDefault="00977C61" w:rsidP="00977C61">
      <w:pPr>
        <w:jc w:val="both"/>
        <w:rPr>
          <w:rFonts w:ascii="Times New Roman" w:eastAsia="Times New Roman" w:hAnsi="Times New Roman" w:cs="Times New Roman"/>
          <w:sz w:val="24"/>
          <w:szCs w:val="24"/>
        </w:rPr>
      </w:pPr>
    </w:p>
    <w:p w14:paraId="61D99F1C" w14:textId="77777777" w:rsidR="00977C61" w:rsidRDefault="00977C61" w:rsidP="00977C61">
      <w:pPr>
        <w:jc w:val="both"/>
        <w:rPr>
          <w:rFonts w:ascii="Times New Roman" w:eastAsia="Times New Roman" w:hAnsi="Times New Roman" w:cs="Times New Roman"/>
          <w:sz w:val="24"/>
          <w:szCs w:val="24"/>
        </w:rPr>
      </w:pPr>
    </w:p>
    <w:p w14:paraId="74B9F093" w14:textId="388AB241" w:rsidR="00977C61" w:rsidRDefault="00977C61" w:rsidP="00977C61">
      <w:pPr>
        <w:jc w:val="both"/>
        <w:rPr>
          <w:rFonts w:ascii="Times New Roman" w:eastAsia="Times New Roman" w:hAnsi="Times New Roman" w:cs="Times New Roman"/>
          <w:sz w:val="24"/>
          <w:szCs w:val="24"/>
        </w:rPr>
      </w:pPr>
      <w:r w:rsidRPr="003E49EC">
        <w:rPr>
          <w:rFonts w:ascii="Times New Roman" w:eastAsia="Times New Roman" w:hAnsi="Times New Roman" w:cs="Times New Roman"/>
          <w:b/>
          <w:sz w:val="28"/>
          <w:szCs w:val="28"/>
        </w:rPr>
        <w:t>Keywords</w:t>
      </w:r>
      <w:r w:rsidRPr="003E49EC">
        <w:rPr>
          <w:rFonts w:ascii="Times New Roman" w:eastAsia="Times New Roman" w:hAnsi="Times New Roman" w:cs="Times New Roman"/>
          <w:sz w:val="24"/>
          <w:szCs w:val="24"/>
        </w:rPr>
        <w:t xml:space="preserve">: One Health, Rwanda, disease prevention, outbreak preparedness, community engagement, risk communication </w:t>
      </w:r>
    </w:p>
    <w:p w14:paraId="3BE53551" w14:textId="75762FDC" w:rsidR="001A5144" w:rsidRDefault="001A5144" w:rsidP="00977C61">
      <w:pPr>
        <w:jc w:val="both"/>
        <w:rPr>
          <w:rFonts w:ascii="Times New Roman" w:eastAsia="Times New Roman" w:hAnsi="Times New Roman" w:cs="Times New Roman"/>
          <w:sz w:val="24"/>
          <w:szCs w:val="24"/>
        </w:rPr>
      </w:pPr>
    </w:p>
    <w:p w14:paraId="5216F026" w14:textId="77777777" w:rsidR="001A5144" w:rsidRPr="003E49EC" w:rsidRDefault="001A5144" w:rsidP="00977C61">
      <w:pPr>
        <w:jc w:val="both"/>
        <w:rPr>
          <w:rFonts w:ascii="Times New Roman" w:eastAsia="Times New Roman" w:hAnsi="Times New Roman" w:cs="Times New Roman"/>
          <w:sz w:val="24"/>
          <w:szCs w:val="24"/>
        </w:rPr>
      </w:pPr>
    </w:p>
    <w:p w14:paraId="27039C66" w14:textId="77777777" w:rsidR="00977C61" w:rsidRDefault="00977C61" w:rsidP="000C6DA4">
      <w:pPr>
        <w:jc w:val="both"/>
        <w:rPr>
          <w:rFonts w:ascii="Times New Roman" w:hAnsi="Times New Roman" w:cs="Times New Roman"/>
          <w:b/>
          <w:sz w:val="28"/>
          <w:szCs w:val="28"/>
        </w:rPr>
      </w:pPr>
    </w:p>
    <w:p w14:paraId="05612BCC" w14:textId="0B572333" w:rsidR="00B72736" w:rsidRDefault="00B72736" w:rsidP="000C6DA4">
      <w:pPr>
        <w:jc w:val="both"/>
        <w:rPr>
          <w:rFonts w:ascii="Times New Roman" w:hAnsi="Times New Roman" w:cs="Times New Roman"/>
          <w:b/>
          <w:sz w:val="28"/>
          <w:szCs w:val="28"/>
        </w:rPr>
      </w:pPr>
      <w:r w:rsidRPr="00D45B36">
        <w:rPr>
          <w:rFonts w:ascii="Times New Roman" w:hAnsi="Times New Roman" w:cs="Times New Roman"/>
          <w:b/>
          <w:sz w:val="28"/>
          <w:szCs w:val="28"/>
        </w:rPr>
        <w:t xml:space="preserve">Introduction </w:t>
      </w:r>
    </w:p>
    <w:p w14:paraId="0AE5A703" w14:textId="2F4F0968" w:rsidR="00977C61" w:rsidRPr="00977C61" w:rsidRDefault="00977C61" w:rsidP="00180B50">
      <w:pPr>
        <w:autoSpaceDE w:val="0"/>
        <w:autoSpaceDN w:val="0"/>
        <w:adjustRightInd w:val="0"/>
        <w:spacing w:line="240" w:lineRule="auto"/>
        <w:jc w:val="both"/>
        <w:rPr>
          <w:rFonts w:ascii="Times New Roman" w:eastAsia="Times New Roman" w:hAnsi="Times New Roman" w:cs="Times New Roman"/>
          <w:sz w:val="24"/>
          <w:szCs w:val="24"/>
        </w:rPr>
      </w:pPr>
      <w:r w:rsidRPr="00977C61">
        <w:rPr>
          <w:rFonts w:ascii="Times New Roman" w:eastAsia="Times New Roman" w:hAnsi="Times New Roman" w:cs="Times New Roman"/>
          <w:sz w:val="24"/>
          <w:szCs w:val="24"/>
        </w:rPr>
        <w:t xml:space="preserve">Most communicable diseases, such as </w:t>
      </w:r>
      <w:r w:rsidR="00D9123D">
        <w:rPr>
          <w:rFonts w:ascii="Times New Roman" w:eastAsia="Times New Roman" w:hAnsi="Times New Roman" w:cs="Times New Roman"/>
          <w:sz w:val="24"/>
          <w:szCs w:val="24"/>
        </w:rPr>
        <w:t xml:space="preserve">the </w:t>
      </w:r>
      <w:r w:rsidRPr="00977C61">
        <w:rPr>
          <w:rFonts w:ascii="Times New Roman" w:eastAsia="Times New Roman" w:hAnsi="Times New Roman" w:cs="Times New Roman"/>
          <w:sz w:val="24"/>
          <w:szCs w:val="24"/>
        </w:rPr>
        <w:t>Ebola virus and COVID-19, a</w:t>
      </w:r>
      <w:r w:rsidRPr="00180B50">
        <w:rPr>
          <w:rFonts w:ascii="Times New Roman" w:eastAsia="Times New Roman" w:hAnsi="Times New Roman" w:cs="Times New Roman"/>
          <w:sz w:val="24"/>
          <w:szCs w:val="24"/>
        </w:rPr>
        <w:t xml:space="preserve">re a result of human activities, </w:t>
      </w:r>
      <w:r w:rsidRPr="00977C61">
        <w:rPr>
          <w:rFonts w:ascii="Times New Roman" w:eastAsia="Times New Roman" w:hAnsi="Times New Roman" w:cs="Times New Roman"/>
          <w:sz w:val="24"/>
          <w:szCs w:val="24"/>
        </w:rPr>
        <w:t xml:space="preserve">leading to disease transmission from animals to the environment and </w:t>
      </w:r>
      <w:r w:rsidRPr="00180B50">
        <w:rPr>
          <w:rFonts w:ascii="Times New Roman" w:eastAsia="Times New Roman" w:hAnsi="Times New Roman" w:cs="Times New Roman"/>
          <w:sz w:val="24"/>
          <w:szCs w:val="24"/>
        </w:rPr>
        <w:t>vice versa</w:t>
      </w:r>
      <w:r w:rsidR="00180B50" w:rsidRPr="00180B50">
        <w:rPr>
          <w:rFonts w:ascii="Times New Roman" w:eastAsia="Times New Roman" w:hAnsi="Times New Roman" w:cs="Times New Roman"/>
          <w:sz w:val="24"/>
          <w:szCs w:val="24"/>
        </w:rPr>
        <w:t xml:space="preserve">. Since the </w:t>
      </w:r>
      <w:r w:rsidRPr="00977C61">
        <w:rPr>
          <w:rFonts w:ascii="Times New Roman" w:eastAsia="Times New Roman" w:hAnsi="Times New Roman" w:cs="Times New Roman"/>
          <w:sz w:val="24"/>
          <w:szCs w:val="24"/>
        </w:rPr>
        <w:t>2000</w:t>
      </w:r>
      <w:r w:rsidR="00180B50" w:rsidRPr="00180B50">
        <w:rPr>
          <w:rFonts w:ascii="Times New Roman" w:eastAsia="Times New Roman" w:hAnsi="Times New Roman" w:cs="Times New Roman"/>
          <w:sz w:val="24"/>
          <w:szCs w:val="24"/>
        </w:rPr>
        <w:t>s</w:t>
      </w:r>
      <w:r w:rsidRPr="00977C61">
        <w:rPr>
          <w:rFonts w:ascii="Times New Roman" w:eastAsia="Times New Roman" w:hAnsi="Times New Roman" w:cs="Times New Roman"/>
          <w:sz w:val="24"/>
          <w:szCs w:val="24"/>
        </w:rPr>
        <w:t>,</w:t>
      </w:r>
      <w:r w:rsidR="00180B50" w:rsidRPr="00180B50">
        <w:rPr>
          <w:rFonts w:ascii="Times New Roman" w:eastAsia="Times New Roman" w:hAnsi="Times New Roman" w:cs="Times New Roman"/>
          <w:sz w:val="24"/>
          <w:szCs w:val="24"/>
        </w:rPr>
        <w:t xml:space="preserve"> </w:t>
      </w:r>
      <w:r w:rsidRPr="00977C61">
        <w:rPr>
          <w:rFonts w:ascii="Times New Roman" w:eastAsia="Times New Roman" w:hAnsi="Times New Roman" w:cs="Times New Roman"/>
          <w:sz w:val="24"/>
          <w:szCs w:val="24"/>
        </w:rPr>
        <w:t>these</w:t>
      </w:r>
      <w:r w:rsidR="00180B50" w:rsidRPr="00180B50">
        <w:rPr>
          <w:rFonts w:ascii="Times New Roman" w:eastAsia="Times New Roman" w:hAnsi="Times New Roman" w:cs="Times New Roman"/>
          <w:sz w:val="24"/>
          <w:szCs w:val="24"/>
        </w:rPr>
        <w:t xml:space="preserve"> diseases </w:t>
      </w:r>
      <w:r w:rsidR="00D9123D">
        <w:rPr>
          <w:rFonts w:ascii="Times New Roman" w:eastAsia="Times New Roman" w:hAnsi="Times New Roman" w:cs="Times New Roman"/>
          <w:sz w:val="24"/>
          <w:szCs w:val="24"/>
        </w:rPr>
        <w:t xml:space="preserve">have </w:t>
      </w:r>
      <w:r w:rsidR="00180B50" w:rsidRPr="00180B50">
        <w:rPr>
          <w:rFonts w:ascii="Times New Roman" w:eastAsia="Times New Roman" w:hAnsi="Times New Roman" w:cs="Times New Roman"/>
          <w:sz w:val="24"/>
          <w:szCs w:val="24"/>
        </w:rPr>
        <w:t xml:space="preserve">significantly </w:t>
      </w:r>
      <w:r w:rsidR="00D9123D" w:rsidRPr="00180B50">
        <w:rPr>
          <w:rFonts w:ascii="Times New Roman" w:eastAsia="Times New Roman" w:hAnsi="Times New Roman" w:cs="Times New Roman"/>
          <w:sz w:val="24"/>
          <w:szCs w:val="24"/>
        </w:rPr>
        <w:t>threatened</w:t>
      </w:r>
      <w:r w:rsidRPr="00977C61">
        <w:rPr>
          <w:rFonts w:ascii="Times New Roman" w:eastAsia="Times New Roman" w:hAnsi="Times New Roman" w:cs="Times New Roman"/>
          <w:sz w:val="24"/>
          <w:szCs w:val="24"/>
        </w:rPr>
        <w:t xml:space="preserve"> global health security,</w:t>
      </w:r>
      <w:r w:rsidR="00180B50" w:rsidRPr="00180B50">
        <w:rPr>
          <w:rFonts w:ascii="Times New Roman" w:eastAsia="Times New Roman" w:hAnsi="Times New Roman" w:cs="Times New Roman"/>
          <w:sz w:val="24"/>
          <w:szCs w:val="24"/>
        </w:rPr>
        <w:t xml:space="preserve"> leading to </w:t>
      </w:r>
      <w:r w:rsidRPr="00977C61">
        <w:rPr>
          <w:rFonts w:ascii="Times New Roman" w:eastAsia="Times New Roman" w:hAnsi="Times New Roman" w:cs="Times New Roman"/>
          <w:sz w:val="24"/>
          <w:szCs w:val="24"/>
        </w:rPr>
        <w:lastRenderedPageBreak/>
        <w:t>over 1 billion infections an</w:t>
      </w:r>
      <w:r w:rsidR="00180B50" w:rsidRPr="00180B50">
        <w:rPr>
          <w:rFonts w:ascii="Times New Roman" w:eastAsia="Times New Roman" w:hAnsi="Times New Roman" w:cs="Times New Roman"/>
          <w:sz w:val="24"/>
          <w:szCs w:val="24"/>
        </w:rPr>
        <w:t xml:space="preserve">d 1 million deaths each year. </w:t>
      </w:r>
      <w:r w:rsidR="00180B50" w:rsidRPr="00180B50">
        <w:rPr>
          <w:rFonts w:ascii="Times New Roman" w:eastAsia="Times New Roman" w:hAnsi="Times New Roman" w:cs="Times New Roman"/>
          <w:sz w:val="24"/>
          <w:szCs w:val="24"/>
        </w:rPr>
        <w:fldChar w:fldCharType="begin"/>
      </w:r>
      <w:r w:rsidR="00180B50" w:rsidRPr="00180B50">
        <w:rPr>
          <w:rFonts w:ascii="Times New Roman" w:eastAsia="Times New Roman" w:hAnsi="Times New Roman" w:cs="Times New Roman"/>
          <w:sz w:val="24"/>
          <w:szCs w:val="24"/>
        </w:rPr>
        <w:instrText xml:space="preserve"> ADDIN ZOTERO_ITEM CSL_CITATION {"citationID":"dAyhlfKM","properties":{"formattedCitation":"(1)","plainCitation":"(1)","noteIndex":0},"citationItems":[{"id":11953,"uris":["http://zotero.org/users/12416167/items/6C3DUEIW"],"itemData":{"id":11953,"type":"webpage","abstract":"Learn how the One Health approach can help prevent the next pandemic. Read the latest report from the World Bank and find out how this integrated approach is making a difference in sustainably balancing and optimizing the health of people, animals, and ecosystems.","container-title":"World Bank","language":"en","title":"One Health Approach - Prevent the Next Pandemic","URL":"https://www.worldbank.org/en/news/feature/2022/10/24/one-health-approach-can-prevent-the-next-pandemic","author":[{"family":"World Bank Group","given":""}],"accessed":{"date-parts":[["2025",7,10]]}}}],"schema":"https://github.com/citation-style-language/schema/raw/master/csl-citation.json"} </w:instrText>
      </w:r>
      <w:r w:rsidR="00180B50" w:rsidRPr="00180B50">
        <w:rPr>
          <w:rFonts w:ascii="Times New Roman" w:eastAsia="Times New Roman" w:hAnsi="Times New Roman" w:cs="Times New Roman"/>
          <w:sz w:val="24"/>
          <w:szCs w:val="24"/>
        </w:rPr>
        <w:fldChar w:fldCharType="separate"/>
      </w:r>
      <w:r w:rsidR="00180B50" w:rsidRPr="00180B50">
        <w:rPr>
          <w:rFonts w:ascii="Times New Roman" w:eastAsia="Times New Roman" w:hAnsi="Times New Roman" w:cs="Times New Roman"/>
          <w:sz w:val="24"/>
          <w:szCs w:val="24"/>
        </w:rPr>
        <w:t>(1)</w:t>
      </w:r>
      <w:r w:rsidR="00180B50" w:rsidRPr="00180B50">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This </w:t>
      </w:r>
      <w:r w:rsidR="00180B50" w:rsidRPr="00180B50">
        <w:rPr>
          <w:rFonts w:ascii="Times New Roman" w:eastAsia="Times New Roman" w:hAnsi="Times New Roman" w:cs="Times New Roman"/>
          <w:sz w:val="24"/>
          <w:szCs w:val="24"/>
        </w:rPr>
        <w:t xml:space="preserve">global epidemic has been </w:t>
      </w:r>
      <w:r w:rsidR="001A5144">
        <w:rPr>
          <w:rFonts w:ascii="Times New Roman" w:eastAsia="Times New Roman" w:hAnsi="Times New Roman" w:cs="Times New Roman"/>
          <w:sz w:val="24"/>
          <w:szCs w:val="24"/>
        </w:rPr>
        <w:t>worsened</w:t>
      </w:r>
      <w:r w:rsidR="00180B50" w:rsidRPr="00180B50">
        <w:rPr>
          <w:rFonts w:ascii="Times New Roman" w:eastAsia="Times New Roman" w:hAnsi="Times New Roman" w:cs="Times New Roman"/>
          <w:sz w:val="24"/>
          <w:szCs w:val="24"/>
        </w:rPr>
        <w:t xml:space="preserve"> by global urbanization, which became </w:t>
      </w:r>
      <w:r w:rsidRPr="00977C61">
        <w:rPr>
          <w:rFonts w:ascii="Times New Roman" w:eastAsia="Times New Roman" w:hAnsi="Times New Roman" w:cs="Times New Roman"/>
          <w:sz w:val="24"/>
          <w:szCs w:val="24"/>
        </w:rPr>
        <w:t>clear during</w:t>
      </w:r>
      <w:r w:rsidR="00180B50" w:rsidRPr="00180B50">
        <w:rPr>
          <w:rFonts w:ascii="Times New Roman" w:eastAsia="Times New Roman" w:hAnsi="Times New Roman" w:cs="Times New Roman"/>
          <w:sz w:val="24"/>
          <w:szCs w:val="24"/>
        </w:rPr>
        <w:t xml:space="preserve"> the</w:t>
      </w:r>
      <w:r w:rsidRPr="00977C61">
        <w:rPr>
          <w:rFonts w:ascii="Times New Roman" w:eastAsia="Times New Roman" w:hAnsi="Times New Roman" w:cs="Times New Roman"/>
          <w:sz w:val="24"/>
          <w:szCs w:val="24"/>
        </w:rPr>
        <w:t xml:space="preserve"> COVID-19</w:t>
      </w:r>
      <w:r w:rsidR="00180B50" w:rsidRPr="00180B50">
        <w:rPr>
          <w:rFonts w:ascii="Times New Roman" w:eastAsia="Times New Roman" w:hAnsi="Times New Roman" w:cs="Times New Roman"/>
          <w:sz w:val="24"/>
          <w:szCs w:val="24"/>
        </w:rPr>
        <w:t xml:space="preserve"> pandemic</w:t>
      </w:r>
      <w:r w:rsidRPr="00977C61">
        <w:rPr>
          <w:rFonts w:ascii="Times New Roman" w:eastAsia="Times New Roman" w:hAnsi="Times New Roman" w:cs="Times New Roman"/>
          <w:sz w:val="24"/>
          <w:szCs w:val="24"/>
        </w:rPr>
        <w:t xml:space="preserve">.  </w:t>
      </w:r>
    </w:p>
    <w:p w14:paraId="2744D4DD" w14:textId="7C464842" w:rsidR="00977C61" w:rsidRPr="00977C61" w:rsidRDefault="00977C61" w:rsidP="00180B50">
      <w:pPr>
        <w:autoSpaceDE w:val="0"/>
        <w:autoSpaceDN w:val="0"/>
        <w:adjustRightInd w:val="0"/>
        <w:spacing w:line="240" w:lineRule="auto"/>
        <w:jc w:val="both"/>
        <w:rPr>
          <w:rFonts w:ascii="Times New Roman" w:eastAsia="Times New Roman" w:hAnsi="Times New Roman" w:cs="Times New Roman"/>
          <w:sz w:val="24"/>
          <w:szCs w:val="24"/>
        </w:rPr>
      </w:pPr>
      <w:r w:rsidRPr="00977C61">
        <w:rPr>
          <w:rFonts w:ascii="Times New Roman" w:eastAsia="Times New Roman" w:hAnsi="Times New Roman" w:cs="Times New Roman"/>
          <w:sz w:val="24"/>
          <w:szCs w:val="24"/>
        </w:rPr>
        <w:t>Continuous delay</w:t>
      </w:r>
      <w:r w:rsidR="007E13CC">
        <w:rPr>
          <w:rFonts w:ascii="Times New Roman" w:eastAsia="Times New Roman" w:hAnsi="Times New Roman" w:cs="Times New Roman"/>
          <w:sz w:val="24"/>
          <w:szCs w:val="24"/>
        </w:rPr>
        <w:t>s</w:t>
      </w:r>
      <w:r w:rsidRPr="00977C61">
        <w:rPr>
          <w:rFonts w:ascii="Times New Roman" w:eastAsia="Times New Roman" w:hAnsi="Times New Roman" w:cs="Times New Roman"/>
          <w:sz w:val="24"/>
          <w:szCs w:val="24"/>
        </w:rPr>
        <w:t xml:space="preserve"> </w:t>
      </w:r>
      <w:r w:rsidR="001A5144">
        <w:rPr>
          <w:rFonts w:ascii="Times New Roman" w:eastAsia="Times New Roman" w:hAnsi="Times New Roman" w:cs="Times New Roman"/>
          <w:sz w:val="24"/>
          <w:szCs w:val="24"/>
        </w:rPr>
        <w:t>in</w:t>
      </w:r>
      <w:r w:rsidR="007E13CC">
        <w:rPr>
          <w:rFonts w:ascii="Times New Roman" w:eastAsia="Times New Roman" w:hAnsi="Times New Roman" w:cs="Times New Roman"/>
          <w:sz w:val="24"/>
          <w:szCs w:val="24"/>
        </w:rPr>
        <w:t xml:space="preserve"> </w:t>
      </w:r>
      <w:r w:rsidRPr="00977C61">
        <w:rPr>
          <w:rFonts w:ascii="Times New Roman" w:eastAsia="Times New Roman" w:hAnsi="Times New Roman" w:cs="Times New Roman"/>
          <w:sz w:val="24"/>
          <w:szCs w:val="24"/>
        </w:rPr>
        <w:t xml:space="preserve">timely </w:t>
      </w:r>
      <w:r w:rsidR="007E13CC">
        <w:rPr>
          <w:rFonts w:ascii="Times New Roman" w:eastAsia="Times New Roman" w:hAnsi="Times New Roman" w:cs="Times New Roman"/>
          <w:sz w:val="24"/>
          <w:szCs w:val="24"/>
        </w:rPr>
        <w:t xml:space="preserve">communication and </w:t>
      </w:r>
      <w:r w:rsidRPr="00977C61">
        <w:rPr>
          <w:rFonts w:ascii="Times New Roman" w:eastAsia="Times New Roman" w:hAnsi="Times New Roman" w:cs="Times New Roman"/>
          <w:sz w:val="24"/>
          <w:szCs w:val="24"/>
        </w:rPr>
        <w:t>reporting of emerging zoonotic disease outbreaks is evidence of weak One Health systems to respond to potenti</w:t>
      </w:r>
      <w:r w:rsidR="00D2336E">
        <w:rPr>
          <w:rFonts w:ascii="Times New Roman" w:eastAsia="Times New Roman" w:hAnsi="Times New Roman" w:cs="Times New Roman"/>
          <w:sz w:val="24"/>
          <w:szCs w:val="24"/>
        </w:rPr>
        <w:t xml:space="preserve">al zoonotic health threats. </w:t>
      </w:r>
      <w:r w:rsidR="00D2336E">
        <w:rPr>
          <w:rFonts w:ascii="Times New Roman" w:eastAsia="Times New Roman" w:hAnsi="Times New Roman" w:cs="Times New Roman"/>
          <w:sz w:val="24"/>
          <w:szCs w:val="24"/>
        </w:rPr>
        <w:fldChar w:fldCharType="begin"/>
      </w:r>
      <w:r w:rsidR="00D2336E">
        <w:rPr>
          <w:rFonts w:ascii="Times New Roman" w:eastAsia="Times New Roman" w:hAnsi="Times New Roman" w:cs="Times New Roman"/>
          <w:sz w:val="24"/>
          <w:szCs w:val="24"/>
        </w:rPr>
        <w:instrText xml:space="preserve"> ADDIN ZOTERO_ITEM CSL_CITATION {"citationID":"Y70q4DS7","properties":{"formattedCitation":"(2,3)","plainCitation":"(2,3)","noteIndex":0},"citationItems":[{"id":11957,"uris":["http://zotero.org/users/12416167/items/FZEUAFV8"],"itemData":{"id":11957,"type":"article-journal","abstract":"Strengthening health systems and maintaining essential service delivery during health emergencies response is critical for early detection and diagnosis, prompt treatment, and effective control of pandemics, including the novel coronavirus disease 2019 (COVID-19). Health information systems (HIS) developed during recent Ebola outbreaks in West Africa and the Democratic Republic of the Congo (DRC) provided opportunities to collect, analyze, and distribute data to inform both day-to-day and long-term policy decisions on outbreak preparedness. As COVID-19 continues to sweep across the globe, HIS and related technological advancements remain vital for effective and sustained data sharing, contact tracing, mapping and monitoring, community risk sensitization and engagement, preventive education, and timely preparedness and response activities. In reviewing literature of how HIS could have further supported mitigation of these Ebola outbreaks and the ongoing COVID-19 pandemic, 3 key areas were identified: governance and coordination, health systems infrastructure and resources, and community engagement. In this concept study, we outline scalable HIS lessons from recent Ebola outbreaks and early COVID-19 responses along these 3 domains, synthesizing recommendations to offer clear, evidence-based approaches on how to leverage HIS to strengthen the current pandemic response and foster community health systems resilience moving forward.","container-title":"Disaster Medicine and Public Health Preparedness","DOI":"10.1017/dmp.2020.361","ISSN":"1935-7893, 1938-744X","issue":"1","language":"en","page":"333-340","source":"Cambridge University Press","title":"Optimizing Pandemic Preparedness and Response Through Health Information Systems: Lessons Learned From Ebola to COVID-19","title-short":"Optimizing Pandemic Preparedness and Response Through Health Information Systems","volume":"16","author":[{"family":"Lal","given":"Arush"},{"family":"Ashworth","given":"Henry C."},{"family":"Dada","given":"Sara"},{"family":"Hoemeke","given":"Laura"},{"family":"Tambo","given":"Ernest"}],"issued":{"date-parts":[["2022",2]]}},"label":"page"},{"id":11962,"uris":["http://zotero.org/users/12416167/items/XY9Z62DE"],"itemData":{"id":11962,"type":"article-journal","abstract":"Background Emerging and reemerging zoonotic diseases have become a global concern due to their frequent occurrence. Large delays between onset of emerging zoonotic disease outbreaks and their reporting and control are indicative of weak animal and human health systems. Objectives The objective of this paper is to tackle the time delay by suggesting a One Health Early Warning and Response System (OH-EWRS) aiming at improving the surveillance and notification of zoonotic diseases by strengthening ‘bottom-up’ approaches and systems for early detection, especially in hot spot areas where they emerge. Methods In this conceptual paper, we searched online database including PubMed, Google and Google Scholar to explore the scientific landscape for zoonotic diseases and One Health Early Warning and Response Systems published in English up to December, 2020. In addition, the authors made use of their own expertise and critically reviewed the retrieved papers that were found to be of relevance as the three authors are experts in their own fields, coming from different backgrounds, but are all working to improve the prevention and control of zoonotic disease outbreak. Results The OH-EWRS advocates for collaboration between relevant stakeholders including nongovernmental organisations, country offices of international and intergovernmental technical organisations, governmental bodies, research institutes, the private sector and local communities with the aim of an integrated One Health prevention and control system. The OH-EWRS considers various priorities and objectives of the different stakeholders, taking into account possible conflict of interests and considering the need for trust, transparency and mutual benefits. Conclusions Although the operationalisation, governance and institutionalisation of the OH-EWRS should be the responsibility of government bodies, inputs from and feedback to relevant stakeholders through a bottom-up and top-down approach are essential elements for the application of the successful operationalisation of a OH-EWRS.","container-title":"Veterinary Medicine and Science","DOI":"10.1002/vms3.1135","ISSN":"2053-1095","issue":"4","language":"en","license":"© 2023 The Authors. Veterinary Medicine and Science published by John Wiley &amp; Sons Ltd.","note":"_eprint: https://onlinelibrary.wiley.com/doi/pdf/10.1002/vms3.1135","page":"1881-1889","source":"Wiley Online Library","title":"One Health early warning and response system for zoonotic diseases outbreaks: Emphasis on the involvement of grassroots actors","title-short":"One Health early warning and response system for zoonotic diseases outbreaks","volume":"9","author":[{"family":"Hassan","given":"Osama Ahmed"},{"family":"Balogh","given":"Katinka","non-dropping-particle":"de"},{"family":"Winkler","given":"Andrea Sylvia"}],"issued":{"date-parts":[["2023"]]}},"label":"page"}],"schema":"https://github.com/citation-style-language/schema/raw/master/csl-citation.json"} </w:instrText>
      </w:r>
      <w:r w:rsidR="00D2336E">
        <w:rPr>
          <w:rFonts w:ascii="Times New Roman" w:eastAsia="Times New Roman" w:hAnsi="Times New Roman" w:cs="Times New Roman"/>
          <w:sz w:val="24"/>
          <w:szCs w:val="24"/>
        </w:rPr>
        <w:fldChar w:fldCharType="separate"/>
      </w:r>
      <w:r w:rsidR="00D2336E" w:rsidRPr="00D2336E">
        <w:rPr>
          <w:rFonts w:ascii="Times New Roman" w:hAnsi="Times New Roman" w:cs="Times New Roman"/>
          <w:sz w:val="24"/>
        </w:rPr>
        <w:t>(2,3)</w:t>
      </w:r>
      <w:r w:rsidR="00D2336E">
        <w:rPr>
          <w:rFonts w:ascii="Times New Roman" w:eastAsia="Times New Roman" w:hAnsi="Times New Roman" w:cs="Times New Roman"/>
          <w:sz w:val="24"/>
          <w:szCs w:val="24"/>
        </w:rPr>
        <w:fldChar w:fldCharType="end"/>
      </w:r>
      <w:r w:rsidR="00D2336E">
        <w:rPr>
          <w:rFonts w:ascii="Times New Roman" w:eastAsia="Times New Roman" w:hAnsi="Times New Roman" w:cs="Times New Roman"/>
          <w:sz w:val="24"/>
          <w:szCs w:val="24"/>
        </w:rPr>
        <w:t xml:space="preserve"> </w:t>
      </w:r>
      <w:r w:rsidRPr="00977C61">
        <w:rPr>
          <w:rFonts w:ascii="Times New Roman" w:eastAsia="Times New Roman" w:hAnsi="Times New Roman" w:cs="Times New Roman"/>
          <w:sz w:val="24"/>
          <w:szCs w:val="24"/>
        </w:rPr>
        <w:t>As surveillance remains key to global health security, platforms such as the One Health Early Warning &amp; Response Systems (O</w:t>
      </w:r>
      <w:r w:rsidR="00D2336E">
        <w:rPr>
          <w:rFonts w:ascii="Times New Roman" w:eastAsia="Times New Roman" w:hAnsi="Times New Roman" w:cs="Times New Roman"/>
          <w:sz w:val="24"/>
          <w:szCs w:val="24"/>
        </w:rPr>
        <w:t>H-EWRS) have been developed.</w:t>
      </w:r>
      <w:r w:rsidR="001A5144">
        <w:rPr>
          <w:rFonts w:ascii="Times New Roman" w:eastAsia="Times New Roman" w:hAnsi="Times New Roman" w:cs="Times New Roman"/>
          <w:sz w:val="24"/>
          <w:szCs w:val="24"/>
        </w:rPr>
        <w:t xml:space="preserve"> </w:t>
      </w:r>
      <w:r w:rsidR="00D2336E">
        <w:rPr>
          <w:rFonts w:ascii="Times New Roman" w:eastAsia="Times New Roman" w:hAnsi="Times New Roman" w:cs="Times New Roman"/>
          <w:sz w:val="24"/>
          <w:szCs w:val="24"/>
        </w:rPr>
        <w:fldChar w:fldCharType="begin"/>
      </w:r>
      <w:r w:rsidR="00D2336E">
        <w:rPr>
          <w:rFonts w:ascii="Times New Roman" w:eastAsia="Times New Roman" w:hAnsi="Times New Roman" w:cs="Times New Roman"/>
          <w:sz w:val="24"/>
          <w:szCs w:val="24"/>
        </w:rPr>
        <w:instrText xml:space="preserve"> ADDIN ZOTERO_ITEM CSL_CITATION {"citationID":"WLg4wug9","properties":{"formattedCitation":"(3)","plainCitation":"(3)","noteIndex":0},"citationItems":[{"id":11962,"uris":["http://zotero.org/users/12416167/items/XY9Z62DE"],"itemData":{"id":11962,"type":"article-journal","abstract":"Background Emerging and reemerging zoonotic diseases have become a global concern due to their frequent occurrence. Large delays between onset of emerging zoonotic disease outbreaks and their reporting and control are indicative of weak animal and human health systems. Objectives The objective of this paper is to tackle the time delay by suggesting a One Health Early Warning and Response System (OH-EWRS) aiming at improving the surveillance and notification of zoonotic diseases by strengthening ‘bottom-up’ approaches and systems for early detection, especially in hot spot areas where they emerge. Methods In this conceptual paper, we searched online database including PubMed, Google and Google Scholar to explore the scientific landscape for zoonotic diseases and One Health Early Warning and Response Systems published in English up to December, 2020. In addition, the authors made use of their own expertise and critically reviewed the retrieved papers that were found to be of relevance as the three authors are experts in their own fields, coming from different backgrounds, but are all working to improve the prevention and control of zoonotic disease outbreak. Results The OH-EWRS advocates for collaboration between relevant stakeholders including nongovernmental organisations, country offices of international and intergovernmental technical organisations, governmental bodies, research institutes, the private sector and local communities with the aim of an integrated One Health prevention and control system. The OH-EWRS considers various priorities and objectives of the different stakeholders, taking into account possible conflict of interests and considering the need for trust, transparency and mutual benefits. Conclusions Although the operationalisation, governance and institutionalisation of the OH-EWRS should be the responsibility of government bodies, inputs from and feedback to relevant stakeholders through a bottom-up and top-down approach are essential elements for the application of the successful operationalisation of a OH-EWRS.","container-title":"Veterinary Medicine and Science","DOI":"10.1002/vms3.1135","ISSN":"2053-1095","issue":"4","language":"en","license":"© 2023 The Authors. Veterinary Medicine and Science published by John Wiley &amp; Sons Ltd.","note":"_eprint: https://onlinelibrary.wiley.com/doi/pdf/10.1002/vms3.1135","page":"1881-1889","source":"Wiley Online Library","title":"One Health early warning and response system for zoonotic diseases outbreaks: Emphasis on the involvement of grassroots actors","title-short":"One Health early warning and response system for zoonotic diseases outbreaks","volume":"9","author":[{"family":"Hassan","given":"Osama Ahmed"},{"family":"Balogh","given":"Katinka","non-dropping-particle":"de"},{"family":"Winkler","given":"Andrea Sylvia"}],"issued":{"date-parts":[["2023"]]}}}],"schema":"https://github.com/citation-style-language/schema/raw/master/csl-citation.json"} </w:instrText>
      </w:r>
      <w:r w:rsidR="00D2336E">
        <w:rPr>
          <w:rFonts w:ascii="Times New Roman" w:eastAsia="Times New Roman" w:hAnsi="Times New Roman" w:cs="Times New Roman"/>
          <w:sz w:val="24"/>
          <w:szCs w:val="24"/>
        </w:rPr>
        <w:fldChar w:fldCharType="separate"/>
      </w:r>
      <w:r w:rsidR="00D2336E" w:rsidRPr="00D2336E">
        <w:rPr>
          <w:rFonts w:ascii="Times New Roman" w:hAnsi="Times New Roman" w:cs="Times New Roman"/>
          <w:sz w:val="24"/>
        </w:rPr>
        <w:t>(3)</w:t>
      </w:r>
      <w:r w:rsidR="00D2336E">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In Ethiopia, similar tools have proven helpful in improving early detection of zoonotic disease; </w:t>
      </w:r>
      <w:r w:rsidR="007E13CC" w:rsidRPr="00977C61">
        <w:rPr>
          <w:rFonts w:ascii="Times New Roman" w:eastAsia="Times New Roman" w:hAnsi="Times New Roman" w:cs="Times New Roman"/>
          <w:sz w:val="24"/>
          <w:szCs w:val="24"/>
        </w:rPr>
        <w:t>however,</w:t>
      </w:r>
      <w:r w:rsidRPr="00977C61">
        <w:rPr>
          <w:rFonts w:ascii="Times New Roman" w:eastAsia="Times New Roman" w:hAnsi="Times New Roman" w:cs="Times New Roman"/>
          <w:sz w:val="24"/>
          <w:szCs w:val="24"/>
        </w:rPr>
        <w:t xml:space="preserve"> challenged by the sil</w:t>
      </w:r>
      <w:r w:rsidR="007E13CC">
        <w:rPr>
          <w:rFonts w:ascii="Times New Roman" w:eastAsia="Times New Roman" w:hAnsi="Times New Roman" w:cs="Times New Roman"/>
          <w:sz w:val="24"/>
          <w:szCs w:val="24"/>
        </w:rPr>
        <w:t xml:space="preserve">oed nature in which different one health </w:t>
      </w:r>
      <w:r w:rsidR="001A5144">
        <w:rPr>
          <w:rFonts w:ascii="Times New Roman" w:eastAsia="Times New Roman" w:hAnsi="Times New Roman" w:cs="Times New Roman"/>
          <w:sz w:val="24"/>
          <w:szCs w:val="24"/>
        </w:rPr>
        <w:t>sectors</w:t>
      </w:r>
      <w:r w:rsidR="007E13CC">
        <w:rPr>
          <w:rFonts w:ascii="Times New Roman" w:eastAsia="Times New Roman" w:hAnsi="Times New Roman" w:cs="Times New Roman"/>
          <w:sz w:val="24"/>
          <w:szCs w:val="24"/>
        </w:rPr>
        <w:t xml:space="preserve"> function</w:t>
      </w:r>
      <w:r w:rsidR="00D2336E">
        <w:rPr>
          <w:rFonts w:ascii="Times New Roman" w:eastAsia="Times New Roman" w:hAnsi="Times New Roman" w:cs="Times New Roman"/>
          <w:sz w:val="24"/>
          <w:szCs w:val="24"/>
        </w:rPr>
        <w:t>.</w:t>
      </w:r>
      <w:r w:rsidR="001A5144">
        <w:rPr>
          <w:rFonts w:ascii="Times New Roman" w:eastAsia="Times New Roman" w:hAnsi="Times New Roman" w:cs="Times New Roman"/>
          <w:sz w:val="24"/>
          <w:szCs w:val="24"/>
        </w:rPr>
        <w:t xml:space="preserve"> </w:t>
      </w:r>
      <w:r w:rsidR="00D2336E">
        <w:rPr>
          <w:rFonts w:ascii="Times New Roman" w:eastAsia="Times New Roman" w:hAnsi="Times New Roman" w:cs="Times New Roman"/>
          <w:sz w:val="24"/>
          <w:szCs w:val="24"/>
        </w:rPr>
        <w:fldChar w:fldCharType="begin"/>
      </w:r>
      <w:r w:rsidR="00D2336E">
        <w:rPr>
          <w:rFonts w:ascii="Times New Roman" w:eastAsia="Times New Roman" w:hAnsi="Times New Roman" w:cs="Times New Roman"/>
          <w:sz w:val="24"/>
          <w:szCs w:val="24"/>
        </w:rPr>
        <w:instrText xml:space="preserve"> ADDIN ZOTERO_ITEM CSL_CITATION {"citationID":"lPMGsrUl","properties":{"formattedCitation":"(4)","plainCitation":"(4)","noteIndex":0},"citationItems":[{"id":11965,"uris":["http://zotero.org/users/12416167/items/TXE479GQ"],"itemData":{"id":11965,"type":"article-journal","container-title":"CABI One Health","DOI":"https://doi.org/10.1079/cabionehealth.2023.0014","issue":"1","title":"Operationalizing a community-based OneHealth surveillance and response in Adadle district of Ethiopia","volume":"2","author":[{"family":"Osman","given":"Yahya"},{"family":"Zinsstag","given":"Jakob"},{"family":"Abtidon","given":"Rahma"},{"family":"Hattendorf","given":"Jan"},{"family":"Crump","given":"Lisa"},{"family":"Wali","given":"Halane"},{"family":"Mo’alin","given":"Ahmed"},{"family":"Muhumed","given":"Abdifatah"},{"family":"Tschopp","given":"Rea"}],"issued":{"date-parts":[["2023"]]}}}],"schema":"https://github.com/citation-style-language/schema/raw/master/csl-citation.json"} </w:instrText>
      </w:r>
      <w:r w:rsidR="00D2336E">
        <w:rPr>
          <w:rFonts w:ascii="Times New Roman" w:eastAsia="Times New Roman" w:hAnsi="Times New Roman" w:cs="Times New Roman"/>
          <w:sz w:val="24"/>
          <w:szCs w:val="24"/>
        </w:rPr>
        <w:fldChar w:fldCharType="separate"/>
      </w:r>
      <w:r w:rsidR="00D2336E" w:rsidRPr="00D2336E">
        <w:rPr>
          <w:rFonts w:ascii="Times New Roman" w:hAnsi="Times New Roman" w:cs="Times New Roman"/>
          <w:sz w:val="24"/>
        </w:rPr>
        <w:t>(4)</w:t>
      </w:r>
      <w:r w:rsidR="00D2336E">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Resilie</w:t>
      </w:r>
      <w:r w:rsidR="007E13CC">
        <w:rPr>
          <w:rFonts w:ascii="Times New Roman" w:eastAsia="Times New Roman" w:hAnsi="Times New Roman" w:cs="Times New Roman"/>
          <w:sz w:val="24"/>
          <w:szCs w:val="24"/>
        </w:rPr>
        <w:t>nce community health systems are</w:t>
      </w:r>
      <w:r w:rsidRPr="00977C61">
        <w:rPr>
          <w:rFonts w:ascii="Times New Roman" w:eastAsia="Times New Roman" w:hAnsi="Times New Roman" w:cs="Times New Roman"/>
          <w:sz w:val="24"/>
          <w:szCs w:val="24"/>
        </w:rPr>
        <w:t xml:space="preserve"> achieved through governance, coordination,</w:t>
      </w:r>
      <w:r w:rsidR="007E13CC">
        <w:rPr>
          <w:rFonts w:ascii="Times New Roman" w:eastAsia="Times New Roman" w:hAnsi="Times New Roman" w:cs="Times New Roman"/>
          <w:sz w:val="24"/>
          <w:szCs w:val="24"/>
        </w:rPr>
        <w:t xml:space="preserve"> community engagement, as well as</w:t>
      </w:r>
      <w:r w:rsidRPr="00977C61">
        <w:rPr>
          <w:rFonts w:ascii="Times New Roman" w:eastAsia="Times New Roman" w:hAnsi="Times New Roman" w:cs="Times New Roman"/>
          <w:sz w:val="24"/>
          <w:szCs w:val="24"/>
        </w:rPr>
        <w:t xml:space="preserve"> health systems infrastructure and resources</w:t>
      </w:r>
      <w:r w:rsidR="00D2336E">
        <w:rPr>
          <w:rFonts w:ascii="Times New Roman" w:eastAsia="Times New Roman" w:hAnsi="Times New Roman" w:cs="Times New Roman"/>
          <w:sz w:val="24"/>
          <w:szCs w:val="24"/>
        </w:rPr>
        <w:t xml:space="preserve">. </w:t>
      </w:r>
      <w:r w:rsidR="00D2336E">
        <w:rPr>
          <w:rFonts w:ascii="Times New Roman" w:eastAsia="Times New Roman" w:hAnsi="Times New Roman" w:cs="Times New Roman"/>
          <w:sz w:val="24"/>
          <w:szCs w:val="24"/>
        </w:rPr>
        <w:fldChar w:fldCharType="begin"/>
      </w:r>
      <w:r w:rsidR="00D2336E">
        <w:rPr>
          <w:rFonts w:ascii="Times New Roman" w:eastAsia="Times New Roman" w:hAnsi="Times New Roman" w:cs="Times New Roman"/>
          <w:sz w:val="24"/>
          <w:szCs w:val="24"/>
        </w:rPr>
        <w:instrText xml:space="preserve"> ADDIN ZOTERO_ITEM CSL_CITATION {"citationID":"Cv15LQCy","properties":{"formattedCitation":"(2,5,6)","plainCitation":"(2,5,6)","noteIndex":0},"citationItems":[{"id":11957,"uris":["http://zotero.org/users/12416167/items/FZEUAFV8"],"itemData":{"id":11957,"type":"article-journal","abstract":"Strengthening health systems and maintaining essential service delivery during health emergencies response is critical for early detection and diagnosis, prompt treatment, and effective control of pandemics, including the novel coronavirus disease 2019 (COVID-19). Health information systems (HIS) developed during recent Ebola outbreaks in West Africa and the Democratic Republic of the Congo (DRC) provided opportunities to collect, analyze, and distribute data to inform both day-to-day and long-term policy decisions on outbreak preparedness. As COVID-19 continues to sweep across the globe, HIS and related technological advancements remain vital for effective and sustained data sharing, contact tracing, mapping and monitoring, community risk sensitization and engagement, preventive education, and timely preparedness and response activities. In reviewing literature of how HIS could have further supported mitigation of these Ebola outbreaks and the ongoing COVID-19 pandemic, 3 key areas were identified: governance and coordination, health systems infrastructure and resources, and community engagement. In this concept study, we outline scalable HIS lessons from recent Ebola outbreaks and early COVID-19 responses along these 3 domains, synthesizing recommendations to offer clear, evidence-based approaches on how to leverage HIS to strengthen the current pandemic response and foster community health systems resilience moving forward.","container-title":"Disaster Medicine and Public Health Preparedness","DOI":"10.1017/dmp.2020.361","ISSN":"1935-7893, 1938-744X","issue":"1","language":"en","page":"333-340","source":"Cambridge University Press","title":"Optimizing Pandemic Preparedness and Response Through Health Information Systems: Lessons Learned From Ebola to COVID-19","title-short":"Optimizing Pandemic Preparedness and Response Through Health Information Systems","volume":"16","author":[{"family":"Lal","given":"Arush"},{"family":"Ashworth","given":"Henry C."},{"family":"Dada","given":"Sara"},{"family":"Hoemeke","given":"Laura"},{"family":"Tambo","given":"Ernest"}],"issued":{"date-parts":[["2022",2]]}},"label":"page"},{"id":11955,"uris":["http://zotero.org/users/12416167/items/INNXL8L8"],"itemData":{"id":11955,"type":"article-journal","abstract":"Objective: This study aimed to explore the elements of a resilient community health system during the COVID-19 pandemic and discuss whether the frameworks described in previous studies can be applied to real-world situations with those who implemented the Community Engagement Strategy (CES), a strategy to make health systems work in their communities during health crises in Uganda. Methods: Focus group discussions (22 participants in total) were conducted with COVID Task Force members in four districts in Uganda in March 2022. These districts implementedCES to ensure that health systems in their communities continued to function during health scares, and have been evaluated to ensure that the strategies have been implemented. Results: A thematic analysis was applied. From the results some factors which can enhance the resiliency of community health systems were identified: including \"knowledge\", \"communication\", \"governance\", and \"resources\". The most important elements changed depending on the phase of the outbreak. VHTs are the key players in the transition from knowledge-and resource-oriented initiatives to communication and governance by community residents. Conclusion: COVID-19, a new infectious disease, provides lessons for a resilient community health system. First, the health system should be flexible enough to be able to change the elements on which it is focused, and second, VHTs play an important role in the flexibility of the health system. This suggests that it is time to assess whether VHTs are still able to continue their activities after the pandemic is over, and whether the environment, including financial and non-financial support, has improved.","container-title":"Frontiers in Public Health","DOI":"10.3389/fpubh.2023.1214307","ISSN":"2296-2565","journalAbbreviation":"Front. Public Health","language":"English","publisher":"Frontiers","source":"Frontiers","title":"Enhancing community health system resilience: lessons learnt during the COVID-19 pandemic in Uganda through the qualitative inquiry of the COVID Task Force","title-short":"Enhancing community health system resilience","URL":"https://www.frontiersin.org/journals/public-health/articles/10.3389/fpubh.2023.1214307/full","volume":"11","author":[{"family":"Saito","given":"Kiyoko"},{"family":"Komasawa","given":"Makiko"},{"family":"Ssekitoleko","given":"Robert"},{"family":"Aung","given":"Myo Nyein"}],"accessed":{"date-parts":[["2025",7,10]]},"issued":{"date-parts":[["2023",11,16]]}},"label":"page"},{"id":11959,"uris":["http://zotero.org/users/12416167/items/C74GR2CK"],"itemData":{"id":11959,"type":"article-journal","abstract":"Background and Aims\nThe unified Rwandan initiative for national ZEBOVAC immunization (UMURINZI) program's community engagement component was enacted to mobilize and vaccinate high‐risk community members. This article describes best practices and lessons learned from the implementation of UMURINZI, a large‐scale Ebola vaccination program.\n\nMethods\nThe population deemed to be at risk for EVD consisted of people who frequently cross Rwanda and the Democratic Republic of Congo (DRC) borders including those coming from Kigali City, potential first responders who have not previously been vaccinated against EVD, as well as people who reside in high‐risk border‐proximate areas of the Rubavu and Rusizi districts in the Western Province of Rwanda. These districts were selected because of their proximity to high‐traffic borders linking Rwanda to DRC's cities near an active Ebola outbreak. Volunteers of this program were adults, adolescents, and children aged 2 years or above who resided in the selected communities. Recruitment at the sites was conducted in close collaboration with each health area's Community Health Workers (CHWs). Volunteers were informed that the program involved being fully vaccinated (two doses of Ebola vaccines) within 2 months apart in the allocated vaccination sites.\n\nResults\nLessons learned were categorized into four pillars: infrastructure, leadership, myths, and partnership with respect. The best practices that were used during the implementation of the UMURINZI program were the results of a collaboration among CHWs, the involvement of national and local leaders, the use of a comprehensive engagement plan, and training. The study also had limitations.\n\nConclusion\nWe described best practices and lessons learned during the implementation of the UMURINZI program in Rwanda. These practices and lessons learned represent promising options that could contribute to better community members' participation in mass vaccination programs. Hence, we demonstrated that rigorously designed community awareness and sensitization programs are effective for the implementation of similar programs in resource‐limited settings.","container-title":"Health Science Reports","DOI":"10.1002/hsr2.1618","ISSN":"2398-8835","issue":"10","journalAbbreviation":"Health Sci Rep","page":"e1618","PMID":"37822840","PMCID":"PMC10562525","source":"PubMed Central","title":"Best practices and lessons learned from implementing a massive Ebola vaccination program: Summarizing UMURINZI team experience","title-short":"Best practices and lessons learned from implementing a massive Ebola vaccination program","volume":"6","author":[{"family":"Dine","given":"Roseline Dzekem"},{"family":"Umutoni","given":"Aline Uwizera"},{"family":"Umulisa","given":"Marie Michele"},{"family":"Ezeanochie","given":"Nnamdi"},{"family":"Noben","given":"Jozef"},{"family":"Indoe","given":"Ellen Pagan"},{"family":"Dusingize","given":"Clémence"},{"family":"Kamali","given":"Fulgence"},{"family":"Niyingabira","given":"Julien"}],"issued":{"date-parts":[["2023",10,9]]}},"label":"page"}],"schema":"https://github.com/citation-style-language/schema/raw/master/csl-citation.json"} </w:instrText>
      </w:r>
      <w:r w:rsidR="00D2336E">
        <w:rPr>
          <w:rFonts w:ascii="Times New Roman" w:eastAsia="Times New Roman" w:hAnsi="Times New Roman" w:cs="Times New Roman"/>
          <w:sz w:val="24"/>
          <w:szCs w:val="24"/>
        </w:rPr>
        <w:fldChar w:fldCharType="separate"/>
      </w:r>
      <w:r w:rsidR="00D2336E" w:rsidRPr="00D2336E">
        <w:rPr>
          <w:rFonts w:ascii="Times New Roman" w:hAnsi="Times New Roman" w:cs="Times New Roman"/>
          <w:sz w:val="24"/>
        </w:rPr>
        <w:t>(2,5,6)</w:t>
      </w:r>
      <w:r w:rsidR="00D2336E">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w:t>
      </w:r>
      <w:r w:rsidR="007E13CC" w:rsidRPr="00977C61">
        <w:rPr>
          <w:rFonts w:ascii="Times New Roman" w:eastAsia="Times New Roman" w:hAnsi="Times New Roman" w:cs="Times New Roman"/>
          <w:sz w:val="24"/>
          <w:szCs w:val="24"/>
        </w:rPr>
        <w:t xml:space="preserve">By investing in </w:t>
      </w:r>
      <w:r w:rsidR="007E13CC">
        <w:rPr>
          <w:rFonts w:ascii="Times New Roman" w:eastAsia="Times New Roman" w:hAnsi="Times New Roman" w:cs="Times New Roman"/>
          <w:sz w:val="24"/>
          <w:szCs w:val="24"/>
        </w:rPr>
        <w:t xml:space="preserve">disease </w:t>
      </w:r>
      <w:r w:rsidR="007E13CC" w:rsidRPr="00977C61">
        <w:rPr>
          <w:rFonts w:ascii="Times New Roman" w:eastAsia="Times New Roman" w:hAnsi="Times New Roman" w:cs="Times New Roman"/>
          <w:sz w:val="24"/>
          <w:szCs w:val="24"/>
        </w:rPr>
        <w:t xml:space="preserve">prevention through </w:t>
      </w:r>
      <w:r w:rsidR="007E13CC">
        <w:rPr>
          <w:rFonts w:ascii="Times New Roman" w:eastAsia="Times New Roman" w:hAnsi="Times New Roman" w:cs="Times New Roman"/>
          <w:sz w:val="24"/>
          <w:szCs w:val="24"/>
        </w:rPr>
        <w:t>the One Health approach,</w:t>
      </w:r>
      <w:r w:rsidR="007E13CC" w:rsidRPr="00977C61">
        <w:rPr>
          <w:rFonts w:ascii="Times New Roman" w:eastAsia="Times New Roman" w:hAnsi="Times New Roman" w:cs="Times New Roman"/>
          <w:sz w:val="24"/>
          <w:szCs w:val="24"/>
        </w:rPr>
        <w:t xml:space="preserve"> it is possible to return 86% on in</w:t>
      </w:r>
      <w:r w:rsidR="007E13CC">
        <w:rPr>
          <w:rFonts w:ascii="Times New Roman" w:eastAsia="Times New Roman" w:hAnsi="Times New Roman" w:cs="Times New Roman"/>
          <w:sz w:val="24"/>
          <w:szCs w:val="24"/>
        </w:rPr>
        <w:t xml:space="preserve">vestment from outbreak costs. </w:t>
      </w:r>
      <w:r w:rsidR="007E13CC" w:rsidRPr="00180B50">
        <w:rPr>
          <w:rFonts w:ascii="Times New Roman" w:eastAsia="Times New Roman" w:hAnsi="Times New Roman" w:cs="Times New Roman"/>
          <w:sz w:val="24"/>
          <w:szCs w:val="24"/>
        </w:rPr>
        <w:fldChar w:fldCharType="begin"/>
      </w:r>
      <w:r w:rsidR="00D2336E">
        <w:rPr>
          <w:rFonts w:ascii="Times New Roman" w:eastAsia="Times New Roman" w:hAnsi="Times New Roman" w:cs="Times New Roman"/>
          <w:sz w:val="24"/>
          <w:szCs w:val="24"/>
        </w:rPr>
        <w:instrText xml:space="preserve"> ADDIN ZOTERO_ITEM CSL_CITATION {"citationID":"WBRiCBGn","properties":{"formattedCitation":"(1)","plainCitation":"(1)","noteIndex":0},"citationItems":[{"id":11953,"uris":["http://zotero.org/users/12416167/items/6C3DUEIW"],"itemData":{"id":11953,"type":"webpage","abstract":"Learn how the One Health approach can help prevent the next pandemic. Read the latest report from the World Bank and find out how this integrated approach is making a difference in sustainably balancing and optimizing the health of people, animals, and ecosystems.","container-title":"World Bank","language":"en","title":"One Health Approach - Prevent the Next Pandemic","URL":"https://www.worldbank.org/en/news/feature/2022/10/24/one-health-approach-can-prevent-the-next-pandemic","author":[{"family":"World Bank Group","given":""}],"accessed":{"date-parts":[["2025",7,10]]}}}],"schema":"https://github.com/citation-style-language/schema/raw/master/csl-citation.json"} </w:instrText>
      </w:r>
      <w:r w:rsidR="007E13CC" w:rsidRPr="00180B50">
        <w:rPr>
          <w:rFonts w:ascii="Times New Roman" w:eastAsia="Times New Roman" w:hAnsi="Times New Roman" w:cs="Times New Roman"/>
          <w:sz w:val="24"/>
          <w:szCs w:val="24"/>
        </w:rPr>
        <w:fldChar w:fldCharType="separate"/>
      </w:r>
      <w:r w:rsidR="007E13CC" w:rsidRPr="00180B50">
        <w:rPr>
          <w:rFonts w:ascii="Times New Roman" w:eastAsia="Times New Roman" w:hAnsi="Times New Roman" w:cs="Times New Roman"/>
          <w:sz w:val="24"/>
          <w:szCs w:val="24"/>
        </w:rPr>
        <w:t>(1)</w:t>
      </w:r>
      <w:r w:rsidR="007E13CC" w:rsidRPr="00180B50">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w:t>
      </w:r>
      <w:r w:rsidR="00D2336E" w:rsidRPr="00977C61">
        <w:rPr>
          <w:rFonts w:ascii="Times New Roman" w:eastAsia="Times New Roman" w:hAnsi="Times New Roman" w:cs="Times New Roman"/>
          <w:sz w:val="24"/>
          <w:szCs w:val="24"/>
        </w:rPr>
        <w:t>Th</w:t>
      </w:r>
      <w:r w:rsidR="00D2336E">
        <w:rPr>
          <w:rFonts w:ascii="Times New Roman" w:eastAsia="Times New Roman" w:hAnsi="Times New Roman" w:cs="Times New Roman"/>
          <w:sz w:val="24"/>
          <w:szCs w:val="24"/>
        </w:rPr>
        <w:t>erefore</w:t>
      </w:r>
      <w:r w:rsidR="00D2336E" w:rsidRPr="00977C61">
        <w:rPr>
          <w:rFonts w:ascii="Times New Roman" w:eastAsia="Times New Roman" w:hAnsi="Times New Roman" w:cs="Times New Roman"/>
          <w:sz w:val="24"/>
          <w:szCs w:val="24"/>
        </w:rPr>
        <w:t>, strengthening collaboration between sectors on health matters is imminent for pandemic prevention and stable communities</w:t>
      </w:r>
      <w:r w:rsidR="00D2336E">
        <w:rPr>
          <w:rFonts w:ascii="Times New Roman" w:eastAsia="Times New Roman" w:hAnsi="Times New Roman" w:cs="Times New Roman"/>
          <w:sz w:val="24"/>
          <w:szCs w:val="24"/>
        </w:rPr>
        <w:t xml:space="preserve">. </w:t>
      </w:r>
    </w:p>
    <w:p w14:paraId="63F3E26D" w14:textId="269D4B1D" w:rsidR="00375058" w:rsidRDefault="00D2336E" w:rsidP="00375058">
      <w:pPr>
        <w:autoSpaceDE w:val="0"/>
        <w:autoSpaceDN w:val="0"/>
        <w:adjustRightInd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Rwanda</w:t>
      </w:r>
      <w:r w:rsidR="00977C61" w:rsidRPr="00977C61">
        <w:rPr>
          <w:rFonts w:ascii="Times New Roman" w:eastAsia="Times New Roman" w:hAnsi="Times New Roman" w:cs="Times New Roman"/>
          <w:sz w:val="24"/>
          <w:szCs w:val="24"/>
        </w:rPr>
        <w:t xml:space="preserve"> operates a decentralized health system that heavily relies on Community Health Workers (CHWs), youth volunteers, and Local leaders who significantly contribute to community health development and education. Each village typically has four CHWs linked to the nearest health center and is currently integrated into the national health information system, strengthenin</w:t>
      </w:r>
      <w:r>
        <w:rPr>
          <w:rFonts w:ascii="Times New Roman" w:eastAsia="Times New Roman" w:hAnsi="Times New Roman" w:cs="Times New Roman"/>
          <w:sz w:val="24"/>
          <w:szCs w:val="24"/>
        </w:rPr>
        <w:t xml:space="preserve">g linkage to health posts.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{"citationID":"PM1TIgaI","properties":{"formattedCitation":"(7,8)","plainCitation":"(7,8)","noteIndex":0},"citationItems":[{"id":11967,"uris":["http://zotero.org/users/12416167/items/ZETY9MKZ"],"itemData":{"id":11967,"type":"article-journal","abstract":"Engagement and training of community health workers (CHWs) have demonstrated their value in different conditions. Despite repeat epilepsy trainings of CHWs in Northern Rwanda, the treatment gap remained high. We hypothesized that effectiveness of CHWs on mobilization of patients living with epilepsy (PwE) could be improved using a validated tool for epilepsy screening.","container-title":"Human Resources for Health","DOI":"10.1186/s12960-022-00704-5","ISSN":"1478-4491","issue":"1","journalAbbreviation":"Human Resources for Health","page":"10","source":"BioMed Central","title":"Effectiveness of community health workers on identification and mobilization of persons living with epilepsy in rural Rwanda using a validated screening tool","volume":"20","author":[{"family":"Sebera","given":"Fidele"},{"family":"Dedeken","given":"Peter"},{"family":"Kayirangwa","given":"Jeannine"},{"family":"Umwiringirwa","given":"Josiane"},{"family":"Kajeneza","given":"Delphine"},{"family":"Reis","given":"Nicole Alves","non-dropping-particle":"dos"},{"family":"Leers","given":"Tim"},{"family":"Teuwen","given":"Dirk E."},{"family":"Boon","given":"Paul A. J. M."}],"issued":{"date-parts":[["2022",1,21]]}},"label":"page"},{"id":11966,"uris":["http://zotero.org/users/12416167/items/V9I8AZPG"],"itemData":{"id":11966,"type":"webpage","title":"Social Transformation","URL":"https://www.gov.rw/highlights/social-transformation?utm_source=chatgpt.com","author":[{"family":"Republic of Rwanda","given":""}],"accessed":{"date-parts":[["2025",7,10]]}},"label":"page"}],"schema":"https://github.com/citation-style-language/schema/raw/master/csl-citation.json"} </w:instrText>
      </w:r>
      <w:r>
        <w:rPr>
          <w:rFonts w:ascii="Times New Roman" w:eastAsia="Times New Roman" w:hAnsi="Times New Roman" w:cs="Times New Roman"/>
          <w:sz w:val="24"/>
          <w:szCs w:val="24"/>
        </w:rPr>
        <w:fldChar w:fldCharType="separate"/>
      </w:r>
      <w:r w:rsidRPr="00D2336E">
        <w:rPr>
          <w:rFonts w:ascii="Times New Roman" w:hAnsi="Times New Roman" w:cs="Times New Roman"/>
          <w:sz w:val="24"/>
        </w:rPr>
        <w:t>(7,8)</w:t>
      </w:r>
      <w:r>
        <w:rPr>
          <w:rFonts w:ascii="Times New Roman" w:eastAsia="Times New Roman" w:hAnsi="Times New Roman" w:cs="Times New Roman"/>
          <w:sz w:val="24"/>
          <w:szCs w:val="24"/>
        </w:rPr>
        <w:fldChar w:fldCharType="end"/>
      </w:r>
      <w:r w:rsidR="00977C61" w:rsidRPr="00977C61">
        <w:rPr>
          <w:rFonts w:ascii="Times New Roman" w:eastAsia="Times New Roman" w:hAnsi="Times New Roman" w:cs="Times New Roman"/>
          <w:sz w:val="24"/>
          <w:szCs w:val="24"/>
        </w:rPr>
        <w:t xml:space="preserve"> On the animal health side, services are delivered through veterinary technicians and community animal health workers (CAHWs), particularly in remote areas, under the supervision of district veterinary officers and the Rwanda Agriculture and Animal Resources Development Board (RAB). Despite their existence, they function in silos, make little use of surveillance data, have inconsistent reporting, </w:t>
      </w:r>
      <w:r>
        <w:rPr>
          <w:rFonts w:ascii="Times New Roman" w:eastAsia="Times New Roman" w:hAnsi="Times New Roman" w:cs="Times New Roman"/>
          <w:sz w:val="24"/>
          <w:szCs w:val="24"/>
        </w:rPr>
        <w:t xml:space="preserve">and have limited skills.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{"citationID":"9aYwTIdh","properties":{"formattedCitation":"(9)","plainCitation":"(9)","noteIndex":0},"citationItems":[{"id":11971,"uris":["http://zotero.org/users/12416167/items/XTJQRTHK"],"itemData":{"id":11971,"type":"article-journal","title":"OIE PVS Evaluation Follow-Up Mission Report","URL":"chrome-extension://efaidnbmnnnibpcajpcglclefindmkaj/https://www.woah.org/fileadmin/Home/eng/Support_to_OIE_Members/pdf/20191218_Rwanda_PVS_FU_report_2019_final.pdf","author":[{"family":"World Organization for Animal Health","given":""}],"issued":{"date-parts":[["2019"]]}}}],"schema":"https://github.com/citation-style-language/schema/raw/master/csl-citation.json"} </w:instrText>
      </w:r>
      <w:r>
        <w:rPr>
          <w:rFonts w:ascii="Times New Roman" w:eastAsia="Times New Roman" w:hAnsi="Times New Roman" w:cs="Times New Roman"/>
          <w:sz w:val="24"/>
          <w:szCs w:val="24"/>
        </w:rPr>
        <w:fldChar w:fldCharType="separate"/>
      </w:r>
      <w:r w:rsidRPr="00D2336E">
        <w:rPr>
          <w:rFonts w:ascii="Times New Roman" w:hAnsi="Times New Roman" w:cs="Times New Roman"/>
          <w:sz w:val="24"/>
        </w:rPr>
        <w:t>(9)</w:t>
      </w:r>
      <w:r>
        <w:rPr>
          <w:rFonts w:ascii="Times New Roman" w:eastAsia="Times New Roman" w:hAnsi="Times New Roman" w:cs="Times New Roman"/>
          <w:sz w:val="24"/>
          <w:szCs w:val="24"/>
        </w:rPr>
        <w:fldChar w:fldCharType="end"/>
      </w:r>
      <w:r w:rsidR="00977C61" w:rsidRPr="00977C61">
        <w:rPr>
          <w:rFonts w:ascii="Times New Roman" w:eastAsia="Times New Roman" w:hAnsi="Times New Roman" w:cs="Times New Roman"/>
          <w:sz w:val="24"/>
          <w:szCs w:val="24"/>
        </w:rPr>
        <w:t xml:space="preserve"> Surveillance in animal and environmental sectors remains inadequate, delaying the early detection of diseases such as foot-and-mouth disease and Rift Valley fever, which ca</w:t>
      </w:r>
      <w:r w:rsidR="00375058">
        <w:rPr>
          <w:rFonts w:ascii="Times New Roman" w:eastAsia="Times New Roman" w:hAnsi="Times New Roman" w:cs="Times New Roman"/>
          <w:sz w:val="24"/>
          <w:szCs w:val="24"/>
        </w:rPr>
        <w:t xml:space="preserve">n be transmitted to humans. </w:t>
      </w:r>
      <w:r w:rsidR="00375058">
        <w:rPr>
          <w:rFonts w:ascii="Times New Roman" w:eastAsia="Times New Roman" w:hAnsi="Times New Roman" w:cs="Times New Roman"/>
          <w:sz w:val="24"/>
          <w:szCs w:val="24"/>
        </w:rPr>
        <w:fldChar w:fldCharType="begin"/>
      </w:r>
      <w:r w:rsidR="00375058">
        <w:rPr>
          <w:rFonts w:ascii="Times New Roman" w:eastAsia="Times New Roman" w:hAnsi="Times New Roman" w:cs="Times New Roman"/>
          <w:sz w:val="24"/>
          <w:szCs w:val="24"/>
        </w:rPr>
        <w:instrText xml:space="preserve"> ADDIN ZOTERO_ITEM CSL_CITATION {"citationID":"jWerhOtM","properties":{"formattedCitation":"(10)","plainCitation":"(10)","noteIndex":0},"citationItems":[{"id":11972,"uris":["http://zotero.org/users/12416167/items/48TC5BV5"],"itemData":{"id":11972,"type":"article-journal","abstract":"Rift Valley fever (RVF) is a zoonotic, mosquito-borne viral disease that affects human health and causes significant losses in the livestock industry. Recent outbreaks have led to severe human infections with high mortality rates. There are many challenges to applying effective preventive and control measures, including weak infrastructure of health facilities, lack of capacity and support systems for field logistics and communication, access to global expert organizations, and insufficient information on the epidemiological and reservoir status of the RVF virus. The health systems in East African countries are underdeveloped, with gaps in adaptability to new, more accurate and rapid techniques, and well-trained staff that affect their capacity to monitor and evaluate the disease. Surveillance and response systems are inadequate in providing accurate information in a timely manner for decision making to deal with the scope of interrupting the disease transmission by applying mass animal vaccination, and other preventive measures at the early stage of an outbreak. The historical vaccines are unsuitable for use in newborn and gestating livestock, and the recent ones require a booster and annual revaccination. Future live-attenuated RVF vaccines should possess lower safety concerns regardless of the physiologic state of the animal, and provide rapid and long-term immunity after a single dose of vaccination. In the absence of an effective vaccination program, prevention and control measures must be immediately undertaken after an alert is generated. These measures include enforcing and adapting standard protocols for animal trade and movement, extensive vector control, safe disposal of infected animals, and modification of human-animal contact behavior. Directing control efforts on farmers and workers who deal with, handle, or live close to livestock, and focusing on areas with populations at high risk of an epidemic are desirable. Consideration of prevention methods as a first-line strategy against RVF is practical owing to the absence of a human vaccine, particularly under the current high environmental risks and expanding global travel and animal trade. Universal platforms are needed to support coordinated efforts; alert and response operations; exchange of expertise; and disease detection, diagnosis, control, and prevention.","container-title":"Research and Reports in Tropical Medicine","DOI":"10.2147/RRTM.S63520","ISSN":"1179-7282","journalAbbreviation":"Res Rep Trop Med","language":"eng","page":"1-9","PMID":"30050334","PMCID":"PMC6028057","source":"PubMed","title":"Rift Valley fever: current challenges and future prospects","title-short":"Rift Valley fever","volume":"7","author":[{"family":"Himeidan","given":"Yousif E."}],"issued":{"date-parts":[["2016"]]}}}],"schema":"https://github.com/citation-style-language/schema/raw/master/csl-citation.json"} </w:instrText>
      </w:r>
      <w:r w:rsidR="00375058">
        <w:rPr>
          <w:rFonts w:ascii="Times New Roman" w:eastAsia="Times New Roman" w:hAnsi="Times New Roman" w:cs="Times New Roman"/>
          <w:sz w:val="24"/>
          <w:szCs w:val="24"/>
        </w:rPr>
        <w:fldChar w:fldCharType="separate"/>
      </w:r>
      <w:r w:rsidR="00375058" w:rsidRPr="00375058">
        <w:rPr>
          <w:rFonts w:ascii="Times New Roman" w:hAnsi="Times New Roman" w:cs="Times New Roman"/>
          <w:sz w:val="24"/>
        </w:rPr>
        <w:t>(10)</w:t>
      </w:r>
      <w:r w:rsidR="00375058">
        <w:rPr>
          <w:rFonts w:ascii="Times New Roman" w:eastAsia="Times New Roman" w:hAnsi="Times New Roman" w:cs="Times New Roman"/>
          <w:sz w:val="24"/>
          <w:szCs w:val="24"/>
        </w:rPr>
        <w:fldChar w:fldCharType="end"/>
      </w:r>
      <w:r w:rsidR="00977C61" w:rsidRPr="00977C61">
        <w:rPr>
          <w:rFonts w:ascii="Times New Roman" w:eastAsia="Times New Roman" w:hAnsi="Times New Roman" w:cs="Times New Roman"/>
          <w:sz w:val="24"/>
          <w:szCs w:val="24"/>
        </w:rPr>
        <w:t xml:space="preserve"> Effective coordination among these sectors is crucial for timely outbreak response and prevention. Moreover, inadequate collaboration among the </w:t>
      </w:r>
      <w:r w:rsidR="00375058">
        <w:rPr>
          <w:rFonts w:ascii="Times New Roman" w:eastAsia="Times New Roman" w:hAnsi="Times New Roman" w:cs="Times New Roman"/>
          <w:sz w:val="24"/>
          <w:szCs w:val="24"/>
        </w:rPr>
        <w:t>sector</w:t>
      </w:r>
      <w:r w:rsidR="00977C61" w:rsidRPr="00977C61">
        <w:rPr>
          <w:rFonts w:ascii="Times New Roman" w:eastAsia="Times New Roman" w:hAnsi="Times New Roman" w:cs="Times New Roman"/>
          <w:sz w:val="24"/>
          <w:szCs w:val="24"/>
        </w:rPr>
        <w:t>s undermines the management of cros</w:t>
      </w:r>
      <w:r w:rsidR="00375058">
        <w:rPr>
          <w:rFonts w:ascii="Times New Roman" w:eastAsia="Times New Roman" w:hAnsi="Times New Roman" w:cs="Times New Roman"/>
          <w:sz w:val="24"/>
          <w:szCs w:val="24"/>
        </w:rPr>
        <w:t xml:space="preserve">s-cutting health risks. </w:t>
      </w:r>
      <w:r w:rsidR="00375058">
        <w:rPr>
          <w:rFonts w:ascii="Times New Roman" w:eastAsia="Times New Roman" w:hAnsi="Times New Roman" w:cs="Times New Roman"/>
          <w:sz w:val="24"/>
          <w:szCs w:val="24"/>
        </w:rPr>
        <w:fldChar w:fldCharType="begin"/>
      </w:r>
      <w:r w:rsidR="00375058">
        <w:rPr>
          <w:rFonts w:ascii="Times New Roman" w:eastAsia="Times New Roman" w:hAnsi="Times New Roman" w:cs="Times New Roman"/>
          <w:sz w:val="24"/>
          <w:szCs w:val="24"/>
        </w:rPr>
        <w:instrText xml:space="preserve"> ADDIN ZOTERO_ITEM CSL_CITATION {"citationID":"pXnndXvh","properties":{"formattedCitation":"(11,12)","plainCitation":"(11,12)","noteIndex":0},"citationItems":[{"id":11975,"uris":["http://zotero.org/users/12416167/items/2FAGR7T7"],"itemData":{"id":11975,"type":"article-journal","abstract":"Advocates for a One Health approach recognize that global health challenges require multidisciplinary collaborative efforts. While past publications have looked at interdisciplinary competency training for collaboration, few have identified the factors and conditions that enable operational One Health. Through a scoping review of the literature, a multidisciplinary team of researchers analyzed peer-reviewed publications describing multisectoral collaborations around infectious disease-related health events. The review identified 12 factors that support successful One Health collaborations and a coordinated response to health events across three levels: two individual factors (education &amp; training and prior experience &amp; existing relationships), four organizational factors (organizational structures, culture, human resources and, communication), and six network factors (network structures, relationships, leadership, management, available &amp; accessible resources, political environment). The researchers also identified the stage of collaboration during which these factors were most critical, further organizing into starting condition or process-based factors. The research found that publications on multisectoral collaboration for health events do not uniformly report on successes or challenges of collaboration and rarely identify outputs or outcomes of the collaborative process. This paper proposes a common language and framework to enable more uniform reporting, implementation, and evaluation of future One Health collaborations.","container-title":"PLoS ONE","DOI":"10.1371/journal.pone.0224660","ISSN":"1932-6203","issue":"12","journalAbbreviation":"PLoS One","page":"e0224660","PMID":"31800579","PMCID":"PMC6892547","source":"PubMed Central","title":"Factors that enable effective One Health collaborations - A scoping review of the literature","volume":"14","author":[{"family":"Errecaborde","given":"Kaylee Myhre"},{"family":"Macy","given":"Katelyn Wuebbolt"},{"family":"Pekol","given":"Amy"},{"family":"Perez","given":"Sol"},{"family":"O’Brien","given":"Mary Katherine"},{"family":"Allen","given":"Ian"},{"family":"Contadini","given":"Francesca"},{"family":"Lee","given":"Julia Yeri"},{"family":"Mumford","given":"Elizabeth"},{"family":"Bender","given":"Jeff B."},{"family":"Pelican","given":"Katharine"}],"issued":{"date-parts":[["2019",12,4]]}},"label":"page"},{"id":11978,"uris":["http://zotero.org/users/12416167/items/DC5CAEGQ"],"itemData":{"id":11978,"type":"article-journal","container-title":"The Canadian Veterinary Journal","ISSN":"0008-5286","issue":"4","journalAbbreviation":"Can Vet J","page":"385-387","PMID":"37008645","PMCID":"PMC10031781","source":"PubMed Central","title":"Strengthening ties with public health for joint action on global health threats. Part 2","volume":"64","author":[{"family":"Stephen","given":"Craig"}]},"label":"page"}],"schema":"https://github.com/citation-style-language/schema/raw/master/csl-citation.json"} </w:instrText>
      </w:r>
      <w:r w:rsidR="00375058">
        <w:rPr>
          <w:rFonts w:ascii="Times New Roman" w:eastAsia="Times New Roman" w:hAnsi="Times New Roman" w:cs="Times New Roman"/>
          <w:sz w:val="24"/>
          <w:szCs w:val="24"/>
        </w:rPr>
        <w:fldChar w:fldCharType="separate"/>
      </w:r>
      <w:r w:rsidR="00375058" w:rsidRPr="00375058">
        <w:rPr>
          <w:rFonts w:ascii="Times New Roman" w:hAnsi="Times New Roman" w:cs="Times New Roman"/>
          <w:sz w:val="24"/>
        </w:rPr>
        <w:t>(11,12)</w:t>
      </w:r>
      <w:r w:rsidR="00375058">
        <w:rPr>
          <w:rFonts w:ascii="Times New Roman" w:eastAsia="Times New Roman" w:hAnsi="Times New Roman" w:cs="Times New Roman"/>
          <w:sz w:val="24"/>
          <w:szCs w:val="24"/>
        </w:rPr>
        <w:fldChar w:fldCharType="end"/>
      </w:r>
    </w:p>
    <w:p w14:paraId="1DDE57EA" w14:textId="3F720A4B" w:rsidR="00977C61" w:rsidRPr="00977C61" w:rsidRDefault="00977C61" w:rsidP="00375058">
      <w:pPr>
        <w:autoSpaceDE w:val="0"/>
        <w:autoSpaceDN w:val="0"/>
        <w:adjustRightInd w:val="0"/>
        <w:spacing w:line="240" w:lineRule="auto"/>
        <w:jc w:val="both"/>
        <w:rPr>
          <w:rFonts w:ascii="Times New Roman" w:eastAsia="Times New Roman" w:hAnsi="Times New Roman" w:cs="Times New Roman"/>
          <w:sz w:val="24"/>
          <w:szCs w:val="24"/>
        </w:rPr>
      </w:pPr>
      <w:r w:rsidRPr="00977C61">
        <w:rPr>
          <w:rFonts w:ascii="Times New Roman" w:eastAsia="Times New Roman" w:hAnsi="Times New Roman" w:cs="Times New Roman"/>
          <w:sz w:val="24"/>
          <w:szCs w:val="24"/>
        </w:rPr>
        <w:t xml:space="preserve">Key gaps in Risk Communication and Community Engagement (RCCE) interventions include </w:t>
      </w:r>
      <w:r w:rsidR="001A5144">
        <w:rPr>
          <w:rFonts w:ascii="Times New Roman" w:eastAsia="Times New Roman" w:hAnsi="Times New Roman" w:cs="Times New Roman"/>
          <w:sz w:val="24"/>
          <w:szCs w:val="24"/>
        </w:rPr>
        <w:t xml:space="preserve">a </w:t>
      </w:r>
      <w:r w:rsidRPr="00977C61">
        <w:rPr>
          <w:rFonts w:ascii="Times New Roman" w:eastAsia="Times New Roman" w:hAnsi="Times New Roman" w:cs="Times New Roman"/>
          <w:sz w:val="24"/>
          <w:szCs w:val="24"/>
        </w:rPr>
        <w:t xml:space="preserve">lack of intentional integration of the One Health approach due to the absence of coordinated information sharing and joint planning among human, animal, and environmental health actors at the </w:t>
      </w:r>
      <w:r w:rsidR="00375058">
        <w:rPr>
          <w:rFonts w:ascii="Times New Roman" w:eastAsia="Times New Roman" w:hAnsi="Times New Roman" w:cs="Times New Roman"/>
          <w:sz w:val="24"/>
          <w:szCs w:val="24"/>
        </w:rPr>
        <w:t>community level.</w:t>
      </w:r>
      <w:r w:rsidR="001A5144">
        <w:rPr>
          <w:rFonts w:ascii="Times New Roman" w:eastAsia="Times New Roman" w:hAnsi="Times New Roman" w:cs="Times New Roman"/>
          <w:sz w:val="24"/>
          <w:szCs w:val="24"/>
        </w:rPr>
        <w:t xml:space="preserve"> </w:t>
      </w:r>
      <w:r w:rsidR="00375058">
        <w:rPr>
          <w:rFonts w:ascii="Times New Roman" w:eastAsia="Times New Roman" w:hAnsi="Times New Roman" w:cs="Times New Roman"/>
          <w:sz w:val="24"/>
          <w:szCs w:val="24"/>
        </w:rPr>
        <w:fldChar w:fldCharType="begin"/>
      </w:r>
      <w:r w:rsidR="00375058">
        <w:rPr>
          <w:rFonts w:ascii="Times New Roman" w:eastAsia="Times New Roman" w:hAnsi="Times New Roman" w:cs="Times New Roman"/>
          <w:sz w:val="24"/>
          <w:szCs w:val="24"/>
        </w:rPr>
        <w:instrText xml:space="preserve"> ADDIN ZOTERO_ITEM CSL_CITATION {"citationID":"7ZVG2wJK","properties":{"formattedCitation":"(12)","plainCitation":"(12)","noteIndex":0},"citationItems":[{"id":11978,"uris":["http://zotero.org/users/12416167/items/DC5CAEGQ"],"itemData":{"id":11978,"type":"article-journal","container-title":"The Canadian Veterinary Journal","ISSN":"0008-5286","issue":"4","journalAbbreviation":"Can Vet J","page":"385-387","PMID":"37008645","PMCID":"PMC10031781","source":"PubMed Central","title":"Strengthening ties with public health for joint action on global health threats. Part 2","volume":"64","author":[{"family":"Stephen","given":"Craig"}]}}],"schema":"https://github.com/citation-style-language/schema/raw/master/csl-citation.json"} </w:instrText>
      </w:r>
      <w:r w:rsidR="00375058">
        <w:rPr>
          <w:rFonts w:ascii="Times New Roman" w:eastAsia="Times New Roman" w:hAnsi="Times New Roman" w:cs="Times New Roman"/>
          <w:sz w:val="24"/>
          <w:szCs w:val="24"/>
        </w:rPr>
        <w:fldChar w:fldCharType="separate"/>
      </w:r>
      <w:r w:rsidR="00375058" w:rsidRPr="00375058">
        <w:rPr>
          <w:rFonts w:ascii="Times New Roman" w:hAnsi="Times New Roman" w:cs="Times New Roman"/>
          <w:sz w:val="24"/>
        </w:rPr>
        <w:t>(12)</w:t>
      </w:r>
      <w:r w:rsidR="00375058">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Lack of uniform and targeted messages to resolve community members' concerns during outbreaks contributes to misinformation, rumors, and limited community involvement, early detection, and response, limiting the effectiveness of the O</w:t>
      </w:r>
      <w:r w:rsidR="00375058">
        <w:rPr>
          <w:rFonts w:ascii="Times New Roman" w:eastAsia="Times New Roman" w:hAnsi="Times New Roman" w:cs="Times New Roman"/>
          <w:sz w:val="24"/>
          <w:szCs w:val="24"/>
        </w:rPr>
        <w:t>ne Health approach.</w:t>
      </w:r>
      <w:r w:rsidR="001A5144">
        <w:rPr>
          <w:rFonts w:ascii="Times New Roman" w:eastAsia="Times New Roman" w:hAnsi="Times New Roman" w:cs="Times New Roman"/>
          <w:sz w:val="24"/>
          <w:szCs w:val="24"/>
        </w:rPr>
        <w:t xml:space="preserve"> </w:t>
      </w:r>
      <w:r w:rsidR="00375058">
        <w:rPr>
          <w:rFonts w:ascii="Times New Roman" w:eastAsia="Times New Roman" w:hAnsi="Times New Roman" w:cs="Times New Roman"/>
          <w:sz w:val="24"/>
          <w:szCs w:val="24"/>
        </w:rPr>
        <w:fldChar w:fldCharType="begin"/>
      </w:r>
      <w:r w:rsidR="00375058">
        <w:rPr>
          <w:rFonts w:ascii="Times New Roman" w:eastAsia="Times New Roman" w:hAnsi="Times New Roman" w:cs="Times New Roman"/>
          <w:sz w:val="24"/>
          <w:szCs w:val="24"/>
        </w:rPr>
        <w:instrText xml:space="preserve"> ADDIN ZOTERO_ITEM CSL_CITATION {"citationID":"oT7XT3CN","properties":{"formattedCitation":"(13)","plainCitation":"(13)","noteIndex":0},"citationItems":[{"id":11980,"uris":["http://zotero.org/users/12416167/items/VBA8AA6H"],"itemData":{"id":11980,"type":"article-journal","abstract":"Introduction\nCommunity Health Workers (CHW) are a critical resource for outbreak preparedness and response. However, CHWs´ ability to respond to outbreaks depends on their accurate knowledge of the disease and proper adoption of disease prevention practices. We explored knowledge and practices related to outbreaks in general, and COVID-19 among CHWs in Rwanda.\n\nMethods\nthis cross-sectional multimethod study used stratified simple random sampling to recruit three cadres of CHWs (agents de santé maternelle, female Binomes, and male Binomes) from three rural Rwandan districts. We used telephone-based data collection to administer quantitative surveys (N=292) and qualitative interviews (N=24) in September 2020. We calculated descriptive statistics and conducted thematic analysis of qualitative data. We assessed for associations between general outbreak-related knowledge and receipt of training using Chi-square tests and between COVID-19 related knowledge and CHW characteristics and adoption of prevention methods using linear regression models.\n\nResults\nonly 56.2% of CHWs had received training on any health topic in 12 months prior to COVID-19 pandemic and only 19.2% had specifically received training on outbreak preparedness. Almost all CHWs reported preventing COVID-19 by wearing facemasks (98%), washing hands (95%), and social distancing in crowds (89%) with fewer reporting staying at home (50%), sneezing or coughing into an elbow (38%) or using hand sanitizer (18%). Almost all CHWs in our study knew that COVID-19 transmits through respiratory droplets (98%) and by infected surfaces (98%) and that asymptomatic spread is possible (91%). However, fewer than half of community health workers correctly affirmed that children were at low risk of becoming severely ill (48%) and only 32% correctly rejected the misconception that everyone with COVID-19 would become severely ill. There was no association between COVID-19-related knowledge and adoption of COVID-19 preventative practices. Qualitative findings suggested that while CHWs possessed lots of correct information about COVID-19 and reported good adherence to COVID-19 prevention practices, they also commonly held misconceptions that over-exaggerated the dangers of COVID-19.\n\nConclusion\ngaps in knowledge, training, and access to information point to a need for additional investment in supervision and credible informational systems to support CHWs.","container-title":"The Pan African Medical Journal","DOI":"10.11604/pamj.2023.45.35.37020","ISSN":"1937-8688","journalAbbreviation":"Pan Afr Med J","page":"35","PMID":"37545611","PMCID":"PMC10403765","source":"PubMed Central","title":"Knowledge and practices surrounding outbreaks and COVID-19 among community health workers in rural Rwanda: a cross-sectional mixed-methods study","title-short":"Knowledge and practices surrounding outbreaks and COVID-19 among community health workers in rural Rwanda","volume":"45","author":[{"family":"Niyigena","given":"Anne"},{"family":"Nyirahabimana","given":"Naome"},{"family":"Cubaka","given":"Vincent"},{"family":"Mukandayisenga","given":"Vestine"},{"family":"Ngizwenayo","given":"Elias"},{"family":"Niyigena","given":"Pierre Celestin"},{"family":"Barnhart","given":"Dale"}],"issued":{"date-parts":[["2023",5,15]]}}}],"schema":"https://github.com/citation-style-language/schema/raw/master/csl-citation.json"} </w:instrText>
      </w:r>
      <w:r w:rsidR="00375058">
        <w:rPr>
          <w:rFonts w:ascii="Times New Roman" w:eastAsia="Times New Roman" w:hAnsi="Times New Roman" w:cs="Times New Roman"/>
          <w:sz w:val="24"/>
          <w:szCs w:val="24"/>
        </w:rPr>
        <w:fldChar w:fldCharType="separate"/>
      </w:r>
      <w:r w:rsidR="00375058" w:rsidRPr="00375058">
        <w:rPr>
          <w:rFonts w:ascii="Times New Roman" w:hAnsi="Times New Roman" w:cs="Times New Roman"/>
          <w:sz w:val="24"/>
        </w:rPr>
        <w:t>(13)</w:t>
      </w:r>
      <w:r w:rsidR="00375058">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Low health literacy, particularly in rural areas, and mistrust of some communities in health services often result in delayed care-seeking. Cultural norms, beliefs, and social barriers, including those related to animals and the environment, reliance on traditional medicine, fear of side effects, stigma, gender norms, religious beliefs, and limited access to care, make it harder for communities to adopt preventive mea</w:t>
      </w:r>
      <w:r w:rsidR="00375058">
        <w:rPr>
          <w:rFonts w:ascii="Times New Roman" w:eastAsia="Times New Roman" w:hAnsi="Times New Roman" w:cs="Times New Roman"/>
          <w:sz w:val="24"/>
          <w:szCs w:val="24"/>
        </w:rPr>
        <w:t xml:space="preserve">sures like vaccination. </w:t>
      </w:r>
      <w:r w:rsidR="00375058">
        <w:rPr>
          <w:rFonts w:ascii="Times New Roman" w:eastAsia="Times New Roman" w:hAnsi="Times New Roman" w:cs="Times New Roman"/>
          <w:sz w:val="24"/>
          <w:szCs w:val="24"/>
        </w:rPr>
        <w:fldChar w:fldCharType="begin"/>
      </w:r>
      <w:r w:rsidR="00375058">
        <w:rPr>
          <w:rFonts w:ascii="Times New Roman" w:eastAsia="Times New Roman" w:hAnsi="Times New Roman" w:cs="Times New Roman"/>
          <w:sz w:val="24"/>
          <w:szCs w:val="24"/>
        </w:rPr>
        <w:instrText xml:space="preserve"> ADDIN ZOTERO_ITEM CSL_CITATION {"citationID":"vnESijf0","properties":{"formattedCitation":"(14\\uc0\\u8211{}16)","plainCitation":"(14–16)","noteIndex":0},"citationItems":[{"id":11988,"uris":["http://zotero.org/users/12416167/items/GWSHBPU4"],"itemData":{"id":11988,"type":"article-journal","abstract":"The Ebola Virus Disease (EVD) for decades has been a public health concern in some parts of the world especially in East, Central, and West Africa. Despite investment in improving community members’ health, there is regular resistance to available intervention, with little literature describing the reasons. This necessitated exploring knowledge, attitude, and practices of community members’ towards the EVD prevention strategies in the Western Province of Rwanda.","container-title":"Journal of Health, Population and Nutrition","DOI":"10.1186/s41043-025-00741-5","ISSN":"2072-1315","issue":"1","journalAbbreviation":"Journal of Health, Population and Nutrition","page":"65","source":"BioMed Central","title":"Community members’ knowledge, attitude, and practices towards Ebola virus prevention in the Western Province of Rwanda","volume":"44","author":[{"family":"Umulisa","given":"Marie Michele"},{"family":"Uwizera","given":"Aline Umutoni"},{"family":"Ezeanochie","given":"Nnamdi"},{"family":"Noben","given":"Jozef"},{"family":"Indoe","given":"Ellen Pagan"},{"family":"Kayumba","given":"Malick"},{"family":"Busasa","given":"Rosette"},{"family":"Umutoni","given":"Grace"},{"family":"Mushimiyimana","given":"Alice"},{"family":"Kayitare","given":"Philbert"},{"family":"Ingabire","given":"Roselyne"},{"family":"Sindayigaya","given":"Patience"},{"family":"Dine","given":"Roseline Dzekem"}],"issued":{"date-parts":[["2025",3,5]]}},"label":"page"},{"id":11982,"uris":["http://zotero.org/users/12416167/items/XRZ5SLXY"],"itemData":{"id":11982,"type":"article-journal","abstract":"Objective\nTo investigate vaccine hesitancy leading to underimmunization and a measles outbreak in Rwanda and to develop a conceptual, community-level model of behavioural factors.\n\nMethods\nLocal immunization systems in two Rwandan communities (one recently experienced a measles outbreak) were explored using systems thinking, human-centred design and behavioural frameworks. Data were collected between 2018 and 2020 from: discussions with 11 vaccination service providers (i.e. hospital and health centre staff); interviews with 161 children’s caregivers at health centres; and nine validation interviews with health centre staff. Factors influencing vaccine hesitancy were categorized using the 3Cs framework: confidence, complacency and convenience. A conceptual model of vaccine hesitancy mechanisms with feedback loops was developed.\n\nFindings\nA comparison of service providers’ and caregivers’ perspectives in both rural and peri-urban settings showed that similar factors strengthened vaccine uptake: (i) high trust in vaccines and service providers based on personal relationships with health centre staff; (ii) the connecting role of community health workers; and (iii) a strong sense of community. Factors identified as increasing vaccine hesitancy (e.g. service accessibility and inadequate follow-up) differed between service providers and caregivers and between settings. The conceptual model could be used to explain drivers of the recent measles outbreak and to guide interventions designed to increase vaccine uptake.\n\nConclusion\nThe application of behavioural frameworks and systems thinking revealed vaccine hesitancy mechanisms in Rwandan communities that demonstrate the interrelationship between immunization services and caregivers’ vaccination behaviour. Confidence-building social structures and context-dependent challenges that affect vaccine uptake were also identified.","container-title":"Bulletin of the World Health Organization","DOI":"10.2471/BLT.20.285258","ISSN":"0042-9686","issue":"11","journalAbbreviation":"Bull World Health Organ","page":"783-794D","PMID":"34737471","PMCID":"PMC8542260","source":"PubMed Central","title":"Insights into vaccine hesitancy from systems thinking, Rwanda","volume":"99","author":[{"family":"Decouttere","given":"Catherine"},{"family":"Banzimana","given":"Stany"},{"family":"Davidsen","given":"Pål"},{"family":"Van Riet","given":"Carla"},{"family":"Vandermeulen","given":"Corinne"},{"family":"Mason","given":"Elizabeth"},{"family":"Jalali","given":"Mohammad S"},{"family":"Vandaele","given":"Nico"}],"issued":{"date-parts":[["2021",11,1]]}},"label":"page"},{"id":11985,"uris":["http://zotero.org/users/12416167/items/2REYWF7T"],"itemData":{"id":11985,"type":"article-journal","abstract":"The popular use of traditional medicine in low-income settings has previously been attributed to poverty, lack of education, and insufficient accessibility to conventional health service. However, in many countries, including in Rwanda, the use of traditional medicine is still popular despite the good accessibility and availability of conventional health services. This study aims to explore why traditional medicine is popularly used in Rwanda where it has achieved universal health coverage.","container-title":"BMC Complementary Medicine and Therapies","DOI":"10.1186/s12906-021-03380-5","ISSN":"2662-7671","issue":"1","journalAbbreviation":"BMC Complementary Medicine and Therapies","page":"210","source":"BioMed Central","title":"Local experience of using traditional medicine in northern Rwanda: a qualitative study","title-short":"Local experience of using traditional medicine in northern Rwanda","volume":"21","author":[{"family":"Tan","given":"Mengxin"},{"family":"Otake","given":"Yuko"},{"family":"Tamming","given":"Teisi"},{"family":"Akuredusenge","given":"Valerie"},{"family":"Uwinama","given":"Beatha"},{"family":"Hagenimana","given":"Fabien"}],"issued":{"date-parts":[["2021",8,13]]}},"label":"page"}],"schema":"https://github.com/citation-style-language/schema/raw/master/csl-citation.json"} </w:instrText>
      </w:r>
      <w:r w:rsidR="00375058">
        <w:rPr>
          <w:rFonts w:ascii="Times New Roman" w:eastAsia="Times New Roman" w:hAnsi="Times New Roman" w:cs="Times New Roman"/>
          <w:sz w:val="24"/>
          <w:szCs w:val="24"/>
        </w:rPr>
        <w:fldChar w:fldCharType="separate"/>
      </w:r>
      <w:r w:rsidR="00375058" w:rsidRPr="00375058">
        <w:rPr>
          <w:rFonts w:ascii="Times New Roman" w:hAnsi="Times New Roman" w:cs="Times New Roman"/>
          <w:sz w:val="24"/>
          <w:szCs w:val="24"/>
        </w:rPr>
        <w:t>(14–16)</w:t>
      </w:r>
      <w:r w:rsidR="00375058">
        <w:rPr>
          <w:rFonts w:ascii="Times New Roman" w:eastAsia="Times New Roman" w:hAnsi="Times New Roman" w:cs="Times New Roman"/>
          <w:sz w:val="24"/>
          <w:szCs w:val="24"/>
        </w:rPr>
        <w:fldChar w:fldCharType="end"/>
      </w:r>
    </w:p>
    <w:p w14:paraId="75DF645A" w14:textId="6A1EECDF" w:rsidR="00977C61" w:rsidRPr="00977C61" w:rsidRDefault="00977C61" w:rsidP="00180B50">
      <w:pPr>
        <w:autoSpaceDE w:val="0"/>
        <w:autoSpaceDN w:val="0"/>
        <w:adjustRightInd w:val="0"/>
        <w:spacing w:line="240" w:lineRule="auto"/>
        <w:jc w:val="both"/>
        <w:rPr>
          <w:rFonts w:ascii="Times New Roman" w:eastAsia="Times New Roman" w:hAnsi="Times New Roman" w:cs="Times New Roman"/>
          <w:sz w:val="24"/>
          <w:szCs w:val="24"/>
        </w:rPr>
      </w:pPr>
      <w:r w:rsidRPr="00977C61">
        <w:rPr>
          <w:rFonts w:ascii="Times New Roman" w:eastAsia="Times New Roman" w:hAnsi="Times New Roman" w:cs="Times New Roman"/>
          <w:sz w:val="24"/>
          <w:szCs w:val="24"/>
        </w:rPr>
        <w:t xml:space="preserve">These challenges further compromise ongoing </w:t>
      </w:r>
      <w:r w:rsidR="001A5144">
        <w:rPr>
          <w:rFonts w:ascii="Times New Roman" w:eastAsia="Times New Roman" w:hAnsi="Times New Roman" w:cs="Times New Roman"/>
          <w:sz w:val="24"/>
          <w:szCs w:val="24"/>
        </w:rPr>
        <w:t>efforts</w:t>
      </w:r>
      <w:r w:rsidRPr="00977C61">
        <w:rPr>
          <w:rFonts w:ascii="Times New Roman" w:eastAsia="Times New Roman" w:hAnsi="Times New Roman" w:cs="Times New Roman"/>
          <w:sz w:val="24"/>
          <w:szCs w:val="24"/>
        </w:rPr>
        <w:t xml:space="preserve">, thus necessitating deliberate efforts, including strengthening both intersectoral coordination and community engagement for the promotion of One Health, hence improving health-seeking positive behavior at the community level, improving health literacy, and empowering communities to take proactive roles in disease prevention and response, </w:t>
      </w:r>
      <w:r w:rsidR="001A5144">
        <w:rPr>
          <w:rFonts w:ascii="Times New Roman" w:eastAsia="Times New Roman" w:hAnsi="Times New Roman" w:cs="Times New Roman"/>
          <w:sz w:val="24"/>
          <w:szCs w:val="24"/>
        </w:rPr>
        <w:t xml:space="preserve">which </w:t>
      </w:r>
      <w:r w:rsidRPr="00977C61">
        <w:rPr>
          <w:rFonts w:ascii="Times New Roman" w:eastAsia="Times New Roman" w:hAnsi="Times New Roman" w:cs="Times New Roman"/>
          <w:sz w:val="24"/>
          <w:szCs w:val="24"/>
        </w:rPr>
        <w:t>is recommended for resilient communities during ou</w:t>
      </w:r>
      <w:r w:rsidR="00375058">
        <w:rPr>
          <w:rFonts w:ascii="Times New Roman" w:eastAsia="Times New Roman" w:hAnsi="Times New Roman" w:cs="Times New Roman"/>
          <w:sz w:val="24"/>
          <w:szCs w:val="24"/>
        </w:rPr>
        <w:t>tbreaks in all complexities.</w:t>
      </w:r>
      <w:r w:rsidR="001A5144">
        <w:rPr>
          <w:rFonts w:ascii="Times New Roman" w:eastAsia="Times New Roman" w:hAnsi="Times New Roman" w:cs="Times New Roman"/>
          <w:sz w:val="24"/>
          <w:szCs w:val="24"/>
        </w:rPr>
        <w:t xml:space="preserve"> </w:t>
      </w:r>
      <w:r w:rsidR="00375058" w:rsidRPr="00180B50">
        <w:rPr>
          <w:rFonts w:ascii="Times New Roman" w:eastAsia="Times New Roman" w:hAnsi="Times New Roman" w:cs="Times New Roman"/>
          <w:sz w:val="24"/>
          <w:szCs w:val="24"/>
        </w:rPr>
        <w:fldChar w:fldCharType="begin"/>
      </w:r>
      <w:r w:rsidR="00387670">
        <w:rPr>
          <w:rFonts w:ascii="Times New Roman" w:eastAsia="Times New Roman" w:hAnsi="Times New Roman" w:cs="Times New Roman"/>
          <w:sz w:val="24"/>
          <w:szCs w:val="24"/>
        </w:rPr>
        <w:instrText xml:space="preserve"> ADDIN ZOTERO_ITEM CSL_CITATION {"citationID":"kZwa2Lak","properties":{"formattedCitation":"(1)","plainCitation":"(1)","noteIndex":0},"citationItems":[{"id":11953,"uris":["http://zotero.org/users/12416167/items/6C3DUEIW"],"itemData":{"id":11953,"type":"webpage","abstract":"Learn how the One Health approach can help prevent the next pandemic. Read the latest report from the World Bank and find out how this integrated approach is making a difference in sustainably balancing and optimizing the health of people, animals, and ecosystems.","container-title":"World Bank","language":"en","title":"One Health Approach - Prevent the Next Pandemic","URL":"https://www.worldbank.org/en/news/feature/2022/10/24/one-health-approach-can-prevent-the-next-pandemic","author":[{"family":"World Bank Group","given":""}],"accessed":{"date-parts":[["2025",7,10]]}}}],"schema":"https://github.com/citation-style-language/schema/raw/master/csl-citation.json"} </w:instrText>
      </w:r>
      <w:r w:rsidR="00375058" w:rsidRPr="00180B50">
        <w:rPr>
          <w:rFonts w:ascii="Times New Roman" w:eastAsia="Times New Roman" w:hAnsi="Times New Roman" w:cs="Times New Roman"/>
          <w:sz w:val="24"/>
          <w:szCs w:val="24"/>
        </w:rPr>
        <w:fldChar w:fldCharType="separate"/>
      </w:r>
      <w:r w:rsidR="00375058" w:rsidRPr="00180B50">
        <w:rPr>
          <w:rFonts w:ascii="Times New Roman" w:eastAsia="Times New Roman" w:hAnsi="Times New Roman" w:cs="Times New Roman"/>
          <w:sz w:val="24"/>
          <w:szCs w:val="24"/>
        </w:rPr>
        <w:t>(1)</w:t>
      </w:r>
      <w:r w:rsidR="00375058" w:rsidRPr="00180B50">
        <w:rPr>
          <w:rFonts w:ascii="Times New Roman" w:eastAsia="Times New Roman" w:hAnsi="Times New Roman" w:cs="Times New Roman"/>
          <w:sz w:val="24"/>
          <w:szCs w:val="24"/>
        </w:rPr>
        <w:fldChar w:fldCharType="end"/>
      </w:r>
      <w:r w:rsidRPr="00977C61">
        <w:rPr>
          <w:rFonts w:ascii="Times New Roman" w:eastAsia="Times New Roman" w:hAnsi="Times New Roman" w:cs="Times New Roman"/>
          <w:sz w:val="24"/>
          <w:szCs w:val="24"/>
        </w:rPr>
        <w:t xml:space="preserve"> Holistic and effective control intervention frameworks for </w:t>
      </w:r>
      <w:r w:rsidRPr="00977C61">
        <w:rPr>
          <w:rFonts w:ascii="Times New Roman" w:eastAsia="Times New Roman" w:hAnsi="Times New Roman" w:cs="Times New Roman"/>
          <w:sz w:val="24"/>
          <w:szCs w:val="24"/>
        </w:rPr>
        <w:lastRenderedPageBreak/>
        <w:t>stronger coordination among</w:t>
      </w:r>
      <w:r w:rsidR="002F5454">
        <w:rPr>
          <w:rFonts w:ascii="Times New Roman" w:eastAsia="Times New Roman" w:hAnsi="Times New Roman" w:cs="Times New Roman"/>
          <w:sz w:val="24"/>
          <w:szCs w:val="24"/>
        </w:rPr>
        <w:t xml:space="preserve"> sectors</w:t>
      </w:r>
      <w:r w:rsidRPr="00977C61">
        <w:rPr>
          <w:rFonts w:ascii="Times New Roman" w:eastAsia="Times New Roman" w:hAnsi="Times New Roman" w:cs="Times New Roman"/>
          <w:sz w:val="24"/>
          <w:szCs w:val="24"/>
        </w:rPr>
        <w:t xml:space="preserve">, particularly at the local level, are essential to ensure timely communication, aligned messaging, and rapid joint action. </w:t>
      </w:r>
    </w:p>
    <w:p w14:paraId="10CA9BD0" w14:textId="664CDD39" w:rsidR="002F5454" w:rsidRDefault="002F5454" w:rsidP="002F5454">
      <w:pPr>
        <w:autoSpaceDE w:val="0"/>
        <w:autoSpaceDN w:val="0"/>
        <w:adjustRightInd w:val="0"/>
        <w:spacing w:line="24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Against this background, we</w:t>
      </w:r>
      <w:r w:rsidR="00977C61" w:rsidRPr="00977C61">
        <w:rPr>
          <w:rFonts w:ascii="Times New Roman" w:eastAsia="Times New Roman" w:hAnsi="Times New Roman" w:cs="Times New Roman"/>
          <w:sz w:val="24"/>
          <w:szCs w:val="24"/>
        </w:rPr>
        <w:t xml:space="preserve"> appl</w:t>
      </w:r>
      <w:r>
        <w:rPr>
          <w:rFonts w:ascii="Times New Roman" w:eastAsia="Times New Roman" w:hAnsi="Times New Roman" w:cs="Times New Roman"/>
          <w:sz w:val="24"/>
          <w:szCs w:val="24"/>
        </w:rPr>
        <w:t>ied</w:t>
      </w:r>
      <w:r w:rsidR="00977C61" w:rsidRPr="00977C61">
        <w:rPr>
          <w:rFonts w:ascii="Times New Roman" w:eastAsia="Times New Roman" w:hAnsi="Times New Roman" w:cs="Times New Roman"/>
          <w:sz w:val="24"/>
          <w:szCs w:val="24"/>
        </w:rPr>
        <w:t xml:space="preserve"> the </w:t>
      </w:r>
      <w:r w:rsidRPr="002F5454">
        <w:rPr>
          <w:rFonts w:ascii="Times New Roman" w:eastAsia="Times New Roman" w:hAnsi="Times New Roman" w:cs="Times New Roman"/>
          <w:sz w:val="24"/>
          <w:szCs w:val="24"/>
        </w:rPr>
        <w:t>Human Belief Model (HBM) and the Social Ecological Model (SEM)</w:t>
      </w:r>
      <w:r w:rsidR="001A5144">
        <w:rPr>
          <w:rFonts w:ascii="Times New Roman" w:eastAsia="Times New Roman" w:hAnsi="Times New Roman" w:cs="Times New Roman"/>
          <w:sz w:val="24"/>
          <w:szCs w:val="24"/>
        </w:rPr>
        <w:t>, which</w:t>
      </w:r>
      <w:r w:rsidRPr="002F5454">
        <w:rPr>
          <w:rFonts w:ascii="Times New Roman" w:eastAsia="Times New Roman" w:hAnsi="Times New Roman" w:cs="Times New Roman"/>
          <w:sz w:val="24"/>
          <w:szCs w:val="24"/>
        </w:rPr>
        <w:t xml:space="preserve"> </w:t>
      </w:r>
      <w:r w:rsidR="001A5144">
        <w:rPr>
          <w:rFonts w:ascii="Times New Roman" w:eastAsia="Times New Roman" w:hAnsi="Times New Roman" w:cs="Times New Roman"/>
          <w:sz w:val="24"/>
          <w:szCs w:val="24"/>
        </w:rPr>
        <w:t>acknowledge</w:t>
      </w:r>
      <w:r w:rsidRPr="002F5454">
        <w:rPr>
          <w:rFonts w:ascii="Times New Roman" w:eastAsia="Times New Roman" w:hAnsi="Times New Roman" w:cs="Times New Roman"/>
          <w:sz w:val="24"/>
          <w:szCs w:val="24"/>
        </w:rPr>
        <w:t xml:space="preserve"> that </w:t>
      </w:r>
      <w:r w:rsidR="001A5144">
        <w:rPr>
          <w:rFonts w:ascii="Times New Roman" w:eastAsia="Times New Roman" w:hAnsi="Times New Roman" w:cs="Times New Roman"/>
          <w:sz w:val="24"/>
          <w:szCs w:val="24"/>
        </w:rPr>
        <w:t>behaviour</w:t>
      </w:r>
      <w:r w:rsidRPr="002F5454">
        <w:rPr>
          <w:rFonts w:ascii="Times New Roman" w:eastAsia="Times New Roman" w:hAnsi="Times New Roman" w:cs="Times New Roman"/>
          <w:sz w:val="24"/>
          <w:szCs w:val="24"/>
        </w:rPr>
        <w:t xml:space="preserve"> is shaped by </w:t>
      </w:r>
      <w:r>
        <w:rPr>
          <w:rFonts w:ascii="Times New Roman" w:eastAsia="Times New Roman" w:hAnsi="Times New Roman" w:cs="Times New Roman"/>
          <w:sz w:val="24"/>
          <w:szCs w:val="24"/>
        </w:rPr>
        <w:t>multiple layers and factors</w:t>
      </w:r>
      <w:r w:rsidR="003D52FE">
        <w:rPr>
          <w:rFonts w:ascii="Times New Roman" w:eastAsia="Times New Roman" w:hAnsi="Times New Roman" w:cs="Times New Roman"/>
          <w:sz w:val="24"/>
          <w:szCs w:val="24"/>
        </w:rPr>
        <w:t>.</w:t>
      </w:r>
      <w:r w:rsidR="00770F9E">
        <w:rPr>
          <w:rFonts w:ascii="Times New Roman" w:eastAsia="Times New Roman" w:hAnsi="Times New Roman" w:cs="Times New Roman"/>
          <w:sz w:val="24"/>
          <w:szCs w:val="24"/>
        </w:rPr>
        <w:t xml:space="preserve"> </w:t>
      </w:r>
      <w:r w:rsidR="003D52FE">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{"citationID":"HSh0r3Mb","properties":{"formattedCitation":"(17,18)","plainCitation":"(17,18)","noteIndex":0},"citationItems":[{"id":12717,"uris":["http://zotero.org/users/12416167/items/2HHZ8VD6"],"itemData":{"id":12717,"type":"article-journal","abstract":"The idea of the interdependency of the health of humans, animals, and ecosystems emerged from the interplay of theory and concepts from medicine, public health and ecology among leading thinkers in these fields during the last century. The rationale for One Health and its focus on the “human, animal, and environmental interface” stems from this legacy and points to transdisciplinary, ecological and complex systems approaches as central to One Health practice. Demonstration of One Health's efficacy, its wider adoption and continual improvement require explicit operational criteria and evaluation metrics on this basis. Social-Ecological Systems Theory with its unique conception of resilience (SESR) currently offers the most well-developed framework for understanding these approaches and development of performance standards. This paper describes operational criteria for One Health developed accordingly, including a protocol currently being tested for vector borne disease interventions. Wider adoption of One Health is most likely to occur as One Health practitioners gain an increasing familiarity with ecological and complex systems concepts in practice employing a transdisciplinary process. Two areas in which this inevitably will be required for significant further progress, and where the beginnings of a foundation for building upon exist, include: (1) Emerging and re-emerging zoonotic diseases, and (2) successful implementation of the United Nations (UN) Sustainable Development Goals (SDGs). The former includes the challenge of stemming the threat of new microbial pathogens, anti-microbial resistant variants of existing pathogens, as well as resurgence of malaria and other recalcitrant diseases. The applicability of SESR in this regard is illustrated with two case examples from the Greater Mekong Subregion, Avian Influenza (H5N1) and Liver Fluke (Opisthorchis viverrini). Each is shown to represent a science and policy challenge suggestive of an avoidable social-ecological system pathology that similarly has challenged sustainable development. Thus, SESR framing arguably is highly applicable to the SDGs, which, to a large extent, require consideration of human-animal-environmental health linkages. Further elaboration of these One Health operational criteria and metrics could contribute to the achievement of many of the SDGs.","container-title":"Frontiers in Public Health","DOI":"10.3389/fpubh.2019.00085","ISSN":"2296-2565","journalAbbreviation":"Front Public Health","page":"85","PMID":"31192179","PMCID":"PMC6547168","source":"PubMed Central","title":"Operationalizing One Health Employing Social-Ecological Systems Theory: Lessons From the Greater Mekong Sub-region","title-short":"Operationalizing One Health Employing Social-Ecological Systems Theory","volume":"7","author":[{"family":"Wilcox","given":"Bruce A."},{"family":"Aguirre","given":"A. Alonso"},{"family":"De Paula","given":"Nicole"},{"family":"Siriaroonrat","given":"Boripat"},{"family":"Echaubard","given":"Pierre"}],"issued":{"date-parts":[["2019",5,22]]}},"label":"page"},{"id":12703,"uris":["http://zotero.org/users/12416167/items/RXPPG8AN"],"itemData":{"id":12703,"type":"chapter","abstract":"The health belief model (HBM) is a foundational framework in health behavior research. It was conceptualized in the 1950s to help understand preventative health behavior by social psychologists working in the United States Public Health Service (USPHS), specifically \"the widespread failure of people to accept disease preventatives or screening tests for the early detection of asymptomatic disease.\" The model focuses on how individuals perceive health threats and decide to act based on the value individuals place on a particular goal and the likelihood that actions taken toward that goal will be successful in achieving the goal. It consists of 6 primary cognitive constructs, or \"dimensions\" that influence behavior: perceived susceptibility, perceived severity, perceived benefits, perceived barriers, self-efficacy, and cues to action.","container-title":"StatPearls [Internet]","language":"en","note":"PMID: 39163427","publisher":"StatPearls Publishing","source":"www.ncbi.nlm.nih.gov","title":"The Health Belief Model of Behavior Change","URL":"https://www.ncbi.nlm.nih.gov/books/NBK606120/","author":[{"family":"Alyafei","given":"Anees"},{"family":"Easton-Carr","given":"Raul"}],"accessed":{"date-parts":[["2026",4,2]]},"issued":{"date-parts":[["2024",5,19]]}},"label":"page"}],"schema":"https://github.com/citation-style-language/schema/raw/master/csl-citation.json"} </w:instrText>
      </w:r>
      <w:r w:rsidR="003D52FE">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(17,18)</w:t>
      </w:r>
      <w:r w:rsidR="003D52FE">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3D52FE">
        <w:rPr>
          <w:rFonts w:ascii="Times New Roman" w:eastAsia="Times New Roman" w:hAnsi="Times New Roman" w:cs="Times New Roman"/>
          <w:sz w:val="24"/>
          <w:szCs w:val="24"/>
        </w:rPr>
        <w:t>Therefore,</w:t>
      </w:r>
      <w:r>
        <w:rPr>
          <w:rFonts w:ascii="Times New Roman" w:eastAsia="Times New Roman" w:hAnsi="Times New Roman" w:cs="Times New Roman"/>
          <w:sz w:val="24"/>
          <w:szCs w:val="24"/>
        </w:rPr>
        <w:t xml:space="preserve"> used these models to</w:t>
      </w:r>
      <w:r w:rsidR="00977C61" w:rsidRPr="00977C61">
        <w:rPr>
          <w:rFonts w:ascii="Times New Roman" w:eastAsia="Times New Roman" w:hAnsi="Times New Roman" w:cs="Times New Roman"/>
          <w:sz w:val="24"/>
          <w:szCs w:val="24"/>
        </w:rPr>
        <w:t xml:space="preserve"> identify knowledge, attitudes, norms, and behaviors shaping outbreak preparedness and response in Rwanda.</w:t>
      </w:r>
      <w:r>
        <w:rPr>
          <w:rFonts w:ascii="Times New Roman" w:eastAsia="Times New Roman" w:hAnsi="Times New Roman" w:cs="Times New Roman"/>
          <w:sz w:val="24"/>
          <w:szCs w:val="24"/>
        </w:rPr>
        <w:t xml:space="preserve"> Thus, we</w:t>
      </w:r>
      <w:r w:rsidR="00977C61" w:rsidRPr="00977C61">
        <w:rPr>
          <w:rFonts w:ascii="Times New Roman" w:eastAsia="Times New Roman" w:hAnsi="Times New Roman" w:cs="Times New Roman"/>
          <w:sz w:val="24"/>
          <w:szCs w:val="24"/>
        </w:rPr>
        <w:t xml:space="preserve"> assess</w:t>
      </w:r>
      <w:r>
        <w:rPr>
          <w:rFonts w:ascii="Times New Roman" w:eastAsia="Times New Roman" w:hAnsi="Times New Roman" w:cs="Times New Roman"/>
          <w:sz w:val="24"/>
          <w:szCs w:val="24"/>
        </w:rPr>
        <w:t>ed</w:t>
      </w:r>
      <w:r w:rsidR="00977C61" w:rsidRPr="00977C61">
        <w:rPr>
          <w:rFonts w:ascii="Times New Roman" w:eastAsia="Times New Roman" w:hAnsi="Times New Roman" w:cs="Times New Roman"/>
          <w:sz w:val="24"/>
          <w:szCs w:val="24"/>
        </w:rPr>
        <w:t xml:space="preserve"> strategies to strengthen Rwanda's health systems to enhance community resilience for outbreak prevention and response through</w:t>
      </w:r>
      <w:r w:rsidR="00977C61" w:rsidRPr="00977C61">
        <w:rPr>
          <w:rFonts w:ascii="Times New Roman" w:hAnsi="Times New Roman" w:cs="Times New Roman"/>
          <w:color w:val="000000"/>
          <w:sz w:val="24"/>
          <w:szCs w:val="24"/>
        </w:rPr>
        <w:t xml:space="preserve"> the One Health approach in six districts. </w:t>
      </w:r>
    </w:p>
    <w:p w14:paraId="6D6AC8D1" w14:textId="77777777" w:rsidR="002F5454" w:rsidRDefault="002F5454" w:rsidP="00977C61">
      <w:pPr>
        <w:autoSpaceDE w:val="0"/>
        <w:autoSpaceDN w:val="0"/>
        <w:adjustRightInd w:val="0"/>
        <w:spacing w:line="240" w:lineRule="auto"/>
        <w:rPr>
          <w:b/>
          <w:bCs/>
          <w:color w:val="000000"/>
          <w:sz w:val="32"/>
          <w:szCs w:val="32"/>
        </w:rPr>
      </w:pPr>
    </w:p>
    <w:p w14:paraId="3C6EC03E" w14:textId="71A8A264" w:rsidR="00977C61" w:rsidRPr="00977C61" w:rsidRDefault="00977C61" w:rsidP="002F5454">
      <w:pPr>
        <w:rPr>
          <w:rFonts w:ascii="Times New Roman" w:hAnsi="Times New Roman" w:cs="Times New Roman"/>
          <w:b/>
          <w:sz w:val="28"/>
          <w:szCs w:val="28"/>
        </w:rPr>
      </w:pPr>
      <w:r w:rsidRPr="00977C61">
        <w:rPr>
          <w:rFonts w:ascii="Times New Roman" w:hAnsi="Times New Roman" w:cs="Times New Roman"/>
          <w:b/>
          <w:sz w:val="28"/>
          <w:szCs w:val="28"/>
        </w:rPr>
        <w:t xml:space="preserve">Methods </w:t>
      </w:r>
    </w:p>
    <w:p w14:paraId="7FD1E003" w14:textId="4372C944" w:rsidR="00977C61" w:rsidRPr="00977C61" w:rsidRDefault="00416AF7" w:rsidP="002F5454">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Study</w:t>
      </w:r>
      <w:r w:rsidR="00977C61" w:rsidRPr="00977C61">
        <w:rPr>
          <w:rFonts w:ascii="Times New Roman" w:hAnsi="Times New Roman" w:cs="Times New Roman"/>
          <w:b/>
          <w:bCs/>
          <w:color w:val="000000"/>
          <w:sz w:val="24"/>
          <w:szCs w:val="24"/>
        </w:rPr>
        <w:t xml:space="preserve"> design </w:t>
      </w:r>
    </w:p>
    <w:p w14:paraId="6CBFC5D0" w14:textId="31C53538" w:rsidR="00416AF7" w:rsidRDefault="00416AF7" w:rsidP="007F4BC4">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We conducted a </w:t>
      </w:r>
      <w:r w:rsidR="00977C61" w:rsidRPr="00977C61">
        <w:rPr>
          <w:rFonts w:ascii="Times New Roman" w:hAnsi="Times New Roman" w:cs="Times New Roman"/>
          <w:color w:val="000000"/>
          <w:sz w:val="24"/>
          <w:szCs w:val="24"/>
        </w:rPr>
        <w:t>descriptive, qualitative</w:t>
      </w:r>
      <w:r>
        <w:rPr>
          <w:rFonts w:ascii="Times New Roman" w:hAnsi="Times New Roman" w:cs="Times New Roman"/>
          <w:color w:val="000000"/>
          <w:sz w:val="24"/>
          <w:szCs w:val="24"/>
        </w:rPr>
        <w:t xml:space="preserve"> study. This design was selected to allow room for the researchers to focus on the voices and meaning in </w:t>
      </w:r>
      <w:r w:rsidR="003D52FE">
        <w:rPr>
          <w:rFonts w:ascii="Times New Roman" w:hAnsi="Times New Roman" w:cs="Times New Roman"/>
          <w:color w:val="000000"/>
          <w:sz w:val="24"/>
          <w:szCs w:val="24"/>
        </w:rPr>
        <w:t>detail</w:t>
      </w:r>
      <w:r>
        <w:rPr>
          <w:rFonts w:ascii="Times New Roman" w:hAnsi="Times New Roman" w:cs="Times New Roman"/>
          <w:color w:val="000000"/>
          <w:sz w:val="24"/>
          <w:szCs w:val="24"/>
        </w:rPr>
        <w:t xml:space="preserve"> provided by participants; </w:t>
      </w:r>
      <w:r w:rsidR="003D52FE">
        <w:rPr>
          <w:rFonts w:ascii="Times New Roman" w:hAnsi="Times New Roman" w:cs="Times New Roman"/>
          <w:color w:val="000000"/>
          <w:sz w:val="24"/>
          <w:szCs w:val="24"/>
        </w:rPr>
        <w:t xml:space="preserve">a </w:t>
      </w:r>
      <w:r>
        <w:rPr>
          <w:rFonts w:ascii="Times New Roman" w:hAnsi="Times New Roman" w:cs="Times New Roman"/>
          <w:color w:val="000000"/>
          <w:sz w:val="24"/>
          <w:szCs w:val="24"/>
        </w:rPr>
        <w:t>rich yet direct account of lived experience</w:t>
      </w:r>
      <w:r w:rsidR="00387670">
        <w:rPr>
          <w:rFonts w:ascii="Times New Roman" w:hAnsi="Times New Roman" w:cs="Times New Roman"/>
          <w:color w:val="000000"/>
          <w:sz w:val="24"/>
          <w:szCs w:val="24"/>
        </w:rPr>
        <w:t xml:space="preserve">. </w:t>
      </w:r>
      <w:r w:rsidR="00387670">
        <w:rPr>
          <w:rFonts w:ascii="Times New Roman" w:hAnsi="Times New Roman" w:cs="Times New Roman"/>
          <w:color w:val="000000"/>
          <w:sz w:val="24"/>
          <w:szCs w:val="24"/>
        </w:rPr>
        <w:fldChar w:fldCharType="begin"/>
      </w:r>
      <w:r w:rsidR="003D52FE">
        <w:rPr>
          <w:rFonts w:ascii="Times New Roman" w:hAnsi="Times New Roman" w:cs="Times New Roman"/>
          <w:color w:val="000000"/>
          <w:sz w:val="24"/>
          <w:szCs w:val="24"/>
        </w:rPr>
        <w:instrText xml:space="preserve"> ADDIN ZOTERO_ITEM CSL_CITATION {"citationID":"PpULPhQa","properties":{"formattedCitation":"(19)","plainCitation":"(19)","noteIndex":0},"citationItems":[{"id":12711,"uris":["http://zotero.org/users/12416167/items/D3NQKI7J"],"itemData":{"id":12711,"type":"article-journal","abstract":"The general view of descriptive research as a lower level form of inquiry has influenced some researchers conducting qualitative research to claim methods they are really not using and not to claim the method they are using: namely, qualitative description. Qualitative descriptive studies have as their goal a comprehensive summary of events in the everyday terms of those events. Researchers conducting qualitative descriptive studies stay close to their data and to the surface of words and events. Qualitative descriptive designs typically are an eclectic but reasonable combination of sampling, and data collection, analysis, and re-presentation techniques. Qualitative descriptive study is the method of choice when straight descriptions of phenomena are desired.","container-title":"Research in Nursing &amp; Health","DOI":"10.1002/1098-240x(200008)23:4&lt;334::aid-nur9&gt;3.0.co;2-g","ISSN":"0160-6891","issue":"4","journalAbbreviation":"Res Nurs Health","language":"eng","page":"334-340","PMID":"10940958","source":"PubMed","title":"Whatever happened to qualitative description?","volume":"23","author":[{"family":"Sandelowski","given":"M."}],"issued":{"date-parts":[["2000",8]]}}}],"schema":"https://github.com/citation-style-language/schema/raw/master/csl-citation.json"} </w:instrText>
      </w:r>
      <w:r w:rsidR="00387670">
        <w:rPr>
          <w:rFonts w:ascii="Times New Roman" w:hAnsi="Times New Roman" w:cs="Times New Roman"/>
          <w:color w:val="000000"/>
          <w:sz w:val="24"/>
          <w:szCs w:val="24"/>
        </w:rPr>
        <w:fldChar w:fldCharType="separate"/>
      </w:r>
      <w:r w:rsidR="003D52FE" w:rsidRPr="003D52FE">
        <w:rPr>
          <w:rFonts w:ascii="Times New Roman" w:hAnsi="Times New Roman" w:cs="Times New Roman"/>
          <w:sz w:val="24"/>
        </w:rPr>
        <w:t>(19)</w:t>
      </w:r>
      <w:r w:rsidR="00387670">
        <w:rPr>
          <w:rFonts w:ascii="Times New Roman" w:hAnsi="Times New Roman" w:cs="Times New Roman"/>
          <w:color w:val="000000"/>
          <w:sz w:val="24"/>
          <w:szCs w:val="24"/>
        </w:rPr>
        <w:fldChar w:fldCharType="end"/>
      </w:r>
      <w:r w:rsidR="00387670">
        <w:rPr>
          <w:rFonts w:ascii="Times New Roman" w:hAnsi="Times New Roman" w:cs="Times New Roman"/>
          <w:color w:val="000000"/>
          <w:sz w:val="24"/>
          <w:szCs w:val="24"/>
        </w:rPr>
        <w:t xml:space="preserve"> </w:t>
      </w:r>
      <w:r w:rsidR="007F4BC4">
        <w:rPr>
          <w:rFonts w:ascii="Times New Roman" w:hAnsi="Times New Roman" w:cs="Times New Roman"/>
          <w:color w:val="000000"/>
          <w:sz w:val="24"/>
          <w:szCs w:val="24"/>
        </w:rPr>
        <w:t>Ground</w:t>
      </w:r>
      <w:r w:rsidRPr="00977C61">
        <w:rPr>
          <w:rFonts w:ascii="Times New Roman" w:hAnsi="Times New Roman" w:cs="Times New Roman"/>
          <w:color w:val="000000"/>
          <w:sz w:val="24"/>
          <w:szCs w:val="24"/>
        </w:rPr>
        <w:t>ed in behavi</w:t>
      </w:r>
      <w:r w:rsidR="007F4BC4">
        <w:rPr>
          <w:rFonts w:ascii="Times New Roman" w:hAnsi="Times New Roman" w:cs="Times New Roman"/>
          <w:color w:val="000000"/>
          <w:sz w:val="24"/>
          <w:szCs w:val="24"/>
        </w:rPr>
        <w:t>oral science, combining the HBM and SEM Models</w:t>
      </w:r>
      <w:r w:rsidRPr="00977C61">
        <w:rPr>
          <w:rFonts w:ascii="Times New Roman" w:hAnsi="Times New Roman" w:cs="Times New Roman"/>
          <w:color w:val="000000"/>
          <w:sz w:val="24"/>
          <w:szCs w:val="24"/>
        </w:rPr>
        <w:t xml:space="preserve"> to examine how knowledge, attitudes, norms, capability, opportunity, and motivation interact across individual, household, community, and health system levels to shape behaviors in outbreak prevention and response. </w:t>
      </w:r>
      <w:r w:rsidR="007F4BC4">
        <w:rPr>
          <w:rFonts w:ascii="Times New Roman" w:hAnsi="Times New Roman" w:cs="Times New Roman"/>
          <w:color w:val="000000"/>
          <w:sz w:val="24"/>
          <w:szCs w:val="24"/>
        </w:rPr>
        <w:t>We reported our findings following the standards for reporting qualitative research (SRQR) guidelines.</w:t>
      </w:r>
    </w:p>
    <w:p w14:paraId="6BCEB39E" w14:textId="73CDA23E" w:rsidR="007F4BC4" w:rsidRDefault="007F4BC4" w:rsidP="002F5454">
      <w:pPr>
        <w:autoSpaceDE w:val="0"/>
        <w:autoSpaceDN w:val="0"/>
        <w:adjustRightInd w:val="0"/>
        <w:spacing w:line="240" w:lineRule="auto"/>
        <w:jc w:val="both"/>
        <w:rPr>
          <w:rFonts w:ascii="Times New Roman" w:hAnsi="Times New Roman" w:cs="Times New Roman"/>
          <w:color w:val="000000"/>
          <w:sz w:val="24"/>
          <w:szCs w:val="24"/>
        </w:rPr>
      </w:pPr>
    </w:p>
    <w:p w14:paraId="5FC6D54D" w14:textId="739A5B66" w:rsidR="007F4BC4" w:rsidRDefault="007F4BC4" w:rsidP="007F4BC4">
      <w:pPr>
        <w:autoSpaceDE w:val="0"/>
        <w:autoSpaceDN w:val="0"/>
        <w:adjustRightInd w:val="0"/>
        <w:spacing w:line="24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Study setting </w:t>
      </w:r>
    </w:p>
    <w:p w14:paraId="5DA8853C" w14:textId="16C08AD2" w:rsidR="00977C61" w:rsidRPr="002F5454" w:rsidRDefault="007F4BC4" w:rsidP="002F5454">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We conducted this study </w:t>
      </w:r>
      <w:r w:rsidR="00977C61" w:rsidRPr="00977C61">
        <w:rPr>
          <w:rFonts w:ascii="Times New Roman" w:hAnsi="Times New Roman" w:cs="Times New Roman"/>
          <w:color w:val="000000"/>
          <w:sz w:val="24"/>
          <w:szCs w:val="24"/>
        </w:rPr>
        <w:t>in six high-priority districts of Rwanda: Kayonza, Rulindo, Nyaruguru, Nyanza, R</w:t>
      </w:r>
      <w:r>
        <w:rPr>
          <w:rFonts w:ascii="Times New Roman" w:hAnsi="Times New Roman" w:cs="Times New Roman"/>
          <w:color w:val="000000"/>
          <w:sz w:val="24"/>
          <w:szCs w:val="24"/>
        </w:rPr>
        <w:t>usizi, and Rubavu. Districts were</w:t>
      </w:r>
      <w:r w:rsidR="00977C61" w:rsidRPr="00977C61">
        <w:rPr>
          <w:rFonts w:ascii="Times New Roman" w:hAnsi="Times New Roman" w:cs="Times New Roman"/>
          <w:color w:val="000000"/>
          <w:sz w:val="24"/>
          <w:szCs w:val="24"/>
        </w:rPr>
        <w:t xml:space="preserve"> purposefully selected based on outbreak risk, cross-border dynamics, and prior epidemic experience to generate actionable insights for strengthening Rwanda’s health system resilience. </w:t>
      </w:r>
    </w:p>
    <w:p w14:paraId="772AA118" w14:textId="3973043D" w:rsidR="002F5454" w:rsidRPr="002F5454" w:rsidRDefault="002F5454" w:rsidP="002F5454">
      <w:pPr>
        <w:autoSpaceDE w:val="0"/>
        <w:autoSpaceDN w:val="0"/>
        <w:adjustRightInd w:val="0"/>
        <w:spacing w:line="240" w:lineRule="auto"/>
        <w:jc w:val="both"/>
        <w:rPr>
          <w:rFonts w:ascii="Times New Roman" w:hAnsi="Times New Roman" w:cs="Times New Roman"/>
          <w:color w:val="000000"/>
          <w:sz w:val="24"/>
          <w:szCs w:val="24"/>
        </w:rPr>
      </w:pPr>
    </w:p>
    <w:p w14:paraId="436B8287" w14:textId="2FA77686" w:rsidR="00977C61" w:rsidRPr="00977C61" w:rsidRDefault="00704C3C" w:rsidP="002F5454">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Study population and recruitment</w:t>
      </w:r>
      <w:r w:rsidR="00977C61" w:rsidRPr="00977C61">
        <w:rPr>
          <w:rFonts w:ascii="Times New Roman" w:hAnsi="Times New Roman" w:cs="Times New Roman"/>
          <w:b/>
          <w:bCs/>
          <w:color w:val="000000"/>
          <w:sz w:val="24"/>
          <w:szCs w:val="24"/>
        </w:rPr>
        <w:t xml:space="preserve"> </w:t>
      </w:r>
    </w:p>
    <w:p w14:paraId="7EBFF63B" w14:textId="127F5225" w:rsidR="00704C3C" w:rsidRPr="002F5454" w:rsidRDefault="00704C3C" w:rsidP="00704C3C">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Purposive sampling was </w:t>
      </w:r>
      <w:r w:rsidR="00977C61" w:rsidRPr="00977C61">
        <w:rPr>
          <w:rFonts w:ascii="Times New Roman" w:hAnsi="Times New Roman" w:cs="Times New Roman"/>
          <w:color w:val="000000"/>
          <w:sz w:val="24"/>
          <w:szCs w:val="24"/>
        </w:rPr>
        <w:t>employed to select knowledgeable participants, thereby ensuring representation across human, animal, and environmental health sectors, gend</w:t>
      </w:r>
      <w:r>
        <w:rPr>
          <w:rFonts w:ascii="Times New Roman" w:hAnsi="Times New Roman" w:cs="Times New Roman"/>
          <w:color w:val="000000"/>
          <w:sz w:val="24"/>
          <w:szCs w:val="24"/>
        </w:rPr>
        <w:t xml:space="preserve">er, and community roles. All participants had to be at least 18 years </w:t>
      </w:r>
      <w:r w:rsidR="000315DD">
        <w:rPr>
          <w:rFonts w:ascii="Times New Roman" w:hAnsi="Times New Roman" w:cs="Times New Roman"/>
          <w:color w:val="000000"/>
          <w:sz w:val="24"/>
          <w:szCs w:val="24"/>
        </w:rPr>
        <w:t>old</w:t>
      </w:r>
      <w:r>
        <w:rPr>
          <w:rFonts w:ascii="Times New Roman" w:hAnsi="Times New Roman" w:cs="Times New Roman"/>
          <w:color w:val="000000"/>
          <w:sz w:val="24"/>
          <w:szCs w:val="24"/>
        </w:rPr>
        <w:t>. Participants were</w:t>
      </w:r>
      <w:r w:rsidRPr="00977C61">
        <w:rPr>
          <w:rFonts w:ascii="Times New Roman" w:hAnsi="Times New Roman" w:cs="Times New Roman"/>
          <w:color w:val="000000"/>
          <w:sz w:val="24"/>
          <w:szCs w:val="24"/>
        </w:rPr>
        <w:t xml:space="preserve"> drawn from multiple levels (facility, district, community, and technical partners) to ensure diverse perspectives. Efforts w</w:t>
      </w:r>
      <w:r>
        <w:rPr>
          <w:rFonts w:ascii="Times New Roman" w:hAnsi="Times New Roman" w:cs="Times New Roman"/>
          <w:color w:val="000000"/>
          <w:sz w:val="24"/>
          <w:szCs w:val="24"/>
        </w:rPr>
        <w:t>ere</w:t>
      </w:r>
      <w:r w:rsidRPr="00977C61">
        <w:rPr>
          <w:rFonts w:ascii="Times New Roman" w:hAnsi="Times New Roman" w:cs="Times New Roman"/>
          <w:color w:val="000000"/>
          <w:sz w:val="24"/>
          <w:szCs w:val="24"/>
        </w:rPr>
        <w:t xml:space="preserve"> made to include participants from urban, peri-urban,</w:t>
      </w:r>
      <w:r>
        <w:rPr>
          <w:rFonts w:ascii="Times New Roman" w:hAnsi="Times New Roman" w:cs="Times New Roman"/>
          <w:color w:val="000000"/>
          <w:sz w:val="24"/>
          <w:szCs w:val="24"/>
        </w:rPr>
        <w:t xml:space="preserve"> and rural areas as well as</w:t>
      </w:r>
      <w:r w:rsidRPr="00977C61">
        <w:rPr>
          <w:rFonts w:ascii="Times New Roman" w:hAnsi="Times New Roman" w:cs="Times New Roman"/>
          <w:color w:val="000000"/>
          <w:sz w:val="24"/>
          <w:szCs w:val="24"/>
        </w:rPr>
        <w:t xml:space="preserve"> women and men </w:t>
      </w:r>
      <w:r w:rsidR="000315DD">
        <w:rPr>
          <w:rFonts w:ascii="Times New Roman" w:hAnsi="Times New Roman" w:cs="Times New Roman"/>
          <w:color w:val="000000"/>
          <w:sz w:val="24"/>
          <w:szCs w:val="24"/>
        </w:rPr>
        <w:t xml:space="preserve">in an </w:t>
      </w:r>
      <w:r w:rsidRPr="00977C61">
        <w:rPr>
          <w:rFonts w:ascii="Times New Roman" w:hAnsi="Times New Roman" w:cs="Times New Roman"/>
          <w:color w:val="000000"/>
          <w:sz w:val="24"/>
          <w:szCs w:val="24"/>
        </w:rPr>
        <w:t xml:space="preserve">equitable. </w:t>
      </w:r>
    </w:p>
    <w:p w14:paraId="10D20EBD" w14:textId="77777777" w:rsidR="00704C3C" w:rsidRDefault="00704C3C" w:rsidP="002F5454">
      <w:pPr>
        <w:autoSpaceDE w:val="0"/>
        <w:autoSpaceDN w:val="0"/>
        <w:adjustRightInd w:val="0"/>
        <w:spacing w:line="240" w:lineRule="auto"/>
        <w:jc w:val="both"/>
        <w:rPr>
          <w:rFonts w:ascii="Times New Roman" w:hAnsi="Times New Roman" w:cs="Times New Roman"/>
          <w:color w:val="000000"/>
          <w:sz w:val="24"/>
          <w:szCs w:val="24"/>
        </w:rPr>
      </w:pPr>
    </w:p>
    <w:p w14:paraId="388BD52A" w14:textId="77777777" w:rsidR="003A7FEC" w:rsidRDefault="003A7FEC" w:rsidP="00E877CD">
      <w:pPr>
        <w:autoSpaceDE w:val="0"/>
        <w:autoSpaceDN w:val="0"/>
        <w:adjustRightInd w:val="0"/>
        <w:spacing w:line="240" w:lineRule="auto"/>
        <w:jc w:val="both"/>
        <w:rPr>
          <w:rFonts w:ascii="Times New Roman" w:hAnsi="Times New Roman" w:cs="Times New Roman"/>
          <w:b/>
          <w:bCs/>
          <w:sz w:val="20"/>
          <w:szCs w:val="20"/>
        </w:rPr>
      </w:pPr>
      <w:r w:rsidRPr="00E877CD">
        <w:rPr>
          <w:rFonts w:ascii="Times New Roman" w:hAnsi="Times New Roman" w:cs="Times New Roman"/>
          <w:b/>
          <w:bCs/>
          <w:color w:val="000000"/>
          <w:sz w:val="24"/>
          <w:szCs w:val="24"/>
        </w:rPr>
        <w:t>Data collection instrument</w:t>
      </w:r>
    </w:p>
    <w:p w14:paraId="2B191D3A" w14:textId="397F0E17" w:rsidR="00E877CD" w:rsidRPr="00E877CD" w:rsidRDefault="000315DD" w:rsidP="00E877CD">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We developed </w:t>
      </w:r>
      <w:r w:rsidR="003A7FEC" w:rsidRPr="00E877CD">
        <w:rPr>
          <w:rFonts w:ascii="Times New Roman" w:hAnsi="Times New Roman" w:cs="Times New Roman"/>
          <w:color w:val="000000"/>
          <w:sz w:val="24"/>
          <w:szCs w:val="24"/>
        </w:rPr>
        <w:t xml:space="preserve">interview </w:t>
      </w:r>
      <w:r>
        <w:rPr>
          <w:rFonts w:ascii="Times New Roman" w:hAnsi="Times New Roman" w:cs="Times New Roman"/>
          <w:color w:val="000000"/>
          <w:sz w:val="24"/>
          <w:szCs w:val="24"/>
        </w:rPr>
        <w:t>guides</w:t>
      </w:r>
      <w:r w:rsidR="003A7FEC" w:rsidRPr="00E877CD">
        <w:rPr>
          <w:rFonts w:ascii="Times New Roman" w:hAnsi="Times New Roman" w:cs="Times New Roman"/>
          <w:color w:val="000000"/>
          <w:sz w:val="24"/>
          <w:szCs w:val="24"/>
        </w:rPr>
        <w:t xml:space="preserve"> thro</w:t>
      </w:r>
      <w:r w:rsidR="00E877CD" w:rsidRPr="00E877CD">
        <w:rPr>
          <w:rFonts w:ascii="Times New Roman" w:hAnsi="Times New Roman" w:cs="Times New Roman"/>
          <w:color w:val="000000"/>
          <w:sz w:val="24"/>
          <w:szCs w:val="24"/>
        </w:rPr>
        <w:t>ugh evidence from literature,</w:t>
      </w:r>
      <w:r w:rsidR="003A7FEC" w:rsidRPr="00E877CD">
        <w:rPr>
          <w:rFonts w:ascii="Times New Roman" w:hAnsi="Times New Roman" w:cs="Times New Roman"/>
          <w:color w:val="000000"/>
          <w:sz w:val="24"/>
          <w:szCs w:val="24"/>
        </w:rPr>
        <w:t xml:space="preserve"> </w:t>
      </w:r>
      <w:r w:rsidR="00E877CD" w:rsidRPr="00E877CD">
        <w:rPr>
          <w:rFonts w:ascii="Times New Roman" w:hAnsi="Times New Roman" w:cs="Times New Roman"/>
          <w:color w:val="000000"/>
          <w:sz w:val="24"/>
          <w:szCs w:val="24"/>
        </w:rPr>
        <w:t>experts’</w:t>
      </w:r>
      <w:r w:rsidR="003A7FEC" w:rsidRPr="00E877CD">
        <w:rPr>
          <w:rFonts w:ascii="Times New Roman" w:hAnsi="Times New Roman" w:cs="Times New Roman"/>
          <w:color w:val="000000"/>
          <w:sz w:val="24"/>
          <w:szCs w:val="24"/>
        </w:rPr>
        <w:t xml:space="preserve"> guidelines</w:t>
      </w:r>
      <w:r w:rsidR="00E877CD" w:rsidRPr="00E877CD">
        <w:rPr>
          <w:rFonts w:ascii="Times New Roman" w:hAnsi="Times New Roman" w:cs="Times New Roman"/>
          <w:color w:val="000000"/>
          <w:sz w:val="24"/>
          <w:szCs w:val="24"/>
        </w:rPr>
        <w:t>, while having in mind the HBM and SEM</w:t>
      </w:r>
      <w:r w:rsidR="003A7FEC" w:rsidRPr="00E877CD">
        <w:rPr>
          <w:rFonts w:ascii="Times New Roman" w:hAnsi="Times New Roman" w:cs="Times New Roman"/>
          <w:color w:val="000000"/>
          <w:sz w:val="24"/>
          <w:szCs w:val="24"/>
        </w:rPr>
        <w:t xml:space="preserve"> for data collection. </w:t>
      </w:r>
      <w:r w:rsidR="00E877CD" w:rsidRPr="00E877CD">
        <w:rPr>
          <w:rFonts w:ascii="Times New Roman" w:hAnsi="Times New Roman" w:cs="Times New Roman"/>
          <w:color w:val="000000"/>
          <w:sz w:val="24"/>
          <w:szCs w:val="24"/>
        </w:rPr>
        <w:t xml:space="preserve">This allowed </w:t>
      </w:r>
      <w:r w:rsidR="003A7FEC" w:rsidRPr="00E877CD">
        <w:rPr>
          <w:rFonts w:ascii="Times New Roman" w:hAnsi="Times New Roman" w:cs="Times New Roman"/>
          <w:color w:val="000000"/>
          <w:sz w:val="24"/>
          <w:szCs w:val="24"/>
        </w:rPr>
        <w:t>the exploration</w:t>
      </w:r>
      <w:r w:rsidR="00E877CD" w:rsidRPr="00E877C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of </w:t>
      </w:r>
      <w:r w:rsidR="00E877CD" w:rsidRPr="00E877CD">
        <w:rPr>
          <w:rFonts w:ascii="Times New Roman" w:hAnsi="Times New Roman" w:cs="Times New Roman"/>
          <w:color w:val="000000"/>
          <w:sz w:val="24"/>
          <w:szCs w:val="24"/>
        </w:rPr>
        <w:t xml:space="preserve">insights while placing individual behaviors within household, community, and health system contexts. </w:t>
      </w:r>
    </w:p>
    <w:p w14:paraId="4DAF9EE6" w14:textId="5A4C481E" w:rsidR="00704C3C" w:rsidRDefault="003A7FEC" w:rsidP="00E877CD">
      <w:pPr>
        <w:autoSpaceDE w:val="0"/>
        <w:autoSpaceDN w:val="0"/>
        <w:adjustRightInd w:val="0"/>
        <w:spacing w:line="240" w:lineRule="auto"/>
        <w:jc w:val="both"/>
        <w:rPr>
          <w:rFonts w:ascii="Times New Roman" w:hAnsi="Times New Roman" w:cs="Times New Roman"/>
          <w:color w:val="000000"/>
          <w:sz w:val="24"/>
          <w:szCs w:val="24"/>
        </w:rPr>
      </w:pPr>
      <w:r w:rsidRPr="00E877CD">
        <w:rPr>
          <w:rFonts w:ascii="Times New Roman" w:hAnsi="Times New Roman" w:cs="Times New Roman"/>
          <w:color w:val="000000"/>
          <w:sz w:val="24"/>
          <w:szCs w:val="24"/>
        </w:rPr>
        <w:t>The guide</w:t>
      </w:r>
      <w:r w:rsidR="00E877CD" w:rsidRPr="00E877CD">
        <w:rPr>
          <w:rFonts w:ascii="Times New Roman" w:hAnsi="Times New Roman" w:cs="Times New Roman"/>
          <w:color w:val="000000"/>
          <w:sz w:val="24"/>
          <w:szCs w:val="24"/>
        </w:rPr>
        <w:t>s were</w:t>
      </w:r>
      <w:r w:rsidRPr="00E877CD">
        <w:rPr>
          <w:rFonts w:ascii="Times New Roman" w:hAnsi="Times New Roman" w:cs="Times New Roman"/>
          <w:color w:val="000000"/>
          <w:sz w:val="24"/>
          <w:szCs w:val="24"/>
        </w:rPr>
        <w:t xml:space="preserve"> translated from English to </w:t>
      </w:r>
      <w:r w:rsidR="00E877CD" w:rsidRPr="00E877CD">
        <w:rPr>
          <w:rFonts w:ascii="Times New Roman" w:hAnsi="Times New Roman" w:cs="Times New Roman"/>
          <w:color w:val="000000"/>
          <w:sz w:val="24"/>
          <w:szCs w:val="24"/>
        </w:rPr>
        <w:t>Kinyarwanda</w:t>
      </w:r>
      <w:r w:rsidRPr="00E877CD">
        <w:rPr>
          <w:rFonts w:ascii="Times New Roman" w:hAnsi="Times New Roman" w:cs="Times New Roman"/>
          <w:color w:val="000000"/>
          <w:sz w:val="24"/>
          <w:szCs w:val="24"/>
        </w:rPr>
        <w:t xml:space="preserve"> by</w:t>
      </w:r>
      <w:r w:rsidR="00E877CD" w:rsidRPr="00E877CD">
        <w:rPr>
          <w:rFonts w:ascii="Times New Roman" w:hAnsi="Times New Roman" w:cs="Times New Roman"/>
          <w:color w:val="000000"/>
          <w:sz w:val="24"/>
          <w:szCs w:val="24"/>
        </w:rPr>
        <w:t xml:space="preserve"> a </w:t>
      </w:r>
      <w:r w:rsidRPr="00E877CD">
        <w:rPr>
          <w:rFonts w:ascii="Times New Roman" w:hAnsi="Times New Roman" w:cs="Times New Roman"/>
          <w:color w:val="000000"/>
          <w:sz w:val="24"/>
          <w:szCs w:val="24"/>
        </w:rPr>
        <w:t xml:space="preserve">qualified translator, </w:t>
      </w:r>
      <w:r w:rsidR="00E877CD" w:rsidRPr="00E877CD">
        <w:rPr>
          <w:rFonts w:ascii="Times New Roman" w:hAnsi="Times New Roman" w:cs="Times New Roman"/>
          <w:color w:val="000000"/>
          <w:sz w:val="24"/>
          <w:szCs w:val="24"/>
        </w:rPr>
        <w:t>back translated</w:t>
      </w:r>
      <w:r w:rsidR="00E877CD">
        <w:rPr>
          <w:rFonts w:ascii="Times New Roman" w:hAnsi="Times New Roman" w:cs="Times New Roman"/>
          <w:color w:val="000000"/>
          <w:sz w:val="24"/>
          <w:szCs w:val="24"/>
        </w:rPr>
        <w:t xml:space="preserve"> </w:t>
      </w:r>
      <w:r w:rsidRPr="00E877CD">
        <w:rPr>
          <w:rFonts w:ascii="Times New Roman" w:hAnsi="Times New Roman" w:cs="Times New Roman"/>
          <w:color w:val="000000"/>
          <w:sz w:val="24"/>
          <w:szCs w:val="24"/>
        </w:rPr>
        <w:t xml:space="preserve">to English by </w:t>
      </w:r>
      <w:r w:rsidR="000315DD">
        <w:rPr>
          <w:rFonts w:ascii="Times New Roman" w:hAnsi="Times New Roman" w:cs="Times New Roman"/>
          <w:color w:val="000000"/>
          <w:sz w:val="24"/>
          <w:szCs w:val="24"/>
        </w:rPr>
        <w:t xml:space="preserve">a </w:t>
      </w:r>
      <w:r w:rsidR="00E877CD" w:rsidRPr="00E877CD">
        <w:rPr>
          <w:rFonts w:ascii="Times New Roman" w:hAnsi="Times New Roman" w:cs="Times New Roman"/>
          <w:color w:val="000000"/>
          <w:sz w:val="24"/>
          <w:szCs w:val="24"/>
        </w:rPr>
        <w:t>separate translator for consistency and flow</w:t>
      </w:r>
      <w:r w:rsidR="00E877CD">
        <w:rPr>
          <w:rFonts w:ascii="Times New Roman" w:hAnsi="Times New Roman" w:cs="Times New Roman"/>
          <w:color w:val="000000"/>
          <w:sz w:val="24"/>
          <w:szCs w:val="24"/>
        </w:rPr>
        <w:t>.</w:t>
      </w:r>
    </w:p>
    <w:p w14:paraId="232E6DC7" w14:textId="47363D7D" w:rsidR="00DA60A1" w:rsidRDefault="00DA60A1" w:rsidP="00E877CD">
      <w:pPr>
        <w:autoSpaceDE w:val="0"/>
        <w:autoSpaceDN w:val="0"/>
        <w:adjustRightInd w:val="0"/>
        <w:spacing w:line="240" w:lineRule="auto"/>
        <w:jc w:val="both"/>
        <w:rPr>
          <w:rFonts w:ascii="Times New Roman" w:hAnsi="Times New Roman" w:cs="Times New Roman"/>
          <w:color w:val="000000"/>
          <w:sz w:val="24"/>
          <w:szCs w:val="24"/>
        </w:rPr>
      </w:pPr>
    </w:p>
    <w:p w14:paraId="05F92DDB" w14:textId="4360F15E" w:rsidR="00162982" w:rsidRPr="00DA60A1" w:rsidRDefault="00DA60A1" w:rsidP="002F5454">
      <w:pPr>
        <w:autoSpaceDE w:val="0"/>
        <w:autoSpaceDN w:val="0"/>
        <w:adjustRightInd w:val="0"/>
        <w:spacing w:line="240" w:lineRule="auto"/>
        <w:jc w:val="both"/>
        <w:rPr>
          <w:rFonts w:ascii="Times New Roman" w:hAnsi="Times New Roman" w:cs="Times New Roman"/>
          <w:b/>
          <w:bCs/>
          <w:color w:val="000000"/>
          <w:sz w:val="24"/>
          <w:szCs w:val="24"/>
        </w:rPr>
      </w:pPr>
      <w:r w:rsidRPr="00DA60A1">
        <w:rPr>
          <w:rFonts w:ascii="Times New Roman" w:hAnsi="Times New Roman" w:cs="Times New Roman"/>
          <w:b/>
          <w:bCs/>
          <w:color w:val="000000"/>
          <w:sz w:val="24"/>
          <w:szCs w:val="24"/>
        </w:rPr>
        <w:t>Data collection</w:t>
      </w:r>
    </w:p>
    <w:p w14:paraId="3F4582EA" w14:textId="2DCFCDC4" w:rsidR="00B51FF1" w:rsidRDefault="00162982" w:rsidP="003D52FE">
      <w:pPr>
        <w:autoSpaceDE w:val="0"/>
        <w:autoSpaceDN w:val="0"/>
        <w:adjustRightInd w:val="0"/>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We collected data </w:t>
      </w:r>
      <w:r w:rsidR="00192A53">
        <w:rPr>
          <w:rFonts w:ascii="Times New Roman" w:hAnsi="Times New Roman" w:cs="Times New Roman"/>
          <w:color w:val="000000"/>
          <w:sz w:val="24"/>
          <w:szCs w:val="24"/>
        </w:rPr>
        <w:t>in the month of October</w:t>
      </w:r>
      <w:r>
        <w:rPr>
          <w:rFonts w:ascii="Times New Roman" w:hAnsi="Times New Roman" w:cs="Times New Roman"/>
          <w:color w:val="000000"/>
          <w:sz w:val="24"/>
          <w:szCs w:val="24"/>
        </w:rPr>
        <w:t xml:space="preserve"> 2025 using </w:t>
      </w:r>
      <w:r w:rsidR="00977C61" w:rsidRPr="00977C61">
        <w:rPr>
          <w:rFonts w:ascii="Times New Roman" w:hAnsi="Times New Roman" w:cs="Times New Roman"/>
          <w:color w:val="000000"/>
          <w:sz w:val="24"/>
          <w:szCs w:val="24"/>
        </w:rPr>
        <w:t xml:space="preserve">In-Depth Interviews (IDIs) in each of the selected districts, equally distributed </w:t>
      </w:r>
      <w:r w:rsidR="00DA60A1">
        <w:rPr>
          <w:rFonts w:ascii="Times New Roman" w:hAnsi="Times New Roman" w:cs="Times New Roman"/>
          <w:color w:val="000000"/>
          <w:sz w:val="24"/>
          <w:szCs w:val="24"/>
        </w:rPr>
        <w:t>across all</w:t>
      </w:r>
      <w:r w:rsidR="00977C61" w:rsidRPr="00977C61">
        <w:rPr>
          <w:rFonts w:ascii="Times New Roman" w:hAnsi="Times New Roman" w:cs="Times New Roman"/>
          <w:color w:val="000000"/>
          <w:sz w:val="24"/>
          <w:szCs w:val="24"/>
        </w:rPr>
        <w:t>.</w:t>
      </w:r>
      <w:r>
        <w:rPr>
          <w:rFonts w:ascii="Times New Roman" w:hAnsi="Times New Roman" w:cs="Times New Roman"/>
          <w:color w:val="000000"/>
          <w:sz w:val="24"/>
          <w:szCs w:val="24"/>
        </w:rPr>
        <w:t xml:space="preserve"> Data was supported by two F</w:t>
      </w:r>
      <w:r w:rsidR="00977C61" w:rsidRPr="00977C61">
        <w:rPr>
          <w:rFonts w:ascii="Times New Roman" w:hAnsi="Times New Roman" w:cs="Times New Roman"/>
          <w:color w:val="000000"/>
          <w:sz w:val="24"/>
          <w:szCs w:val="24"/>
        </w:rPr>
        <w:t>o</w:t>
      </w:r>
      <w:r w:rsidR="00DA60A1">
        <w:rPr>
          <w:rFonts w:ascii="Times New Roman" w:hAnsi="Times New Roman" w:cs="Times New Roman"/>
          <w:color w:val="000000"/>
          <w:sz w:val="24"/>
          <w:szCs w:val="24"/>
        </w:rPr>
        <w:t>cus Group Discussi</w:t>
      </w:r>
      <w:r>
        <w:rPr>
          <w:rFonts w:ascii="Times New Roman" w:hAnsi="Times New Roman" w:cs="Times New Roman"/>
          <w:color w:val="000000"/>
          <w:sz w:val="24"/>
          <w:szCs w:val="24"/>
        </w:rPr>
        <w:t xml:space="preserve">ons (FDGs) </w:t>
      </w:r>
      <w:r w:rsidR="00977C61" w:rsidRPr="00977C61">
        <w:rPr>
          <w:rFonts w:ascii="Times New Roman" w:hAnsi="Times New Roman" w:cs="Times New Roman"/>
          <w:color w:val="000000"/>
          <w:sz w:val="24"/>
          <w:szCs w:val="24"/>
        </w:rPr>
        <w:t xml:space="preserve">in each district with up to </w:t>
      </w:r>
      <w:r w:rsidR="00DA60A1">
        <w:rPr>
          <w:rFonts w:ascii="Times New Roman" w:hAnsi="Times New Roman" w:cs="Times New Roman"/>
          <w:color w:val="000000"/>
          <w:sz w:val="24"/>
          <w:szCs w:val="24"/>
        </w:rPr>
        <w:t>11-12 participants.</w:t>
      </w:r>
      <w:r>
        <w:rPr>
          <w:rFonts w:ascii="Times New Roman" w:hAnsi="Times New Roman" w:cs="Times New Roman"/>
          <w:color w:val="000000"/>
          <w:sz w:val="24"/>
          <w:szCs w:val="24"/>
        </w:rPr>
        <w:t xml:space="preserve"> </w:t>
      </w:r>
      <w:r w:rsidR="005A3E52">
        <w:rPr>
          <w:rFonts w:ascii="Times New Roman" w:hAnsi="Times New Roman" w:cs="Times New Roman"/>
          <w:color w:val="000000"/>
          <w:sz w:val="24"/>
          <w:szCs w:val="24"/>
        </w:rPr>
        <w:t>The interviews were conducted by trained</w:t>
      </w:r>
      <w:r>
        <w:rPr>
          <w:rFonts w:ascii="Times New Roman" w:hAnsi="Times New Roman" w:cs="Times New Roman"/>
          <w:color w:val="000000"/>
          <w:sz w:val="24"/>
          <w:szCs w:val="24"/>
        </w:rPr>
        <w:t xml:space="preserve"> and </w:t>
      </w:r>
      <w:r w:rsidR="005A3E52">
        <w:rPr>
          <w:rFonts w:ascii="Times New Roman" w:hAnsi="Times New Roman" w:cs="Times New Roman"/>
          <w:color w:val="000000"/>
          <w:sz w:val="24"/>
          <w:szCs w:val="24"/>
        </w:rPr>
        <w:t xml:space="preserve">experienced </w:t>
      </w:r>
      <w:r>
        <w:rPr>
          <w:rFonts w:ascii="Times New Roman" w:hAnsi="Times New Roman" w:cs="Times New Roman"/>
          <w:color w:val="000000"/>
          <w:sz w:val="24"/>
          <w:szCs w:val="24"/>
        </w:rPr>
        <w:t xml:space="preserve">social </w:t>
      </w:r>
      <w:r w:rsidR="00386088">
        <w:rPr>
          <w:rFonts w:ascii="Times New Roman" w:hAnsi="Times New Roman" w:cs="Times New Roman"/>
          <w:color w:val="000000"/>
          <w:sz w:val="24"/>
          <w:szCs w:val="24"/>
        </w:rPr>
        <w:t>scientists</w:t>
      </w:r>
      <w:r>
        <w:rPr>
          <w:rFonts w:ascii="Times New Roman" w:hAnsi="Times New Roman" w:cs="Times New Roman"/>
          <w:color w:val="000000"/>
          <w:sz w:val="24"/>
          <w:szCs w:val="24"/>
        </w:rPr>
        <w:t xml:space="preserve">, fluent in Kinyarwanda. All interviews </w:t>
      </w:r>
      <w:r w:rsidRPr="00162982">
        <w:rPr>
          <w:rFonts w:ascii="Times New Roman" w:hAnsi="Times New Roman" w:cs="Times New Roman"/>
          <w:color w:val="000000"/>
          <w:sz w:val="24"/>
          <w:szCs w:val="24"/>
        </w:rPr>
        <w:t>took place in private locations to ensure comfort and confidentiality</w:t>
      </w:r>
      <w:r w:rsidR="00386088">
        <w:rPr>
          <w:rFonts w:ascii="Times New Roman" w:hAnsi="Times New Roman" w:cs="Times New Roman"/>
          <w:color w:val="000000"/>
          <w:sz w:val="24"/>
          <w:szCs w:val="24"/>
        </w:rPr>
        <w:t>,</w:t>
      </w:r>
      <w:r w:rsidRPr="00162982">
        <w:rPr>
          <w:rFonts w:ascii="Times New Roman" w:hAnsi="Times New Roman" w:cs="Times New Roman"/>
          <w:color w:val="000000"/>
          <w:sz w:val="24"/>
          <w:szCs w:val="24"/>
        </w:rPr>
        <w:t xml:space="preserve"> lasting 45-130 minutes. Each interview</w:t>
      </w:r>
      <w:r>
        <w:rPr>
          <w:rFonts w:ascii="Times New Roman" w:hAnsi="Times New Roman" w:cs="Times New Roman"/>
          <w:color w:val="000000"/>
          <w:sz w:val="24"/>
          <w:szCs w:val="24"/>
        </w:rPr>
        <w:t xml:space="preserve"> </w:t>
      </w:r>
      <w:r w:rsidRPr="00162982">
        <w:rPr>
          <w:rFonts w:ascii="Times New Roman" w:hAnsi="Times New Roman" w:cs="Times New Roman"/>
          <w:color w:val="000000"/>
          <w:sz w:val="24"/>
          <w:szCs w:val="24"/>
        </w:rPr>
        <w:t xml:space="preserve">session began with an explanation of </w:t>
      </w:r>
      <w:r w:rsidR="00386088">
        <w:rPr>
          <w:rFonts w:ascii="Times New Roman" w:hAnsi="Times New Roman" w:cs="Times New Roman"/>
          <w:color w:val="000000"/>
          <w:sz w:val="24"/>
          <w:szCs w:val="24"/>
        </w:rPr>
        <w:t xml:space="preserve">the </w:t>
      </w:r>
      <w:r w:rsidRPr="00162982">
        <w:rPr>
          <w:rFonts w:ascii="Times New Roman" w:hAnsi="Times New Roman" w:cs="Times New Roman"/>
          <w:color w:val="000000"/>
          <w:sz w:val="24"/>
          <w:szCs w:val="24"/>
        </w:rPr>
        <w:t>study aims, voluntary participation,</w:t>
      </w:r>
      <w:r>
        <w:rPr>
          <w:rFonts w:ascii="Times New Roman" w:hAnsi="Times New Roman" w:cs="Times New Roman"/>
          <w:color w:val="000000"/>
          <w:sz w:val="24"/>
          <w:szCs w:val="24"/>
        </w:rPr>
        <w:t xml:space="preserve"> and </w:t>
      </w:r>
      <w:r w:rsidR="00386088">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 xml:space="preserve">informed consent process. </w:t>
      </w:r>
      <w:r w:rsidRPr="004F2225">
        <w:rPr>
          <w:rFonts w:ascii="Times New Roman" w:hAnsi="Times New Roman" w:cs="Times New Roman"/>
          <w:color w:val="000000"/>
          <w:sz w:val="24"/>
          <w:szCs w:val="24"/>
        </w:rPr>
        <w:t>With</w:t>
      </w:r>
      <w:r w:rsidR="004F2225" w:rsidRPr="004F2225">
        <w:rPr>
          <w:rFonts w:ascii="Times New Roman" w:hAnsi="Times New Roman" w:cs="Times New Roman"/>
          <w:color w:val="000000"/>
          <w:sz w:val="24"/>
          <w:szCs w:val="24"/>
        </w:rPr>
        <w:t xml:space="preserve"> participants' permission, interviews were audio-</w:t>
      </w:r>
      <w:r w:rsidR="004F2225" w:rsidRPr="004F2225">
        <w:rPr>
          <w:rFonts w:ascii="Times New Roman" w:hAnsi="Times New Roman" w:cs="Times New Roman"/>
          <w:color w:val="000000"/>
          <w:sz w:val="24"/>
          <w:szCs w:val="24"/>
        </w:rPr>
        <w:lastRenderedPageBreak/>
        <w:t xml:space="preserve">recorded, </w:t>
      </w:r>
      <w:r w:rsidRPr="004F2225">
        <w:rPr>
          <w:rFonts w:ascii="Times New Roman" w:hAnsi="Times New Roman" w:cs="Times New Roman"/>
          <w:color w:val="000000"/>
          <w:sz w:val="24"/>
          <w:szCs w:val="24"/>
        </w:rPr>
        <w:t>and fiel</w:t>
      </w:r>
      <w:r w:rsidR="004F2225" w:rsidRPr="004F2225">
        <w:rPr>
          <w:rFonts w:ascii="Times New Roman" w:hAnsi="Times New Roman" w:cs="Times New Roman"/>
          <w:color w:val="000000"/>
          <w:sz w:val="24"/>
          <w:szCs w:val="24"/>
        </w:rPr>
        <w:t xml:space="preserve">d notes were written </w:t>
      </w:r>
      <w:r w:rsidRPr="004F2225">
        <w:rPr>
          <w:rFonts w:ascii="Times New Roman" w:hAnsi="Times New Roman" w:cs="Times New Roman"/>
          <w:color w:val="000000"/>
          <w:sz w:val="24"/>
          <w:szCs w:val="24"/>
        </w:rPr>
        <w:t>afterwards to capture contextu</w:t>
      </w:r>
      <w:r w:rsidR="003D52FE">
        <w:rPr>
          <w:rFonts w:ascii="Times New Roman" w:hAnsi="Times New Roman" w:cs="Times New Roman"/>
          <w:color w:val="000000"/>
          <w:sz w:val="24"/>
          <w:szCs w:val="24"/>
        </w:rPr>
        <w:t xml:space="preserve">al observations and reflections. </w:t>
      </w:r>
    </w:p>
    <w:p w14:paraId="3531242B" w14:textId="77777777" w:rsidR="003D52FE" w:rsidRDefault="003D52FE" w:rsidP="003D52FE">
      <w:pPr>
        <w:autoSpaceDE w:val="0"/>
        <w:autoSpaceDN w:val="0"/>
        <w:adjustRightInd w:val="0"/>
        <w:spacing w:line="240" w:lineRule="auto"/>
        <w:jc w:val="both"/>
        <w:rPr>
          <w:rFonts w:ascii="Times New Roman" w:hAnsi="Times New Roman" w:cs="Times New Roman"/>
          <w:color w:val="000000"/>
          <w:sz w:val="24"/>
          <w:szCs w:val="24"/>
        </w:rPr>
      </w:pPr>
    </w:p>
    <w:p w14:paraId="163D1ABB" w14:textId="55C7E609" w:rsidR="00B51FF1" w:rsidRPr="00B51FF1" w:rsidRDefault="00B51FF1" w:rsidP="00162982">
      <w:pPr>
        <w:autoSpaceDE w:val="0"/>
        <w:autoSpaceDN w:val="0"/>
        <w:adjustRightInd w:val="0"/>
        <w:spacing w:line="240" w:lineRule="auto"/>
        <w:jc w:val="both"/>
        <w:rPr>
          <w:rFonts w:ascii="Times New Roman" w:hAnsi="Times New Roman" w:cs="Times New Roman"/>
          <w:b/>
          <w:color w:val="000000"/>
          <w:sz w:val="24"/>
          <w:szCs w:val="24"/>
        </w:rPr>
      </w:pPr>
      <w:r w:rsidRPr="00B51FF1">
        <w:rPr>
          <w:rFonts w:ascii="Times New Roman" w:hAnsi="Times New Roman" w:cs="Times New Roman"/>
          <w:b/>
          <w:color w:val="000000"/>
          <w:sz w:val="24"/>
          <w:szCs w:val="24"/>
        </w:rPr>
        <w:t>Data management and analysis</w:t>
      </w:r>
    </w:p>
    <w:p w14:paraId="70D0BC29" w14:textId="12CF6962" w:rsidR="00B51FF1" w:rsidRDefault="00B51FF1" w:rsidP="00162982">
      <w:pPr>
        <w:autoSpaceDE w:val="0"/>
        <w:autoSpaceDN w:val="0"/>
        <w:adjustRightInd w:val="0"/>
        <w:spacing w:line="240" w:lineRule="auto"/>
        <w:jc w:val="both"/>
        <w:rPr>
          <w:rFonts w:ascii="Times New Roman" w:hAnsi="Times New Roman" w:cs="Times New Roman"/>
          <w:color w:val="000000"/>
          <w:sz w:val="24"/>
          <w:szCs w:val="24"/>
        </w:rPr>
      </w:pPr>
    </w:p>
    <w:p w14:paraId="4E684A2E" w14:textId="67A7141E" w:rsidR="009A21E9" w:rsidRDefault="00B51FF1" w:rsidP="00714831">
      <w:pPr>
        <w:autoSpaceDE w:val="0"/>
        <w:autoSpaceDN w:val="0"/>
        <w:adjustRightInd w:val="0"/>
        <w:spacing w:line="240" w:lineRule="auto"/>
        <w:jc w:val="both"/>
        <w:rPr>
          <w:rFonts w:ascii="Times New Roman" w:hAnsi="Times New Roman" w:cs="Times New Roman"/>
          <w:color w:val="000000"/>
          <w:sz w:val="24"/>
          <w:szCs w:val="24"/>
        </w:rPr>
      </w:pPr>
      <w:r w:rsidRPr="00B51FF1">
        <w:rPr>
          <w:rFonts w:ascii="Times New Roman" w:hAnsi="Times New Roman" w:cs="Times New Roman"/>
          <w:color w:val="000000"/>
          <w:sz w:val="24"/>
          <w:szCs w:val="24"/>
        </w:rPr>
        <w:t xml:space="preserve">Interview audio-recordings were first transcribed verbatim in </w:t>
      </w:r>
      <w:r>
        <w:rPr>
          <w:rFonts w:ascii="Times New Roman" w:hAnsi="Times New Roman" w:cs="Times New Roman"/>
          <w:color w:val="000000"/>
          <w:sz w:val="24"/>
          <w:szCs w:val="24"/>
        </w:rPr>
        <w:t>Kinyarwanda</w:t>
      </w:r>
      <w:r w:rsidR="000315DD">
        <w:rPr>
          <w:rFonts w:ascii="Times New Roman" w:hAnsi="Times New Roman" w:cs="Times New Roman"/>
          <w:color w:val="000000"/>
          <w:sz w:val="24"/>
          <w:szCs w:val="24"/>
        </w:rPr>
        <w:t>,</w:t>
      </w:r>
      <w:r w:rsidRPr="00B51FF1">
        <w:rPr>
          <w:rFonts w:ascii="Times New Roman" w:hAnsi="Times New Roman" w:cs="Times New Roman"/>
          <w:color w:val="000000"/>
          <w:sz w:val="24"/>
          <w:szCs w:val="24"/>
        </w:rPr>
        <w:t xml:space="preserve"> then</w:t>
      </w:r>
      <w:r>
        <w:rPr>
          <w:rFonts w:ascii="Times New Roman" w:hAnsi="Times New Roman" w:cs="Times New Roman"/>
          <w:color w:val="000000"/>
          <w:sz w:val="24"/>
          <w:szCs w:val="24"/>
        </w:rPr>
        <w:t xml:space="preserve"> </w:t>
      </w:r>
      <w:r w:rsidRPr="00B51FF1">
        <w:rPr>
          <w:rFonts w:ascii="Times New Roman" w:hAnsi="Times New Roman" w:cs="Times New Roman"/>
          <w:color w:val="000000"/>
          <w:sz w:val="24"/>
          <w:szCs w:val="24"/>
        </w:rPr>
        <w:t xml:space="preserve">translated into English by experienced </w:t>
      </w:r>
      <w:r>
        <w:rPr>
          <w:rFonts w:ascii="Times New Roman" w:hAnsi="Times New Roman" w:cs="Times New Roman"/>
          <w:color w:val="000000"/>
          <w:sz w:val="24"/>
          <w:szCs w:val="24"/>
        </w:rPr>
        <w:t>translators</w:t>
      </w:r>
      <w:r w:rsidRPr="00B51FF1">
        <w:rPr>
          <w:rFonts w:ascii="Times New Roman" w:hAnsi="Times New Roman" w:cs="Times New Roman"/>
          <w:color w:val="000000"/>
          <w:sz w:val="24"/>
          <w:szCs w:val="24"/>
        </w:rPr>
        <w:t>. Da</w:t>
      </w:r>
      <w:r>
        <w:rPr>
          <w:rFonts w:ascii="Times New Roman" w:hAnsi="Times New Roman" w:cs="Times New Roman"/>
          <w:color w:val="000000"/>
          <w:sz w:val="24"/>
          <w:szCs w:val="24"/>
        </w:rPr>
        <w:t xml:space="preserve">ta management and analysis were </w:t>
      </w:r>
      <w:r w:rsidRPr="00B51FF1">
        <w:rPr>
          <w:rFonts w:ascii="Times New Roman" w:hAnsi="Times New Roman" w:cs="Times New Roman"/>
          <w:color w:val="000000"/>
          <w:sz w:val="24"/>
          <w:szCs w:val="24"/>
        </w:rPr>
        <w:t xml:space="preserve">supported by </w:t>
      </w:r>
      <w:r>
        <w:rPr>
          <w:rFonts w:ascii="Times New Roman" w:hAnsi="Times New Roman" w:cs="Times New Roman"/>
          <w:color w:val="000000"/>
          <w:sz w:val="24"/>
          <w:szCs w:val="24"/>
        </w:rPr>
        <w:t>Dedoose</w:t>
      </w:r>
      <w:r w:rsidRPr="00B51FF1">
        <w:rPr>
          <w:rFonts w:ascii="Times New Roman" w:hAnsi="Times New Roman" w:cs="Times New Roman"/>
          <w:color w:val="000000"/>
          <w:sz w:val="24"/>
          <w:szCs w:val="24"/>
        </w:rPr>
        <w:t xml:space="preserve">, which facilitated </w:t>
      </w:r>
      <w:r>
        <w:rPr>
          <w:rFonts w:ascii="Times New Roman" w:hAnsi="Times New Roman" w:cs="Times New Roman"/>
          <w:color w:val="000000"/>
          <w:sz w:val="24"/>
          <w:szCs w:val="24"/>
        </w:rPr>
        <w:t xml:space="preserve">systematic coding and retrieval </w:t>
      </w:r>
      <w:r w:rsidRPr="00B51FF1">
        <w:rPr>
          <w:rFonts w:ascii="Times New Roman" w:hAnsi="Times New Roman" w:cs="Times New Roman"/>
          <w:color w:val="000000"/>
          <w:sz w:val="24"/>
          <w:szCs w:val="24"/>
        </w:rPr>
        <w:t xml:space="preserve">of textual data. Analysis was conducted using </w:t>
      </w:r>
      <w:r w:rsidR="000315DD">
        <w:rPr>
          <w:rFonts w:ascii="Times New Roman" w:hAnsi="Times New Roman" w:cs="Times New Roman"/>
          <w:color w:val="000000"/>
          <w:sz w:val="24"/>
          <w:szCs w:val="24"/>
        </w:rPr>
        <w:t xml:space="preserve">a </w:t>
      </w:r>
      <w:r w:rsidRPr="00B51FF1">
        <w:rPr>
          <w:rFonts w:ascii="Times New Roman" w:hAnsi="Times New Roman" w:cs="Times New Roman"/>
          <w:color w:val="000000"/>
          <w:sz w:val="24"/>
          <w:szCs w:val="24"/>
        </w:rPr>
        <w:t>thematic framewo</w:t>
      </w:r>
      <w:r>
        <w:rPr>
          <w:rFonts w:ascii="Times New Roman" w:hAnsi="Times New Roman" w:cs="Times New Roman"/>
          <w:color w:val="000000"/>
          <w:sz w:val="24"/>
          <w:szCs w:val="24"/>
        </w:rPr>
        <w:t xml:space="preserve">rk analysis approach. </w:t>
      </w:r>
      <w:r w:rsidR="000315DD">
        <w:rPr>
          <w:rFonts w:ascii="Times New Roman" w:hAnsi="Times New Roman" w:cs="Times New Roman"/>
          <w:color w:val="000000"/>
          <w:sz w:val="24"/>
          <w:szCs w:val="24"/>
        </w:rPr>
        <w:fldChar w:fldCharType="begin"/>
      </w:r>
      <w:r w:rsidR="003D52FE">
        <w:rPr>
          <w:rFonts w:ascii="Times New Roman" w:hAnsi="Times New Roman" w:cs="Times New Roman"/>
          <w:color w:val="000000"/>
          <w:sz w:val="24"/>
          <w:szCs w:val="24"/>
        </w:rPr>
        <w:instrText xml:space="preserve"> ADDIN ZOTERO_ITEM CSL_CITATION {"citationID":"ykEMlNz8","properties":{"formattedCitation":"(20)","plainCitation":"(20)","noteIndex":0},"citationItems":[{"id":12714,"uris":["http://zotero.org/users/12416167/items/Q3VIW66U"],"itemData":{"id":12714,"type":"article-journal","abstract":"Background\nThe Framework Method is becoming an increasingly popular approach to the management and analysis of qualitative data in health research. However, there is confusion about its potential application and limitations.\n\nDiscussion\nThe article discusses when it is appropriate to adopt the Framework Method and explains the procedure for using it in multi-disciplinary health research teams, or those that involve clinicians, patients and lay people. The stages of the method are illustrated using examples from a published study.\n\nSummary\nUsed effectively, with the leadership of an experienced qualitative researcher, the Framework Method is a systematic and flexible approach to analysing qualitative data and is appropriate for use in research teams even where not all members have previous experience of conducting qualitative research.","container-title":"BMC Medical Research Methodology","DOI":"10.1186/1471-2288-13-117","ISSN":"1471-2288","journalAbbreviation":"BMC Med Res Methodol","page":"117","PMID":"24047204","PMCID":"PMC3848812","source":"PubMed Central","title":"Using the framework method for the analysis of qualitative data in multi-disciplinary health research","volume":"13","author":[{"family":"Gale","given":"Nicola K"},{"family":"Heath","given":"Gemma"},{"family":"Cameron","given":"Elaine"},{"family":"Rashid","given":"Sabina"},{"family":"Redwood","given":"Sabi"}],"issued":{"date-parts":[["2013",9,18]]}}}],"schema":"https://github.com/citation-style-language/schema/raw/master/csl-citation.json"} </w:instrText>
      </w:r>
      <w:r w:rsidR="000315DD">
        <w:rPr>
          <w:rFonts w:ascii="Times New Roman" w:hAnsi="Times New Roman" w:cs="Times New Roman"/>
          <w:color w:val="000000"/>
          <w:sz w:val="24"/>
          <w:szCs w:val="24"/>
        </w:rPr>
        <w:fldChar w:fldCharType="separate"/>
      </w:r>
      <w:r w:rsidR="003D52FE" w:rsidRPr="003D52FE">
        <w:rPr>
          <w:rFonts w:ascii="Times New Roman" w:hAnsi="Times New Roman" w:cs="Times New Roman"/>
          <w:sz w:val="24"/>
        </w:rPr>
        <w:t>(20)</w:t>
      </w:r>
      <w:r w:rsidR="000315DD">
        <w:rPr>
          <w:rFonts w:ascii="Times New Roman" w:hAnsi="Times New Roman" w:cs="Times New Roman"/>
          <w:color w:val="000000"/>
          <w:sz w:val="24"/>
          <w:szCs w:val="24"/>
        </w:rPr>
        <w:fldChar w:fldCharType="end"/>
      </w:r>
      <w:r w:rsidR="000315DD">
        <w:rPr>
          <w:rFonts w:ascii="Times New Roman" w:hAnsi="Times New Roman" w:cs="Times New Roman"/>
          <w:color w:val="000000"/>
          <w:sz w:val="24"/>
          <w:szCs w:val="24"/>
        </w:rPr>
        <w:t xml:space="preserve"> </w:t>
      </w:r>
      <w:r w:rsidRPr="00B51FF1">
        <w:rPr>
          <w:rFonts w:ascii="Times New Roman" w:hAnsi="Times New Roman" w:cs="Times New Roman"/>
          <w:color w:val="000000"/>
          <w:sz w:val="24"/>
          <w:szCs w:val="24"/>
        </w:rPr>
        <w:t>The analysis process began w</w:t>
      </w:r>
      <w:r w:rsidR="001A5144">
        <w:rPr>
          <w:rFonts w:ascii="Times New Roman" w:hAnsi="Times New Roman" w:cs="Times New Roman"/>
          <w:color w:val="000000"/>
          <w:sz w:val="24"/>
          <w:szCs w:val="24"/>
        </w:rPr>
        <w:t xml:space="preserve">ith data </w:t>
      </w:r>
      <w:r>
        <w:rPr>
          <w:rFonts w:ascii="Times New Roman" w:hAnsi="Times New Roman" w:cs="Times New Roman"/>
          <w:color w:val="000000"/>
          <w:sz w:val="24"/>
          <w:szCs w:val="24"/>
        </w:rPr>
        <w:t xml:space="preserve">familiarization, which </w:t>
      </w:r>
      <w:r w:rsidRPr="00B51FF1">
        <w:rPr>
          <w:rFonts w:ascii="Times New Roman" w:hAnsi="Times New Roman" w:cs="Times New Roman"/>
          <w:color w:val="000000"/>
          <w:sz w:val="24"/>
          <w:szCs w:val="24"/>
        </w:rPr>
        <w:t>entailed reading transcripts multiple times and</w:t>
      </w:r>
      <w:r>
        <w:rPr>
          <w:rFonts w:ascii="Times New Roman" w:hAnsi="Times New Roman" w:cs="Times New Roman"/>
          <w:color w:val="000000"/>
          <w:sz w:val="24"/>
          <w:szCs w:val="24"/>
        </w:rPr>
        <w:t xml:space="preserve"> listening to</w:t>
      </w:r>
      <w:r w:rsidRPr="00B51FF1">
        <w:rPr>
          <w:rFonts w:ascii="Times New Roman" w:hAnsi="Times New Roman" w:cs="Times New Roman"/>
          <w:color w:val="000000"/>
          <w:sz w:val="24"/>
          <w:szCs w:val="24"/>
        </w:rPr>
        <w:t xml:space="preserve"> recording memos</w:t>
      </w:r>
      <w:r>
        <w:rPr>
          <w:rFonts w:ascii="Times New Roman" w:hAnsi="Times New Roman" w:cs="Times New Roman"/>
          <w:color w:val="000000"/>
          <w:sz w:val="24"/>
          <w:szCs w:val="24"/>
        </w:rPr>
        <w:t xml:space="preserve"> to capture initial impressions in addition to weekly debriefing meetings. </w:t>
      </w:r>
      <w:r w:rsidRPr="00B51FF1">
        <w:rPr>
          <w:rFonts w:ascii="Times New Roman" w:hAnsi="Times New Roman" w:cs="Times New Roman"/>
          <w:color w:val="000000"/>
          <w:sz w:val="24"/>
          <w:szCs w:val="24"/>
        </w:rPr>
        <w:t xml:space="preserve">This was followed by line-by-line coding, using short labels. Both </w:t>
      </w:r>
      <w:r>
        <w:rPr>
          <w:rFonts w:ascii="Times New Roman" w:hAnsi="Times New Roman" w:cs="Times New Roman"/>
          <w:color w:val="000000"/>
          <w:sz w:val="24"/>
          <w:szCs w:val="24"/>
        </w:rPr>
        <w:t xml:space="preserve">inductive coding, which allowed </w:t>
      </w:r>
      <w:r w:rsidRPr="00B51FF1">
        <w:rPr>
          <w:rFonts w:ascii="Times New Roman" w:hAnsi="Times New Roman" w:cs="Times New Roman"/>
          <w:color w:val="000000"/>
          <w:sz w:val="24"/>
          <w:szCs w:val="24"/>
        </w:rPr>
        <w:t xml:space="preserve">themes to emerge directly from participants’ narratives, and </w:t>
      </w:r>
      <w:r>
        <w:rPr>
          <w:rFonts w:ascii="Times New Roman" w:hAnsi="Times New Roman" w:cs="Times New Roman"/>
          <w:color w:val="000000"/>
          <w:sz w:val="24"/>
          <w:szCs w:val="24"/>
        </w:rPr>
        <w:t xml:space="preserve">deductive coding, guided by the </w:t>
      </w:r>
      <w:r w:rsidR="00714831">
        <w:rPr>
          <w:rFonts w:ascii="Times New Roman" w:hAnsi="Times New Roman" w:cs="Times New Roman"/>
          <w:color w:val="000000"/>
          <w:sz w:val="24"/>
          <w:szCs w:val="24"/>
        </w:rPr>
        <w:t>models and literature</w:t>
      </w:r>
      <w:r w:rsidRPr="00B51FF1">
        <w:rPr>
          <w:rFonts w:ascii="Times New Roman" w:hAnsi="Times New Roman" w:cs="Times New Roman"/>
          <w:color w:val="000000"/>
          <w:sz w:val="24"/>
          <w:szCs w:val="24"/>
        </w:rPr>
        <w:t>. A working analytical framework</w:t>
      </w:r>
      <w:r w:rsidR="00714831">
        <w:rPr>
          <w:rFonts w:ascii="Times New Roman" w:hAnsi="Times New Roman" w:cs="Times New Roman"/>
          <w:color w:val="000000"/>
          <w:sz w:val="24"/>
          <w:szCs w:val="24"/>
        </w:rPr>
        <w:t xml:space="preserve"> </w:t>
      </w:r>
      <w:r w:rsidRPr="00B51FF1">
        <w:rPr>
          <w:rFonts w:ascii="Times New Roman" w:hAnsi="Times New Roman" w:cs="Times New Roman"/>
          <w:color w:val="000000"/>
          <w:sz w:val="24"/>
          <w:szCs w:val="24"/>
        </w:rPr>
        <w:t xml:space="preserve">was </w:t>
      </w:r>
      <w:r w:rsidR="00714831">
        <w:rPr>
          <w:rFonts w:ascii="Times New Roman" w:hAnsi="Times New Roman" w:cs="Times New Roman"/>
          <w:color w:val="000000"/>
          <w:sz w:val="24"/>
          <w:szCs w:val="24"/>
        </w:rPr>
        <w:t xml:space="preserve">then developed by </w:t>
      </w:r>
      <w:r w:rsidR="000315DD">
        <w:rPr>
          <w:rFonts w:ascii="Times New Roman" w:hAnsi="Times New Roman" w:cs="Times New Roman"/>
          <w:color w:val="000000"/>
          <w:sz w:val="24"/>
          <w:szCs w:val="24"/>
        </w:rPr>
        <w:t>bringing</w:t>
      </w:r>
      <w:r w:rsidR="00714831">
        <w:rPr>
          <w:rFonts w:ascii="Times New Roman" w:hAnsi="Times New Roman" w:cs="Times New Roman"/>
          <w:color w:val="000000"/>
          <w:sz w:val="24"/>
          <w:szCs w:val="24"/>
        </w:rPr>
        <w:t xml:space="preserve"> together similar codes and categories to explain the One Health approach within the Rwandan context while looking for points of convergence and divergence.</w:t>
      </w:r>
    </w:p>
    <w:p w14:paraId="2D6F02BA" w14:textId="77777777" w:rsidR="00990450" w:rsidRDefault="00990450" w:rsidP="00714831">
      <w:pPr>
        <w:autoSpaceDE w:val="0"/>
        <w:autoSpaceDN w:val="0"/>
        <w:adjustRightInd w:val="0"/>
        <w:spacing w:line="240" w:lineRule="auto"/>
        <w:jc w:val="both"/>
        <w:rPr>
          <w:rFonts w:ascii="Times New Roman" w:hAnsi="Times New Roman" w:cs="Times New Roman"/>
          <w:color w:val="000000"/>
          <w:sz w:val="24"/>
          <w:szCs w:val="24"/>
        </w:rPr>
      </w:pPr>
    </w:p>
    <w:p w14:paraId="3EA23FC1" w14:textId="217F8CD5" w:rsidR="00990450" w:rsidRDefault="00990450" w:rsidP="00714831">
      <w:pPr>
        <w:autoSpaceDE w:val="0"/>
        <w:autoSpaceDN w:val="0"/>
        <w:adjustRightInd w:val="0"/>
        <w:spacing w:line="240" w:lineRule="auto"/>
        <w:jc w:val="both"/>
        <w:rPr>
          <w:rFonts w:ascii="Times New Roman" w:hAnsi="Times New Roman" w:cs="Times New Roman"/>
          <w:color w:val="000000"/>
          <w:sz w:val="24"/>
          <w:szCs w:val="24"/>
        </w:rPr>
      </w:pPr>
      <w:r w:rsidRPr="00990450">
        <w:rPr>
          <w:rFonts w:ascii="Times New Roman" w:hAnsi="Times New Roman" w:cs="Times New Roman"/>
          <w:b/>
          <w:color w:val="000000"/>
          <w:sz w:val="24"/>
          <w:szCs w:val="24"/>
        </w:rPr>
        <w:t>Reflexi</w:t>
      </w:r>
      <w:r>
        <w:rPr>
          <w:rFonts w:ascii="Times New Roman" w:hAnsi="Times New Roman" w:cs="Times New Roman"/>
          <w:b/>
          <w:color w:val="000000"/>
          <w:sz w:val="24"/>
          <w:szCs w:val="24"/>
        </w:rPr>
        <w:t>vity</w:t>
      </w:r>
      <w:r w:rsidRPr="00990450">
        <w:rPr>
          <w:rFonts w:ascii="Times New Roman" w:hAnsi="Times New Roman" w:cs="Times New Roman"/>
          <w:b/>
          <w:color w:val="000000"/>
          <w:sz w:val="24"/>
          <w:szCs w:val="24"/>
        </w:rPr>
        <w:t xml:space="preserve"> </w:t>
      </w:r>
    </w:p>
    <w:p w14:paraId="74989267" w14:textId="347D44DB" w:rsidR="00A20624" w:rsidRDefault="00990450" w:rsidP="002911EC">
      <w:pPr>
        <w:autoSpaceDE w:val="0"/>
        <w:autoSpaceDN w:val="0"/>
        <w:adjustRightInd w:val="0"/>
        <w:spacing w:line="240" w:lineRule="auto"/>
        <w:jc w:val="both"/>
        <w:rPr>
          <w:rFonts w:ascii="Times New Roman" w:hAnsi="Times New Roman" w:cs="Times New Roman"/>
          <w:color w:val="000000"/>
          <w:sz w:val="24"/>
          <w:szCs w:val="24"/>
        </w:rPr>
      </w:pPr>
      <w:r w:rsidRPr="00990450">
        <w:rPr>
          <w:rFonts w:ascii="Times New Roman" w:hAnsi="Times New Roman" w:cs="Times New Roman"/>
          <w:color w:val="000000"/>
          <w:sz w:val="24"/>
          <w:szCs w:val="24"/>
        </w:rPr>
        <w:t>We employed several strategies to enhance rigor and trustworthiness. Credibility was supported through</w:t>
      </w:r>
      <w:r>
        <w:rPr>
          <w:rFonts w:ascii="Times New Roman" w:hAnsi="Times New Roman" w:cs="Times New Roman"/>
          <w:color w:val="000000"/>
          <w:sz w:val="24"/>
          <w:szCs w:val="24"/>
        </w:rPr>
        <w:t xml:space="preserve"> </w:t>
      </w:r>
      <w:r w:rsidRPr="00990450">
        <w:rPr>
          <w:rFonts w:ascii="Times New Roman" w:hAnsi="Times New Roman" w:cs="Times New Roman"/>
          <w:color w:val="000000"/>
          <w:sz w:val="24"/>
          <w:szCs w:val="24"/>
        </w:rPr>
        <w:t>peer debriefing, whereby the research assistant and the research team</w:t>
      </w:r>
      <w:r>
        <w:rPr>
          <w:rFonts w:ascii="Times New Roman" w:hAnsi="Times New Roman" w:cs="Times New Roman"/>
          <w:color w:val="000000"/>
          <w:sz w:val="24"/>
          <w:szCs w:val="24"/>
        </w:rPr>
        <w:t xml:space="preserve"> engaged in ongoing </w:t>
      </w:r>
      <w:r w:rsidRPr="00990450">
        <w:rPr>
          <w:rFonts w:ascii="Times New Roman" w:hAnsi="Times New Roman" w:cs="Times New Roman"/>
          <w:color w:val="000000"/>
          <w:sz w:val="24"/>
          <w:szCs w:val="24"/>
        </w:rPr>
        <w:t xml:space="preserve">discussions about coding decisions and emerging interpretations. Triangulation was </w:t>
      </w:r>
      <w:r>
        <w:rPr>
          <w:rFonts w:ascii="Times New Roman" w:hAnsi="Times New Roman" w:cs="Times New Roman"/>
          <w:color w:val="000000"/>
          <w:sz w:val="24"/>
          <w:szCs w:val="24"/>
        </w:rPr>
        <w:t xml:space="preserve">achieved by </w:t>
      </w:r>
      <w:r w:rsidRPr="00990450">
        <w:rPr>
          <w:rFonts w:ascii="Times New Roman" w:hAnsi="Times New Roman" w:cs="Times New Roman"/>
          <w:color w:val="000000"/>
          <w:sz w:val="24"/>
          <w:szCs w:val="24"/>
        </w:rPr>
        <w:t>analyzing both the IDIs and FGDs, allowing con</w:t>
      </w:r>
      <w:r>
        <w:rPr>
          <w:rFonts w:ascii="Times New Roman" w:hAnsi="Times New Roman" w:cs="Times New Roman"/>
          <w:color w:val="000000"/>
          <w:sz w:val="24"/>
          <w:szCs w:val="24"/>
        </w:rPr>
        <w:t xml:space="preserve">vergence and divergence between </w:t>
      </w:r>
      <w:r w:rsidRPr="00990450">
        <w:rPr>
          <w:rFonts w:ascii="Times New Roman" w:hAnsi="Times New Roman" w:cs="Times New Roman"/>
          <w:color w:val="000000"/>
          <w:sz w:val="24"/>
          <w:szCs w:val="24"/>
        </w:rPr>
        <w:t xml:space="preserve">perspectives explored. </w:t>
      </w:r>
    </w:p>
    <w:p w14:paraId="44C7634B" w14:textId="30391701" w:rsidR="002911EC" w:rsidRDefault="002911EC" w:rsidP="002911EC">
      <w:pPr>
        <w:autoSpaceDE w:val="0"/>
        <w:autoSpaceDN w:val="0"/>
        <w:adjustRightInd w:val="0"/>
        <w:spacing w:line="240" w:lineRule="auto"/>
        <w:jc w:val="both"/>
        <w:rPr>
          <w:rFonts w:ascii="Times New Roman" w:hAnsi="Times New Roman" w:cs="Times New Roman"/>
          <w:color w:val="000000"/>
          <w:sz w:val="24"/>
          <w:szCs w:val="24"/>
        </w:rPr>
      </w:pPr>
    </w:p>
    <w:p w14:paraId="19344447" w14:textId="54E07BCF" w:rsidR="002911EC" w:rsidRPr="002911EC" w:rsidRDefault="002911EC" w:rsidP="002911EC">
      <w:pPr>
        <w:autoSpaceDE w:val="0"/>
        <w:autoSpaceDN w:val="0"/>
        <w:adjustRightInd w:val="0"/>
        <w:spacing w:line="240" w:lineRule="auto"/>
        <w:jc w:val="both"/>
        <w:rPr>
          <w:rFonts w:ascii="Times New Roman" w:hAnsi="Times New Roman" w:cs="Times New Roman"/>
          <w:b/>
          <w:color w:val="000000"/>
          <w:sz w:val="24"/>
          <w:szCs w:val="24"/>
        </w:rPr>
      </w:pPr>
      <w:r w:rsidRPr="002911EC">
        <w:rPr>
          <w:rFonts w:ascii="Times New Roman" w:hAnsi="Times New Roman" w:cs="Times New Roman"/>
          <w:b/>
          <w:color w:val="000000"/>
          <w:sz w:val="24"/>
          <w:szCs w:val="24"/>
        </w:rPr>
        <w:t xml:space="preserve">Ethical considerations </w:t>
      </w:r>
    </w:p>
    <w:p w14:paraId="42FA86EC" w14:textId="3C5C2CAA" w:rsidR="002911EC" w:rsidRPr="002911EC" w:rsidRDefault="002911EC" w:rsidP="002911EC">
      <w:pPr>
        <w:autoSpaceDE w:val="0"/>
        <w:autoSpaceDN w:val="0"/>
        <w:adjustRightInd w:val="0"/>
        <w:spacing w:line="240" w:lineRule="auto"/>
        <w:jc w:val="both"/>
        <w:rPr>
          <w:rFonts w:ascii="Times New Roman" w:hAnsi="Times New Roman" w:cs="Times New Roman"/>
          <w:color w:val="000000"/>
          <w:sz w:val="24"/>
          <w:szCs w:val="24"/>
        </w:rPr>
      </w:pPr>
      <w:r w:rsidRPr="002911EC">
        <w:rPr>
          <w:rFonts w:ascii="Times New Roman" w:hAnsi="Times New Roman" w:cs="Times New Roman"/>
          <w:color w:val="000000"/>
          <w:sz w:val="24"/>
          <w:szCs w:val="24"/>
        </w:rPr>
        <w:t>We re</w:t>
      </w:r>
      <w:r>
        <w:rPr>
          <w:rFonts w:ascii="Times New Roman" w:hAnsi="Times New Roman" w:cs="Times New Roman"/>
          <w:color w:val="000000"/>
          <w:sz w:val="24"/>
          <w:szCs w:val="24"/>
        </w:rPr>
        <w:t>ceived ethical approval for our</w:t>
      </w:r>
      <w:r w:rsidRPr="002911EC">
        <w:rPr>
          <w:rFonts w:ascii="Times New Roman" w:hAnsi="Times New Roman" w:cs="Times New Roman"/>
          <w:color w:val="000000"/>
          <w:sz w:val="24"/>
          <w:szCs w:val="24"/>
        </w:rPr>
        <w:t xml:space="preserve"> study from the Rwanda National Ethics Committee (IRB00001497 of IORG0001100).</w:t>
      </w:r>
      <w:r>
        <w:rPr>
          <w:rFonts w:ascii="Times New Roman" w:hAnsi="Times New Roman" w:cs="Times New Roman"/>
          <w:color w:val="000000"/>
          <w:sz w:val="24"/>
          <w:szCs w:val="24"/>
        </w:rPr>
        <w:t xml:space="preserve"> </w:t>
      </w:r>
      <w:r w:rsidRPr="002911EC">
        <w:rPr>
          <w:rFonts w:ascii="Times New Roman" w:hAnsi="Times New Roman" w:cs="Times New Roman"/>
          <w:color w:val="000000"/>
          <w:sz w:val="24"/>
          <w:szCs w:val="24"/>
        </w:rPr>
        <w:t>Participants were fully informed about</w:t>
      </w:r>
      <w:r>
        <w:rPr>
          <w:rFonts w:ascii="Times New Roman" w:hAnsi="Times New Roman" w:cs="Times New Roman"/>
          <w:color w:val="000000"/>
          <w:sz w:val="24"/>
          <w:szCs w:val="24"/>
        </w:rPr>
        <w:t xml:space="preserve"> </w:t>
      </w:r>
      <w:r w:rsidRPr="002911EC">
        <w:rPr>
          <w:rFonts w:ascii="Times New Roman" w:hAnsi="Times New Roman" w:cs="Times New Roman"/>
          <w:color w:val="000000"/>
          <w:sz w:val="24"/>
          <w:szCs w:val="24"/>
        </w:rPr>
        <w:t xml:space="preserve">study objectives, procedures, potential risks, and benefits. Informed consent was obtained </w:t>
      </w:r>
      <w:r w:rsidR="000315DD">
        <w:rPr>
          <w:rFonts w:ascii="Times New Roman" w:hAnsi="Times New Roman" w:cs="Times New Roman"/>
          <w:color w:val="000000"/>
          <w:sz w:val="24"/>
          <w:szCs w:val="24"/>
        </w:rPr>
        <w:t>before</w:t>
      </w:r>
      <w:r w:rsidRPr="002911EC">
        <w:rPr>
          <w:rFonts w:ascii="Times New Roman" w:hAnsi="Times New Roman" w:cs="Times New Roman"/>
          <w:color w:val="000000"/>
          <w:sz w:val="24"/>
          <w:szCs w:val="24"/>
        </w:rPr>
        <w:t xml:space="preserve"> interviews. Participation was voluntary, and</w:t>
      </w:r>
      <w:r>
        <w:rPr>
          <w:rFonts w:ascii="Times New Roman" w:hAnsi="Times New Roman" w:cs="Times New Roman"/>
          <w:color w:val="000000"/>
          <w:sz w:val="24"/>
          <w:szCs w:val="24"/>
        </w:rPr>
        <w:t xml:space="preserve"> </w:t>
      </w:r>
      <w:r w:rsidRPr="002911EC">
        <w:rPr>
          <w:rFonts w:ascii="Times New Roman" w:hAnsi="Times New Roman" w:cs="Times New Roman"/>
          <w:color w:val="000000"/>
          <w:sz w:val="24"/>
          <w:szCs w:val="24"/>
        </w:rPr>
        <w:t>withdrawal was permitted at any time. Confidentiality was protected through pseudonyms and</w:t>
      </w:r>
      <w:r>
        <w:rPr>
          <w:rFonts w:ascii="Times New Roman" w:hAnsi="Times New Roman" w:cs="Times New Roman"/>
          <w:color w:val="000000"/>
          <w:sz w:val="24"/>
          <w:szCs w:val="24"/>
        </w:rPr>
        <w:t xml:space="preserve"> </w:t>
      </w:r>
      <w:r w:rsidRPr="002911EC">
        <w:rPr>
          <w:rFonts w:ascii="Times New Roman" w:hAnsi="Times New Roman" w:cs="Times New Roman"/>
          <w:color w:val="000000"/>
          <w:sz w:val="24"/>
          <w:szCs w:val="24"/>
        </w:rPr>
        <w:t xml:space="preserve">secure storage of digital files. </w:t>
      </w:r>
    </w:p>
    <w:p w14:paraId="17E54582" w14:textId="77777777" w:rsidR="002911EC" w:rsidRPr="009A21E9" w:rsidRDefault="002911EC" w:rsidP="002911EC">
      <w:pPr>
        <w:autoSpaceDE w:val="0"/>
        <w:autoSpaceDN w:val="0"/>
        <w:adjustRightInd w:val="0"/>
        <w:spacing w:line="240" w:lineRule="auto"/>
        <w:jc w:val="both"/>
        <w:rPr>
          <w:rFonts w:ascii="Times New Roman" w:hAnsi="Times New Roman" w:cs="Times New Roman"/>
          <w:sz w:val="28"/>
          <w:szCs w:val="28"/>
        </w:rPr>
      </w:pPr>
    </w:p>
    <w:p w14:paraId="00000012" w14:textId="6CCF8114" w:rsidR="00B27914" w:rsidRDefault="000826FE" w:rsidP="00940668">
      <w:pPr>
        <w:rPr>
          <w:rFonts w:ascii="Times New Roman" w:hAnsi="Times New Roman" w:cs="Times New Roman"/>
          <w:b/>
          <w:sz w:val="28"/>
          <w:szCs w:val="28"/>
        </w:rPr>
      </w:pPr>
      <w:r w:rsidRPr="009A21E9">
        <w:rPr>
          <w:rFonts w:ascii="Times New Roman" w:hAnsi="Times New Roman" w:cs="Times New Roman"/>
          <w:b/>
          <w:sz w:val="28"/>
          <w:szCs w:val="28"/>
        </w:rPr>
        <w:t xml:space="preserve">Results </w:t>
      </w:r>
    </w:p>
    <w:p w14:paraId="6F97C430" w14:textId="2C4E633E" w:rsidR="003C2EF8" w:rsidRDefault="003C2EF8" w:rsidP="00940668">
      <w:pPr>
        <w:rPr>
          <w:rFonts w:ascii="Times New Roman" w:hAnsi="Times New Roman" w:cs="Times New Roman"/>
          <w:b/>
          <w:sz w:val="28"/>
          <w:szCs w:val="28"/>
        </w:rPr>
      </w:pPr>
    </w:p>
    <w:p w14:paraId="56421A76" w14:textId="3206CE57" w:rsidR="003C2EF8" w:rsidRPr="002F5454" w:rsidRDefault="007F4CC1" w:rsidP="00940668">
      <w:pPr>
        <w:rPr>
          <w:rFonts w:ascii="Times New Roman" w:hAnsi="Times New Roman" w:cs="Times New Roman"/>
          <w:b/>
          <w:sz w:val="24"/>
          <w:szCs w:val="24"/>
        </w:rPr>
      </w:pPr>
      <w:r w:rsidRPr="002F5454">
        <w:rPr>
          <w:rFonts w:ascii="Times New Roman" w:hAnsi="Times New Roman" w:cs="Times New Roman"/>
          <w:b/>
          <w:sz w:val="24"/>
          <w:szCs w:val="24"/>
        </w:rPr>
        <w:t>Participants s</w:t>
      </w:r>
      <w:r w:rsidR="003C2EF8" w:rsidRPr="002F5454">
        <w:rPr>
          <w:rFonts w:ascii="Times New Roman" w:hAnsi="Times New Roman" w:cs="Times New Roman"/>
          <w:b/>
          <w:sz w:val="24"/>
          <w:szCs w:val="24"/>
        </w:rPr>
        <w:t xml:space="preserve">ocio-demographic characteristics </w:t>
      </w:r>
    </w:p>
    <w:p w14:paraId="3BFD6323" w14:textId="27999FEB" w:rsidR="002F5454" w:rsidRPr="002F5454" w:rsidRDefault="002F5454" w:rsidP="008D11E9">
      <w:pPr>
        <w:autoSpaceDE w:val="0"/>
        <w:autoSpaceDN w:val="0"/>
        <w:adjustRightInd w:val="0"/>
        <w:spacing w:line="240" w:lineRule="auto"/>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In a total of 143 participants, the majority were male, n=82 (57.34%), and were likely to be aged between 31-40, n=62 (43.36%), or 41-50, n=36 (25.17%), figure 1&amp;2. Almost half of our participants had an A0 certificate of education, n=64 (45%), followed by those with an A2 certificate of education, n=26 (18%), figure 3. Most participants were either working in the veterinary sector n=10 (7%) or simply community members n=9 (6%), figures 4.</w:t>
      </w:r>
    </w:p>
    <w:p w14:paraId="02D1042B" w14:textId="77777777" w:rsidR="002F5454" w:rsidRPr="002F5454" w:rsidRDefault="002F5454" w:rsidP="008D11E9">
      <w:pPr>
        <w:autoSpaceDE w:val="0"/>
        <w:autoSpaceDN w:val="0"/>
        <w:adjustRightInd w:val="0"/>
        <w:spacing w:line="240" w:lineRule="auto"/>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In the IDIs of 36 participants, more than half of the participants were male, n=27 (75%), and in the age group 31-40, n=15 (41.67%), figures 5&amp;6. Regarding their professions, Integrated Disease Surveillance and Response officers, Private Sector Federation members, and Environmental Officers had the same frequency of participants, n=6 (17%), figure 7, while most participants had A0 educational level, n=23 (64%), figure 8.</w:t>
      </w:r>
    </w:p>
    <w:p w14:paraId="715098A8" w14:textId="77777777" w:rsidR="002F5454" w:rsidRPr="00180B50" w:rsidRDefault="002F5454" w:rsidP="00180B50">
      <w:pPr>
        <w:autoSpaceDE w:val="0"/>
        <w:autoSpaceDN w:val="0"/>
        <w:adjustRightInd w:val="0"/>
        <w:spacing w:line="240" w:lineRule="auto"/>
        <w:rPr>
          <w:rFonts w:ascii="Times New Roman" w:eastAsia="Times New Roman" w:hAnsi="Times New Roman" w:cs="Times New Roman"/>
          <w:sz w:val="24"/>
          <w:szCs w:val="24"/>
        </w:rPr>
      </w:pPr>
    </w:p>
    <w:p w14:paraId="1918ED1B" w14:textId="6C4CD596" w:rsidR="00183A3E" w:rsidRDefault="00183A3E" w:rsidP="00E25C27">
      <w:pPr>
        <w:jc w:val="both"/>
        <w:rPr>
          <w:rFonts w:ascii="Times New Roman" w:eastAsia="Times New Roman" w:hAnsi="Times New Roman" w:cs="Times New Roman"/>
          <w:sz w:val="28"/>
          <w:szCs w:val="28"/>
        </w:rPr>
      </w:pPr>
    </w:p>
    <w:p w14:paraId="5AAABED9" w14:textId="63685F46" w:rsidR="00183A3E" w:rsidRDefault="00183A3E" w:rsidP="00E25C27">
      <w:pPr>
        <w:jc w:val="both"/>
        <w:rPr>
          <w:rFonts w:ascii="Times New Roman" w:eastAsia="Times New Roman" w:hAnsi="Times New Roman" w:cs="Times New Roman"/>
          <w:sz w:val="28"/>
          <w:szCs w:val="28"/>
        </w:rPr>
      </w:pPr>
    </w:p>
    <w:p w14:paraId="6B37EF6D" w14:textId="463663AE" w:rsidR="00E25C27" w:rsidRDefault="00E25C27" w:rsidP="00940668">
      <w:pPr>
        <w:rPr>
          <w:rFonts w:ascii="Times New Roman" w:hAnsi="Times New Roman" w:cs="Times New Roman"/>
          <w:b/>
          <w:sz w:val="28"/>
          <w:szCs w:val="28"/>
        </w:rPr>
      </w:pPr>
      <w:r>
        <w:rPr>
          <w:noProof/>
        </w:rPr>
        <w:lastRenderedPageBreak/>
        <w:drawing>
          <wp:inline distT="0" distB="0" distL="0" distR="0" wp14:anchorId="4F0B9B09" wp14:editId="4F086E90">
            <wp:extent cx="2768600" cy="1555750"/>
            <wp:effectExtent l="0" t="0" r="12700" b="63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Pr>
          <w:noProof/>
        </w:rPr>
        <w:drawing>
          <wp:inline distT="0" distB="0" distL="0" distR="0" wp14:anchorId="2F9AF788" wp14:editId="118670D1">
            <wp:extent cx="2800350" cy="1549400"/>
            <wp:effectExtent l="0" t="0" r="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E9C9476" w14:textId="43ED99C9" w:rsidR="003C2EF8" w:rsidRDefault="003C2EF8" w:rsidP="00940668">
      <w:pPr>
        <w:rPr>
          <w:rFonts w:ascii="Times New Roman" w:hAnsi="Times New Roman" w:cs="Times New Roman"/>
          <w:b/>
          <w:sz w:val="28"/>
          <w:szCs w:val="28"/>
        </w:rPr>
      </w:pPr>
    </w:p>
    <w:p w14:paraId="4D869403" w14:textId="51BA78E7" w:rsidR="00E25C27" w:rsidRDefault="00F82528" w:rsidP="00940668">
      <w:pPr>
        <w:rPr>
          <w:rFonts w:ascii="Times New Roman" w:hAnsi="Times New Roman" w:cs="Times New Roman"/>
          <w:b/>
          <w:sz w:val="28"/>
          <w:szCs w:val="28"/>
        </w:rPr>
      </w:pPr>
      <w:r>
        <w:rPr>
          <w:noProof/>
        </w:rPr>
        <w:drawing>
          <wp:inline distT="0" distB="0" distL="0" distR="0" wp14:anchorId="79BD2449" wp14:editId="3391B8AA">
            <wp:extent cx="5619750" cy="4737100"/>
            <wp:effectExtent l="0" t="0" r="0" b="63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9A6549B" w14:textId="63C05C86" w:rsidR="00F82528" w:rsidRDefault="00F82528" w:rsidP="00940668">
      <w:pPr>
        <w:rPr>
          <w:rFonts w:ascii="Times New Roman" w:hAnsi="Times New Roman" w:cs="Times New Roman"/>
          <w:b/>
          <w:sz w:val="28"/>
          <w:szCs w:val="28"/>
        </w:rPr>
      </w:pPr>
    </w:p>
    <w:p w14:paraId="69C54963" w14:textId="77777777" w:rsidR="00F82528" w:rsidRDefault="00F82528" w:rsidP="00940668">
      <w:pPr>
        <w:rPr>
          <w:rFonts w:ascii="Times New Roman" w:hAnsi="Times New Roman" w:cs="Times New Roman"/>
          <w:b/>
          <w:sz w:val="28"/>
          <w:szCs w:val="28"/>
        </w:rPr>
      </w:pPr>
    </w:p>
    <w:p w14:paraId="3AB4AC5C" w14:textId="5CC88D4B" w:rsidR="00F82528" w:rsidRDefault="00F82528" w:rsidP="00940668">
      <w:pPr>
        <w:rPr>
          <w:rFonts w:ascii="Times New Roman" w:hAnsi="Times New Roman" w:cs="Times New Roman"/>
          <w:b/>
          <w:sz w:val="28"/>
          <w:szCs w:val="28"/>
        </w:rPr>
      </w:pPr>
    </w:p>
    <w:p w14:paraId="14E1587B" w14:textId="240C1F2E" w:rsidR="00183A3E" w:rsidRDefault="00183A3E" w:rsidP="00940668">
      <w:pPr>
        <w:rPr>
          <w:rFonts w:ascii="Times New Roman" w:hAnsi="Times New Roman" w:cs="Times New Roman"/>
          <w:b/>
          <w:sz w:val="28"/>
          <w:szCs w:val="28"/>
        </w:rPr>
      </w:pPr>
    </w:p>
    <w:p w14:paraId="0014FFE8" w14:textId="40AA12BD" w:rsidR="00183A3E" w:rsidRDefault="00183A3E" w:rsidP="00940668">
      <w:pPr>
        <w:rPr>
          <w:rFonts w:ascii="Times New Roman" w:hAnsi="Times New Roman" w:cs="Times New Roman"/>
          <w:b/>
          <w:sz w:val="28"/>
          <w:szCs w:val="28"/>
        </w:rPr>
      </w:pPr>
    </w:p>
    <w:p w14:paraId="579DC3FD" w14:textId="5A749487" w:rsidR="00183A3E" w:rsidRDefault="00183A3E" w:rsidP="00940668">
      <w:pPr>
        <w:rPr>
          <w:rFonts w:ascii="Times New Roman" w:hAnsi="Times New Roman" w:cs="Times New Roman"/>
          <w:b/>
          <w:sz w:val="28"/>
          <w:szCs w:val="28"/>
        </w:rPr>
      </w:pPr>
    </w:p>
    <w:p w14:paraId="0B2FEE6A" w14:textId="77777777" w:rsidR="00183A3E" w:rsidRDefault="00183A3E" w:rsidP="00940668">
      <w:pPr>
        <w:rPr>
          <w:rFonts w:ascii="Times New Roman" w:hAnsi="Times New Roman" w:cs="Times New Roman"/>
          <w:b/>
          <w:sz w:val="28"/>
          <w:szCs w:val="28"/>
        </w:rPr>
        <w:sectPr w:rsidR="00183A3E">
          <w:pgSz w:w="11909" w:h="16834"/>
          <w:pgMar w:top="1440" w:right="1440" w:bottom="1440" w:left="1440" w:header="720" w:footer="720" w:gutter="0"/>
          <w:pgNumType w:start="1"/>
          <w:cols w:space="720"/>
        </w:sectPr>
      </w:pPr>
    </w:p>
    <w:p w14:paraId="324C8785" w14:textId="2071962B" w:rsidR="00183A3E" w:rsidRDefault="00183A3E" w:rsidP="00940668">
      <w:pPr>
        <w:rPr>
          <w:rFonts w:ascii="Times New Roman" w:hAnsi="Times New Roman" w:cs="Times New Roman"/>
          <w:b/>
          <w:sz w:val="28"/>
          <w:szCs w:val="28"/>
        </w:rPr>
      </w:pPr>
      <w:r>
        <w:rPr>
          <w:noProof/>
        </w:rPr>
        <w:lastRenderedPageBreak/>
        <w:drawing>
          <wp:inline distT="0" distB="0" distL="0" distR="0" wp14:anchorId="409AA139" wp14:editId="3C2C3391">
            <wp:extent cx="9366250" cy="6108700"/>
            <wp:effectExtent l="0" t="0" r="6350" b="63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EDE305A" w14:textId="513257EC" w:rsidR="00183A3E" w:rsidRDefault="00486836" w:rsidP="00940668">
      <w:pPr>
        <w:rPr>
          <w:rFonts w:ascii="Times New Roman" w:hAnsi="Times New Roman" w:cs="Times New Roman"/>
          <w:b/>
          <w:sz w:val="28"/>
          <w:szCs w:val="28"/>
        </w:rPr>
      </w:pPr>
      <w:r>
        <w:rPr>
          <w:noProof/>
        </w:rPr>
        <w:lastRenderedPageBreak/>
        <mc:AlternateContent>
          <mc:Choice Requires="wps">
            <w:drawing>
              <wp:anchor distT="0" distB="0" distL="114300" distR="114300" simplePos="0" relativeHeight="251659264" behindDoc="0" locked="0" layoutInCell="1" allowOverlap="1" wp14:anchorId="1363D067" wp14:editId="34CEA89A">
                <wp:simplePos x="0" y="0"/>
                <wp:positionH relativeFrom="column">
                  <wp:posOffset>4953000</wp:posOffset>
                </wp:positionH>
                <wp:positionV relativeFrom="paragraph">
                  <wp:posOffset>1403350</wp:posOffset>
                </wp:positionV>
                <wp:extent cx="4095750" cy="28829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4095750" cy="2882900"/>
                        </a:xfrm>
                        <a:prstGeom prst="rect">
                          <a:avLst/>
                        </a:prstGeom>
                        <a:solidFill>
                          <a:schemeClr val="lt1"/>
                        </a:solidFill>
                        <a:ln w="6350">
                          <a:noFill/>
                        </a:ln>
                      </wps:spPr>
                      <wps:txbx>
                        <w:txbxContent>
                          <w:p w14:paraId="3E5E6A77" w14:textId="29E4D64A" w:rsidR="00A931BA" w:rsidRDefault="00A931BA">
                            <w:r>
                              <w:rPr>
                                <w:noProof/>
                              </w:rPr>
                              <w:drawing>
                                <wp:inline distT="0" distB="0" distL="0" distR="0" wp14:anchorId="4AFD983E" wp14:editId="59AAB8C0">
                                  <wp:extent cx="3684270" cy="2686050"/>
                                  <wp:effectExtent l="0" t="0" r="1143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63D067" id="_x0000_t202" coordsize="21600,21600" o:spt="202" path="m,l,21600r21600,l21600,xe">
                <v:stroke joinstyle="miter"/>
                <v:path gradientshapeok="t" o:connecttype="rect"/>
              </v:shapetype>
              <v:shape id="Text Box 13" o:spid="_x0000_s1026" type="#_x0000_t202" style="position:absolute;margin-left:390pt;margin-top:110.5pt;width:322.5pt;height:2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" fillcolor="white [3201]" stroked="f" strokeweight=".5pt">
                <v:textbox>
                  <w:txbxContent>
                    <w:p w14:paraId="3E5E6A77" w14:textId="29E4D64A" w:rsidR="00A931BA" w:rsidRDefault="00A931BA">
                      <w:r>
                        <w:rPr>
                          <w:noProof/>
                        </w:rPr>
                        <w:drawing>
                          <wp:inline distT="0" distB="0" distL="0" distR="0" wp14:anchorId="4AFD983E" wp14:editId="59AAB8C0">
                            <wp:extent cx="3684270" cy="2686050"/>
                            <wp:effectExtent l="0" t="0" r="1143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xbxContent>
                </v:textbox>
              </v:shape>
            </w:pict>
          </mc:Fallback>
        </mc:AlternateContent>
      </w:r>
      <w:r w:rsidR="007F4CC1">
        <w:rPr>
          <w:noProof/>
        </w:rPr>
        <w:drawing>
          <wp:inline distT="0" distB="0" distL="0" distR="0" wp14:anchorId="7377E099" wp14:editId="1A2EA8CA">
            <wp:extent cx="4572000" cy="27432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AF4EE9">
        <w:rPr>
          <w:noProof/>
        </w:rPr>
        <w:drawing>
          <wp:inline distT="0" distB="0" distL="0" distR="0" wp14:anchorId="412A668C" wp14:editId="0C98E92E">
            <wp:extent cx="4572000" cy="27432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7F4CC1">
        <w:rPr>
          <w:noProof/>
        </w:rPr>
        <w:lastRenderedPageBreak/>
        <w:drawing>
          <wp:inline distT="0" distB="0" distL="0" distR="0" wp14:anchorId="0DDDF6A2" wp14:editId="115643D7">
            <wp:extent cx="7995285" cy="5733415"/>
            <wp:effectExtent l="0" t="0" r="5715" b="63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99837EE" w14:textId="77777777" w:rsidR="00715BF5" w:rsidRDefault="00715BF5" w:rsidP="00940668">
      <w:pPr>
        <w:rPr>
          <w:rFonts w:ascii="Times New Roman" w:hAnsi="Times New Roman" w:cs="Times New Roman"/>
          <w:b/>
          <w:sz w:val="28"/>
          <w:szCs w:val="28"/>
        </w:rPr>
        <w:sectPr w:rsidR="00715BF5" w:rsidSect="00183A3E">
          <w:pgSz w:w="16834" w:h="11909" w:orient="landscape"/>
          <w:pgMar w:top="1440" w:right="1440" w:bottom="1440" w:left="1440" w:header="720" w:footer="720" w:gutter="0"/>
          <w:pgNumType w:start="1"/>
          <w:cols w:space="720"/>
        </w:sectPr>
      </w:pPr>
    </w:p>
    <w:p w14:paraId="6DDEB502" w14:textId="404527BA" w:rsidR="003C2EF8" w:rsidRPr="00180B50" w:rsidRDefault="003C2EF8" w:rsidP="00940668">
      <w:pPr>
        <w:rPr>
          <w:rFonts w:ascii="Times New Roman" w:hAnsi="Times New Roman" w:cs="Times New Roman"/>
          <w:b/>
          <w:sz w:val="24"/>
          <w:szCs w:val="24"/>
          <w:u w:val="single"/>
        </w:rPr>
      </w:pPr>
      <w:r w:rsidRPr="00180B50">
        <w:rPr>
          <w:rFonts w:ascii="Times New Roman" w:hAnsi="Times New Roman" w:cs="Times New Roman"/>
          <w:b/>
          <w:sz w:val="24"/>
          <w:szCs w:val="24"/>
          <w:u w:val="single"/>
        </w:rPr>
        <w:lastRenderedPageBreak/>
        <w:t xml:space="preserve">Emerging themes from IDIs and FGDs on the current state of </w:t>
      </w:r>
      <w:r w:rsidR="003A7C3B" w:rsidRPr="00180B50">
        <w:rPr>
          <w:rFonts w:ascii="Times New Roman" w:hAnsi="Times New Roman" w:cs="Times New Roman"/>
          <w:b/>
          <w:sz w:val="24"/>
          <w:szCs w:val="24"/>
          <w:u w:val="single"/>
        </w:rPr>
        <w:t xml:space="preserve">the </w:t>
      </w:r>
      <w:r w:rsidRPr="00180B50">
        <w:rPr>
          <w:rFonts w:ascii="Times New Roman" w:hAnsi="Times New Roman" w:cs="Times New Roman"/>
          <w:b/>
          <w:sz w:val="24"/>
          <w:szCs w:val="24"/>
          <w:u w:val="single"/>
        </w:rPr>
        <w:t xml:space="preserve">One Health approach </w:t>
      </w:r>
    </w:p>
    <w:p w14:paraId="341FD3D4" w14:textId="77777777" w:rsidR="002F5454" w:rsidRPr="002F5454" w:rsidRDefault="002F5454" w:rsidP="002F5454">
      <w:pPr>
        <w:rPr>
          <w:rFonts w:ascii="Times New Roman" w:eastAsia="Times New Roman" w:hAnsi="Times New Roman" w:cs="Times New Roman"/>
          <w:b/>
          <w:bCs/>
          <w:color w:val="548DD4" w:themeColor="text2" w:themeTint="99"/>
          <w:sz w:val="24"/>
          <w:szCs w:val="24"/>
        </w:rPr>
      </w:pPr>
      <w:r w:rsidRPr="002F5454">
        <w:rPr>
          <w:rFonts w:ascii="Times New Roman" w:eastAsia="Times New Roman" w:hAnsi="Times New Roman" w:cs="Times New Roman"/>
          <w:b/>
          <w:bCs/>
          <w:color w:val="548DD4" w:themeColor="text2" w:themeTint="99"/>
          <w:sz w:val="24"/>
          <w:szCs w:val="24"/>
        </w:rPr>
        <w:t>Access to Services (common in both IDIs and FGDs)</w:t>
      </w:r>
    </w:p>
    <w:p w14:paraId="440E3DFD"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Most participants in the IDIs mentioned distance as a reason they would stay home, citing the time it takes to get to health facilities, as well as competing priorities, leading to unhealthy practices such as home delivery. Some of them informed us lack of information about diseases and the unavailability of health insurance, coupled with dissatisfaction with services, behavior of health care providers, long waiting time, supply chain issues, and disability support infrastructure, which make some groups of people not go to the facilities. Participants accepted that not all members of their community, especially foreigners, might have health insurance, which could limit access. </w:t>
      </w:r>
    </w:p>
    <w:p w14:paraId="716CE1CF" w14:textId="77777777" w:rsidR="002F5454" w:rsidRPr="002F5454" w:rsidRDefault="002F5454" w:rsidP="002F5454">
      <w:pPr>
        <w:jc w:val="both"/>
        <w:rPr>
          <w:rFonts w:ascii="Times New Roman" w:eastAsia="Times New Roman" w:hAnsi="Times New Roman" w:cs="Times New Roman"/>
          <w:sz w:val="24"/>
          <w:szCs w:val="24"/>
        </w:rPr>
      </w:pPr>
    </w:p>
    <w:p w14:paraId="791FA64D"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sz w:val="24"/>
          <w:szCs w:val="24"/>
        </w:rPr>
        <w:t>“</w:t>
      </w:r>
      <w:r w:rsidRPr="002F5454">
        <w:rPr>
          <w:rFonts w:ascii="Times New Roman" w:hAnsi="Times New Roman" w:cs="Times New Roman"/>
          <w:i/>
          <w:sz w:val="24"/>
          <w:szCs w:val="24"/>
        </w:rPr>
        <w:t>What I can add to what impedes the community from reaching out to the health facility is the dissatisfaction with services. Indeed, you find that there are no specialized medical staff particularly in local health facilities. Those who have RAMA, one of the health insurance scheme, are treated by doctors while ordinary people do not trust who treat them that they find have no much experience, they do not trust either the way samples are taken, results given in local health facilities. Additionally, there is insufficiency of medication in these facilities. All these constitutes challenges. People complain about waiting for long to get services at health facilities and this is not their fault. They complain about the shortage of service providers at the health center where only one staff works in five services. Those who came to get treatment for a wound, those who came as OPD do not get served and rather care is given to pregnant women. As a result, those who come for other treatments end up deciding to go back home without being treated because there are no service providers</w:t>
      </w:r>
      <w:r w:rsidRPr="002F5454">
        <w:rPr>
          <w:rFonts w:ascii="Times New Roman" w:hAnsi="Times New Roman" w:cs="Times New Roman"/>
          <w:sz w:val="24"/>
          <w:szCs w:val="24"/>
        </w:rPr>
        <w:t xml:space="preserve">.” </w:t>
      </w:r>
      <w:r w:rsidRPr="002F5454">
        <w:rPr>
          <w:rFonts w:ascii="Times New Roman" w:hAnsi="Times New Roman" w:cs="Times New Roman"/>
          <w:b/>
          <w:sz w:val="24"/>
          <w:szCs w:val="24"/>
        </w:rPr>
        <w:t>Juru</w:t>
      </w:r>
    </w:p>
    <w:p w14:paraId="4E3BCB96" w14:textId="77777777" w:rsidR="002F5454" w:rsidRPr="002F5454" w:rsidRDefault="002F5454" w:rsidP="002F5454">
      <w:pPr>
        <w:ind w:left="360"/>
        <w:jc w:val="both"/>
        <w:rPr>
          <w:rFonts w:ascii="Times New Roman" w:hAnsi="Times New Roman" w:cs="Times New Roman"/>
          <w:sz w:val="24"/>
          <w:szCs w:val="24"/>
        </w:rPr>
      </w:pPr>
    </w:p>
    <w:p w14:paraId="66FE1DD2" w14:textId="77777777" w:rsidR="002F5454" w:rsidRPr="002F5454" w:rsidRDefault="002F5454" w:rsidP="002F5454">
      <w:pPr>
        <w:jc w:val="both"/>
        <w:rPr>
          <w:rFonts w:ascii="Times New Roman" w:hAnsi="Times New Roman" w:cs="Times New Roman"/>
          <w:b/>
          <w:sz w:val="24"/>
          <w:szCs w:val="24"/>
        </w:rPr>
      </w:pPr>
      <w:r w:rsidRPr="002F5454">
        <w:rPr>
          <w:rFonts w:ascii="Times New Roman" w:hAnsi="Times New Roman" w:cs="Times New Roman"/>
          <w:sz w:val="24"/>
          <w:szCs w:val="24"/>
        </w:rPr>
        <w:t>“</w:t>
      </w:r>
      <w:r w:rsidRPr="002F5454">
        <w:rPr>
          <w:rFonts w:ascii="Times New Roman" w:hAnsi="Times New Roman" w:cs="Times New Roman"/>
          <w:i/>
          <w:sz w:val="24"/>
          <w:szCs w:val="24"/>
        </w:rPr>
        <w:t>I would say that someone may not go to see the doctor because they don't have everything they need, for instance, old health centers that can’t accommodate those with disabilities due to the lack of appropriate bathrooms or pathways. As a result, they might not reach out to the facility for they are afraid that if they have to for long hours, they won’t be able to get what they need for instance using the toilet and may result into seeking traditional medication due to not being able to be accommodated by the health facility. Thanks</w:t>
      </w:r>
      <w:r w:rsidRPr="002F5454">
        <w:rPr>
          <w:rFonts w:ascii="Times New Roman" w:hAnsi="Times New Roman" w:cs="Times New Roman"/>
          <w:sz w:val="24"/>
          <w:szCs w:val="24"/>
        </w:rPr>
        <w:t xml:space="preserve">” </w:t>
      </w:r>
      <w:r w:rsidRPr="002F5454">
        <w:rPr>
          <w:rFonts w:ascii="Times New Roman" w:hAnsi="Times New Roman" w:cs="Times New Roman"/>
          <w:b/>
          <w:sz w:val="24"/>
          <w:szCs w:val="24"/>
        </w:rPr>
        <w:t>Bosco</w:t>
      </w:r>
    </w:p>
    <w:p w14:paraId="3DCAE372" w14:textId="77777777" w:rsidR="002F5454" w:rsidRPr="002F5454" w:rsidRDefault="002F5454" w:rsidP="002F5454">
      <w:pPr>
        <w:jc w:val="both"/>
        <w:rPr>
          <w:rFonts w:ascii="Times New Roman" w:hAnsi="Times New Roman" w:cs="Times New Roman"/>
          <w:b/>
          <w:sz w:val="24"/>
          <w:szCs w:val="24"/>
        </w:rPr>
      </w:pPr>
    </w:p>
    <w:p w14:paraId="2B84644E"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Nearly all informants in the FGDs thought that health care access in Rwanda is not a major issue, especially with the existence of the community-based health insurance “</w:t>
      </w:r>
      <w:r w:rsidRPr="002F5454">
        <w:rPr>
          <w:rFonts w:ascii="Times New Roman" w:eastAsia="Times New Roman" w:hAnsi="Times New Roman" w:cs="Times New Roman"/>
          <w:i/>
          <w:sz w:val="24"/>
          <w:szCs w:val="24"/>
        </w:rPr>
        <w:t>Mutuelle de Sante</w:t>
      </w:r>
      <w:r w:rsidRPr="002F5454">
        <w:rPr>
          <w:rFonts w:ascii="Times New Roman" w:eastAsia="Times New Roman" w:hAnsi="Times New Roman" w:cs="Times New Roman"/>
          <w:sz w:val="24"/>
          <w:szCs w:val="24"/>
        </w:rPr>
        <w:t>” allowing them to pay a small amount for accessing a wide range of health care services. A few participants acknowledged that although some diseases are not currently being covered in the insurance scheme, officials are making efforts to advance. They identified a few cases of mistrust and highlighted that when community members do not trust health facilities, they do not go there, especially for those who live far from the health facilities, and, coupled with the inadequate resources as well as long waiting hours, they depend on self-medication.</w:t>
      </w:r>
    </w:p>
    <w:p w14:paraId="1108E0A7" w14:textId="77777777" w:rsidR="002F5454" w:rsidRPr="002F5454" w:rsidRDefault="002F5454" w:rsidP="002F5454">
      <w:pPr>
        <w:ind w:left="360"/>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 </w:t>
      </w:r>
    </w:p>
    <w:p w14:paraId="1C9F11C1" w14:textId="77777777" w:rsidR="002F5454" w:rsidRPr="002F5454" w:rsidRDefault="002F5454" w:rsidP="002F5454">
      <w:pPr>
        <w:jc w:val="both"/>
        <w:rPr>
          <w:rFonts w:ascii="Times New Roman" w:hAnsi="Times New Roman" w:cs="Times New Roman"/>
          <w:b/>
          <w:sz w:val="24"/>
          <w:szCs w:val="24"/>
        </w:rPr>
      </w:pPr>
      <w:r w:rsidRPr="002F5454">
        <w:rPr>
          <w:rFonts w:ascii="Times New Roman" w:hAnsi="Times New Roman" w:cs="Times New Roman"/>
          <w:i/>
          <w:sz w:val="24"/>
          <w:szCs w:val="24"/>
        </w:rPr>
        <w:t xml:space="preserve">“First, to improve citizens’ health knowledge, ….. Secondly, we need to continue bringing health services closer to citizens. When people have to travel long distances for treatment, they may end up staying home and becoming severely ill. Also, continuing to improve community-based health insurance services helps citizens. Another important point is improving the quality </w:t>
      </w:r>
      <w:r w:rsidRPr="002F5454">
        <w:rPr>
          <w:rFonts w:ascii="Times New Roman" w:hAnsi="Times New Roman" w:cs="Times New Roman"/>
          <w:i/>
          <w:sz w:val="24"/>
          <w:szCs w:val="24"/>
        </w:rPr>
        <w:lastRenderedPageBreak/>
        <w:t xml:space="preserve">of services we provide. If someone comes to the health facility and waits for three hours, arriving in the morning and leaving at 8 p.m., this discourages them, and next time they will seek alternative ways of treatment instead of coming to the health facility. So improving service quality, ensuring ambulance services arrive on time when they need them, and bringing services closer to the people is essential.” </w:t>
      </w:r>
      <w:r w:rsidRPr="002F5454">
        <w:rPr>
          <w:rFonts w:ascii="Times New Roman" w:hAnsi="Times New Roman" w:cs="Times New Roman"/>
          <w:b/>
          <w:i/>
          <w:sz w:val="24"/>
          <w:szCs w:val="24"/>
        </w:rPr>
        <w:t>Health Promotion and Disease Prevention Officer (IDI)</w:t>
      </w:r>
    </w:p>
    <w:p w14:paraId="1D78DD9A" w14:textId="77777777" w:rsidR="002F5454" w:rsidRPr="002F5454" w:rsidRDefault="002F5454" w:rsidP="002F5454">
      <w:pPr>
        <w:ind w:left="360"/>
        <w:jc w:val="both"/>
        <w:rPr>
          <w:rFonts w:ascii="Times New Roman" w:hAnsi="Times New Roman" w:cs="Times New Roman"/>
          <w:sz w:val="24"/>
          <w:szCs w:val="24"/>
        </w:rPr>
      </w:pPr>
    </w:p>
    <w:p w14:paraId="40DA112C"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i/>
          <w:sz w:val="24"/>
          <w:szCs w:val="24"/>
        </w:rPr>
        <w:t>“There are many needed tools. Currently available equipment is insufficient. Medical and other essential equipment are limited, and trained personnel are also needed to operate them properly…….. at the community level………. For example, thermometers to measure temperature, basic medicines, and first aid kits including pills, bandages, and other essential items that could help a person or households of up to ten people manage minor health problems. Having a community health worker or advisor at the local level would also be very helpful.”</w:t>
      </w:r>
      <w:r w:rsidRPr="002F5454">
        <w:rPr>
          <w:rFonts w:ascii="Times New Roman" w:hAnsi="Times New Roman" w:cs="Times New Roman"/>
          <w:sz w:val="24"/>
          <w:szCs w:val="24"/>
        </w:rPr>
        <w:t xml:space="preserve"> </w:t>
      </w:r>
      <w:r w:rsidRPr="002F5454">
        <w:rPr>
          <w:rFonts w:ascii="Times New Roman" w:hAnsi="Times New Roman" w:cs="Times New Roman"/>
          <w:b/>
          <w:i/>
          <w:sz w:val="24"/>
          <w:szCs w:val="24"/>
        </w:rPr>
        <w:t>Health Education Officer</w:t>
      </w:r>
    </w:p>
    <w:p w14:paraId="08D18F9E" w14:textId="77777777" w:rsidR="002F5454" w:rsidRPr="002F5454" w:rsidRDefault="002F5454" w:rsidP="002F5454">
      <w:pPr>
        <w:jc w:val="both"/>
        <w:rPr>
          <w:rFonts w:ascii="Times New Roman" w:hAnsi="Times New Roman" w:cs="Times New Roman"/>
          <w:b/>
          <w:sz w:val="24"/>
          <w:szCs w:val="24"/>
        </w:rPr>
      </w:pPr>
    </w:p>
    <w:p w14:paraId="6A7F5093" w14:textId="77777777" w:rsidR="002F5454" w:rsidRPr="002F5454" w:rsidRDefault="002F5454" w:rsidP="002F5454">
      <w:pPr>
        <w:rPr>
          <w:rFonts w:ascii="Times New Roman" w:eastAsia="Times New Roman" w:hAnsi="Times New Roman" w:cs="Times New Roman"/>
          <w:b/>
          <w:bCs/>
          <w:color w:val="548DD4" w:themeColor="text2" w:themeTint="99"/>
          <w:sz w:val="24"/>
          <w:szCs w:val="24"/>
        </w:rPr>
      </w:pPr>
      <w:r w:rsidRPr="002F5454">
        <w:rPr>
          <w:rFonts w:ascii="Times New Roman" w:eastAsia="Times New Roman" w:hAnsi="Times New Roman" w:cs="Times New Roman"/>
          <w:b/>
          <w:bCs/>
          <w:color w:val="548DD4" w:themeColor="text2" w:themeTint="99"/>
          <w:sz w:val="24"/>
          <w:szCs w:val="24"/>
        </w:rPr>
        <w:t>Knowledge (emergent mainly in FGDs)</w:t>
      </w:r>
    </w:p>
    <w:p w14:paraId="31430FBD"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Community members have very basic knowledge about priority diseases in Rwanda, including those of emergencies, but they demonstrate a mixture of concepts and understanding of things, such as providing wrong examples and preventive strategies for some diseases. Many of them referred to COVID-19 as the public health pandemic that helped them learn about epidemics. They referred to it as their beginning, starting to understand the importance of proper hygiene and proper maintenance of animals and where they live, and the correlation between animals and humans in terms of disease transmission. Despite all, less than 20% acknowledged the environment as a pathway for disease transmission. </w:t>
      </w:r>
    </w:p>
    <w:p w14:paraId="74BF948F" w14:textId="77777777" w:rsidR="002F5454" w:rsidRPr="002F5454" w:rsidRDefault="002F5454" w:rsidP="002F5454">
      <w:pPr>
        <w:ind w:left="360"/>
        <w:jc w:val="both"/>
        <w:rPr>
          <w:rFonts w:ascii="Times New Roman" w:eastAsia="Times New Roman" w:hAnsi="Times New Roman" w:cs="Times New Roman"/>
          <w:sz w:val="24"/>
          <w:szCs w:val="24"/>
        </w:rPr>
      </w:pPr>
    </w:p>
    <w:p w14:paraId="74B3160D"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i/>
          <w:sz w:val="24"/>
          <w:szCs w:val="24"/>
        </w:rPr>
        <w:t xml:space="preserve">“Among these diseases, I would choose COVID-19. It is an airborne disease; a person can breathe or cough, and so, this is how an infected person can spread it and infect others. Its symptoms include fever, headache, and respiratory problems. As you know, COVID attacks the respiratory tract and therefore, COVID makes the respiratory tract blocked and malfunctions. Fever and headache are the main symptoms of COVID.” </w:t>
      </w:r>
      <w:r w:rsidRPr="002F5454">
        <w:rPr>
          <w:rFonts w:ascii="Times New Roman" w:hAnsi="Times New Roman" w:cs="Times New Roman"/>
          <w:sz w:val="24"/>
          <w:szCs w:val="24"/>
        </w:rPr>
        <w:t xml:space="preserve"> </w:t>
      </w:r>
      <w:r w:rsidRPr="002F5454">
        <w:rPr>
          <w:rFonts w:ascii="Times New Roman" w:hAnsi="Times New Roman" w:cs="Times New Roman"/>
          <w:b/>
          <w:sz w:val="24"/>
          <w:szCs w:val="24"/>
        </w:rPr>
        <w:t>Dudu</w:t>
      </w:r>
    </w:p>
    <w:p w14:paraId="1561E457" w14:textId="77777777" w:rsidR="002F5454" w:rsidRPr="002F5454" w:rsidRDefault="002F5454" w:rsidP="002F5454">
      <w:pPr>
        <w:ind w:left="360"/>
        <w:jc w:val="both"/>
        <w:rPr>
          <w:rFonts w:ascii="Times New Roman" w:hAnsi="Times New Roman" w:cs="Times New Roman"/>
          <w:i/>
          <w:sz w:val="24"/>
          <w:szCs w:val="24"/>
        </w:rPr>
      </w:pPr>
    </w:p>
    <w:p w14:paraId="67819B92"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i/>
          <w:sz w:val="24"/>
          <w:szCs w:val="24"/>
        </w:rPr>
        <w:t xml:space="preserve">“Usually, villagers know that infectious diseases are deadly. So when they find someone in their place who has shown symptoms or after confirming that someone is infected, they isolate them. They say that the disease is contagious and that is why the infected people are put in quarantine. They know that it is a disease that is easily transmitted, even though they are not aware of how it is transmitted. They say that someone who has been diagnosed with that disease, for it is an epidemic, can cause problems in the community where they live.” </w:t>
      </w:r>
      <w:r w:rsidRPr="002F5454">
        <w:rPr>
          <w:rFonts w:ascii="Times New Roman" w:hAnsi="Times New Roman" w:cs="Times New Roman"/>
          <w:b/>
          <w:sz w:val="24"/>
          <w:szCs w:val="24"/>
        </w:rPr>
        <w:t xml:space="preserve">Ineza </w:t>
      </w:r>
    </w:p>
    <w:p w14:paraId="723A1231" w14:textId="77777777" w:rsidR="002F5454" w:rsidRPr="002F5454" w:rsidRDefault="002F5454" w:rsidP="002F5454">
      <w:pPr>
        <w:ind w:left="360"/>
        <w:jc w:val="both"/>
        <w:rPr>
          <w:rFonts w:ascii="Times New Roman" w:hAnsi="Times New Roman" w:cs="Times New Roman"/>
          <w:i/>
          <w:sz w:val="24"/>
          <w:szCs w:val="24"/>
        </w:rPr>
      </w:pPr>
    </w:p>
    <w:p w14:paraId="38D8E00E" w14:textId="77777777" w:rsidR="002F5454" w:rsidRPr="002F5454" w:rsidRDefault="002F5454" w:rsidP="002F5454">
      <w:pPr>
        <w:rPr>
          <w:rFonts w:ascii="Times New Roman" w:eastAsia="Times New Roman" w:hAnsi="Times New Roman" w:cs="Times New Roman"/>
          <w:b/>
          <w:bCs/>
          <w:color w:val="548DD4" w:themeColor="text2" w:themeTint="99"/>
          <w:sz w:val="24"/>
          <w:szCs w:val="24"/>
        </w:rPr>
      </w:pPr>
      <w:r w:rsidRPr="002F5454">
        <w:rPr>
          <w:rFonts w:ascii="Times New Roman" w:eastAsia="Times New Roman" w:hAnsi="Times New Roman" w:cs="Times New Roman"/>
          <w:b/>
          <w:bCs/>
          <w:color w:val="548DD4" w:themeColor="text2" w:themeTint="99"/>
          <w:sz w:val="24"/>
          <w:szCs w:val="24"/>
        </w:rPr>
        <w:t>Attitude (emergent mainly in FGDs)</w:t>
      </w:r>
    </w:p>
    <w:p w14:paraId="73185578"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People believed that proper water management would decrease diseases caused by the consumption and use of dirty water. Some also associate it with diseases like malaria and dirty water. Community members also still has wrong understanding of the educational content shared with them, with some believing that it is only when an internal organ of an animal is touched that disease transmission, such as Mpox happens.  </w:t>
      </w:r>
    </w:p>
    <w:p w14:paraId="0793DB60" w14:textId="77777777" w:rsidR="002F5454" w:rsidRPr="002F5454" w:rsidRDefault="002F5454" w:rsidP="002F5454">
      <w:pPr>
        <w:ind w:left="360"/>
        <w:jc w:val="both"/>
        <w:rPr>
          <w:rFonts w:ascii="Times New Roman" w:eastAsia="Times New Roman" w:hAnsi="Times New Roman" w:cs="Times New Roman"/>
          <w:sz w:val="24"/>
          <w:szCs w:val="24"/>
        </w:rPr>
      </w:pPr>
    </w:p>
    <w:p w14:paraId="4E53B23D" w14:textId="77777777" w:rsidR="002F5454" w:rsidRPr="002F5454" w:rsidRDefault="002F5454" w:rsidP="002F5454">
      <w:pPr>
        <w:jc w:val="both"/>
        <w:rPr>
          <w:rFonts w:ascii="Times New Roman" w:hAnsi="Times New Roman" w:cs="Times New Roman"/>
          <w:i/>
          <w:sz w:val="24"/>
          <w:szCs w:val="24"/>
        </w:rPr>
      </w:pPr>
      <w:r w:rsidRPr="002F5454">
        <w:rPr>
          <w:rFonts w:ascii="Times New Roman" w:hAnsi="Times New Roman" w:cs="Times New Roman"/>
          <w:i/>
          <w:sz w:val="24"/>
          <w:szCs w:val="24"/>
        </w:rPr>
        <w:t xml:space="preserve">“The perception among the population about epidemic diseases is that when there is an outbreak, they feel like it is just a scam and take the disease a political motive for something else. As a result, you find that the measures that have been put in place are not immediately understood by the population due to the different perceptions that exist. We have seen it especially with COVID-19 whereby it was realized that people had wrong perception during vaccination campaigns because of some wrong information that was spread. Therefore, in implementing COVID-19 prevention measures was difficult, especially for local authorities to make the population follow the measures that were established. Thank you.” </w:t>
      </w:r>
      <w:r w:rsidRPr="002F5454">
        <w:rPr>
          <w:rFonts w:ascii="Times New Roman" w:hAnsi="Times New Roman" w:cs="Times New Roman"/>
          <w:b/>
          <w:sz w:val="24"/>
          <w:szCs w:val="24"/>
        </w:rPr>
        <w:t>Jimmy</w:t>
      </w:r>
    </w:p>
    <w:p w14:paraId="7BE9A91F" w14:textId="77777777" w:rsidR="002F5454" w:rsidRPr="002F5454" w:rsidRDefault="002F5454" w:rsidP="002F5454">
      <w:pPr>
        <w:ind w:left="360"/>
        <w:jc w:val="both"/>
        <w:rPr>
          <w:rFonts w:ascii="Times New Roman" w:eastAsia="Times New Roman" w:hAnsi="Times New Roman" w:cs="Times New Roman"/>
          <w:sz w:val="24"/>
          <w:szCs w:val="24"/>
        </w:rPr>
      </w:pPr>
    </w:p>
    <w:p w14:paraId="4E09F7BB"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hAnsi="Times New Roman" w:cs="Times New Roman"/>
          <w:i/>
          <w:sz w:val="24"/>
          <w:szCs w:val="24"/>
        </w:rPr>
        <w:t xml:space="preserve">“Poor management of public water points can negatively affect our community. For example, when the water sources are damaged, weeds may grow, and stagnant water may accumulate, creating breeding sites for insects that spread diseases. So, if these water sources are not properly maintained, they can negatively impact people’s health. In rural areas like ours, most people, whether this is due to negligence or it is just a habit, they do not consistently wash their hands. Sometimes, even when handwashing facilities are available, people go to the toilet and walk away without washing their hands. It really requires continuous education and public awareness campaigns. People know that handwashing is important, but proper practice is still lacking. In rural areas, only a few people consistently follow this hygiene habit. Thank you.” </w:t>
      </w:r>
      <w:r w:rsidRPr="002F5454">
        <w:rPr>
          <w:rFonts w:ascii="Times New Roman" w:eastAsia="Times New Roman" w:hAnsi="Times New Roman" w:cs="Times New Roman"/>
          <w:b/>
          <w:sz w:val="24"/>
          <w:szCs w:val="24"/>
        </w:rPr>
        <w:t>Ange</w:t>
      </w:r>
    </w:p>
    <w:p w14:paraId="6F71A94E" w14:textId="77777777" w:rsidR="002F5454" w:rsidRPr="002F5454" w:rsidRDefault="002F5454" w:rsidP="002F5454">
      <w:pPr>
        <w:ind w:left="360"/>
        <w:jc w:val="both"/>
        <w:rPr>
          <w:rFonts w:ascii="Times New Roman" w:eastAsia="Times New Roman" w:hAnsi="Times New Roman" w:cs="Times New Roman"/>
          <w:sz w:val="24"/>
          <w:szCs w:val="24"/>
        </w:rPr>
      </w:pPr>
    </w:p>
    <w:p w14:paraId="76791682"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color w:val="548DD4" w:themeColor="text2" w:themeTint="99"/>
          <w:sz w:val="24"/>
          <w:szCs w:val="24"/>
        </w:rPr>
        <w:t>Practices (common in both IDIs and FGDs)</w:t>
      </w:r>
    </w:p>
    <w:p w14:paraId="1E617F20"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More than half of the participants highlighted that basic hand washing practices with water and soap were a tradition followed properly during the COVID-19 pandemic and highly influenced community members’ practices. Given the relapse in the pandemic, hand sanitation has become an issue regardless of people knowing its importance. This is being paused by several factors, including inadequate regulations on its continuous implementation, damaged handwashing stations, and a lack of interest from community members.  Half of them further revealed that they used different media to report health events to their communities, including the use of free toll and peers to transmit the information when not comfortable doing so themselves. About 45% of them also mentioned that people still consume dead animals, even though they do not know the cause of their death, under the pretext of the love of meat, even though being a practice strongly discouraged. </w:t>
      </w:r>
    </w:p>
    <w:p w14:paraId="1D56B8E2" w14:textId="77777777" w:rsidR="002F5454" w:rsidRPr="002F5454" w:rsidRDefault="002F5454" w:rsidP="002F5454">
      <w:pPr>
        <w:ind w:left="360"/>
        <w:jc w:val="both"/>
        <w:rPr>
          <w:rFonts w:ascii="Times New Roman" w:eastAsia="Times New Roman" w:hAnsi="Times New Roman" w:cs="Times New Roman"/>
          <w:sz w:val="24"/>
          <w:szCs w:val="24"/>
        </w:rPr>
      </w:pPr>
    </w:p>
    <w:p w14:paraId="22FF69CE"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hAnsi="Times New Roman" w:cs="Times New Roman"/>
          <w:i/>
          <w:sz w:val="24"/>
          <w:szCs w:val="24"/>
        </w:rPr>
        <w:t>“Poor management of public water sources has serious consequences. When these sources are poorly managed, the water may become scarce, forcing people to drink unsafe water, which can cause intestinal diseases such as worms. That’s why we encourage everyone to take good care of them (water sources).”</w:t>
      </w:r>
      <w:r w:rsidRPr="002F5454">
        <w:rPr>
          <w:rFonts w:ascii="Times New Roman" w:eastAsia="Times New Roman" w:hAnsi="Times New Roman" w:cs="Times New Roman"/>
          <w:sz w:val="24"/>
          <w:szCs w:val="24"/>
        </w:rPr>
        <w:t xml:space="preserve"> </w:t>
      </w:r>
      <w:r w:rsidRPr="002F5454">
        <w:rPr>
          <w:rFonts w:ascii="Times New Roman" w:eastAsia="Times New Roman" w:hAnsi="Times New Roman" w:cs="Times New Roman"/>
          <w:b/>
          <w:sz w:val="24"/>
          <w:szCs w:val="24"/>
        </w:rPr>
        <w:t>Jack</w:t>
      </w:r>
    </w:p>
    <w:p w14:paraId="3B8AC40D" w14:textId="77777777" w:rsidR="002F5454" w:rsidRPr="002F5454" w:rsidRDefault="002F5454" w:rsidP="002F5454">
      <w:pPr>
        <w:ind w:left="360"/>
        <w:jc w:val="both"/>
        <w:rPr>
          <w:rFonts w:ascii="Times New Roman" w:eastAsia="Times New Roman" w:hAnsi="Times New Roman" w:cs="Times New Roman"/>
          <w:sz w:val="24"/>
          <w:szCs w:val="24"/>
        </w:rPr>
      </w:pPr>
    </w:p>
    <w:p w14:paraId="558FF3BF" w14:textId="77777777" w:rsidR="002F5454" w:rsidRPr="002F5454" w:rsidRDefault="002F5454" w:rsidP="002F5454">
      <w:pPr>
        <w:jc w:val="both"/>
        <w:rPr>
          <w:rFonts w:ascii="Times New Roman" w:hAnsi="Times New Roman" w:cs="Times New Roman"/>
          <w:b/>
          <w:sz w:val="24"/>
          <w:szCs w:val="24"/>
        </w:rPr>
      </w:pPr>
      <w:r w:rsidRPr="002F5454">
        <w:rPr>
          <w:rFonts w:ascii="Times New Roman" w:hAnsi="Times New Roman" w:cs="Times New Roman"/>
          <w:i/>
          <w:sz w:val="24"/>
          <w:szCs w:val="24"/>
        </w:rPr>
        <w:t xml:space="preserve">“Rwandans love meat so much, and so when a cow dies of unnatural death, the authority chooses to bury it, but the next morning, you find people have exhumed the dead animal to eat it. I remember the time when a child took 2 dead chickens and brought them home and fed the whole family. As a result, the family members died. This was revealed by the only surviving child who didn’t eat that meat, so in our culture, some people do love meat so much that they </w:t>
      </w:r>
      <w:r w:rsidRPr="002F5454">
        <w:rPr>
          <w:rFonts w:ascii="Times New Roman" w:hAnsi="Times New Roman" w:cs="Times New Roman"/>
          <w:i/>
          <w:sz w:val="24"/>
          <w:szCs w:val="24"/>
        </w:rPr>
        <w:lastRenderedPageBreak/>
        <w:t xml:space="preserve">can’t stand not eating an animal that died unnaturally. I think maybe it’s due to poverty that they love meat, or maybe they simply love it, you just can’t tell them that a cow or goat died unnaturally, and then they cannot consume it.” </w:t>
      </w:r>
      <w:r w:rsidRPr="002F5454">
        <w:rPr>
          <w:rFonts w:ascii="Times New Roman" w:hAnsi="Times New Roman" w:cs="Times New Roman"/>
          <w:b/>
          <w:sz w:val="24"/>
          <w:szCs w:val="24"/>
        </w:rPr>
        <w:t>Munezero</w:t>
      </w:r>
    </w:p>
    <w:p w14:paraId="0E86DC1A" w14:textId="77777777" w:rsidR="002F5454" w:rsidRPr="002F5454" w:rsidRDefault="002F5454" w:rsidP="002F5454">
      <w:pPr>
        <w:jc w:val="both"/>
        <w:rPr>
          <w:rFonts w:ascii="Times New Roman" w:hAnsi="Times New Roman" w:cs="Times New Roman"/>
          <w:b/>
          <w:sz w:val="24"/>
          <w:szCs w:val="24"/>
        </w:rPr>
      </w:pPr>
    </w:p>
    <w:p w14:paraId="66B692A2"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bCs/>
          <w:sz w:val="24"/>
          <w:szCs w:val="24"/>
        </w:rPr>
        <w:t xml:space="preserve">In the IDIs, program implementers pointed out that practices of recommended health behaviors are being breached by community members for </w:t>
      </w:r>
      <w:r w:rsidRPr="002F5454">
        <w:rPr>
          <w:rFonts w:ascii="Times New Roman" w:eastAsia="Times New Roman" w:hAnsi="Times New Roman" w:cs="Times New Roman"/>
          <w:sz w:val="24"/>
          <w:szCs w:val="24"/>
        </w:rPr>
        <w:t xml:space="preserve">different reasons, including competing priorities. Some also mentioned that habits such as keeping livestock inside the house have decreased because community members have been mobilized, but continuous awareness is needed to eliminate such practices. </w:t>
      </w:r>
    </w:p>
    <w:p w14:paraId="05242BBE" w14:textId="77777777" w:rsidR="002F5454" w:rsidRPr="002F5454" w:rsidRDefault="002F5454" w:rsidP="002F5454">
      <w:pPr>
        <w:ind w:left="360"/>
        <w:jc w:val="both"/>
        <w:rPr>
          <w:rFonts w:ascii="Times New Roman" w:eastAsia="Times New Roman" w:hAnsi="Times New Roman" w:cs="Times New Roman"/>
          <w:sz w:val="24"/>
          <w:szCs w:val="24"/>
        </w:rPr>
      </w:pPr>
    </w:p>
    <w:p w14:paraId="57AED829" w14:textId="77777777" w:rsidR="002F5454" w:rsidRPr="002F5454" w:rsidRDefault="002F5454" w:rsidP="002F5454">
      <w:pPr>
        <w:jc w:val="both"/>
        <w:rPr>
          <w:rFonts w:ascii="Times New Roman" w:hAnsi="Times New Roman" w:cs="Times New Roman"/>
          <w:b/>
          <w:i/>
          <w:sz w:val="24"/>
          <w:szCs w:val="24"/>
        </w:rPr>
      </w:pPr>
      <w:r w:rsidRPr="002F5454">
        <w:rPr>
          <w:rFonts w:ascii="Times New Roman" w:hAnsi="Times New Roman" w:cs="Times New Roman"/>
          <w:i/>
          <w:sz w:val="24"/>
          <w:szCs w:val="24"/>
        </w:rPr>
        <w:t xml:space="preserve">“No, most people do receive the information. The problem is mainly about their living conditions, which make it difficult to make good use of the information they receive. For instance, in rural areas or semi-urban areas, you find bars and restaurants that don’t follow hygiene regulations, even though they’ve been informed, they see those regulations as a way of interfering with their businesses.” </w:t>
      </w:r>
      <w:r w:rsidRPr="002F5454">
        <w:rPr>
          <w:rFonts w:ascii="Times New Roman" w:hAnsi="Times New Roman" w:cs="Times New Roman"/>
          <w:b/>
          <w:i/>
          <w:sz w:val="24"/>
          <w:szCs w:val="24"/>
        </w:rPr>
        <w:t>Environmental Health Officer</w:t>
      </w:r>
      <w:r w:rsidRPr="002F5454">
        <w:rPr>
          <w:rFonts w:ascii="Times New Roman" w:hAnsi="Times New Roman" w:cs="Times New Roman"/>
          <w:i/>
          <w:sz w:val="24"/>
          <w:szCs w:val="24"/>
        </w:rPr>
        <w:t xml:space="preserve"> </w:t>
      </w:r>
      <w:r w:rsidRPr="002F5454">
        <w:rPr>
          <w:rFonts w:ascii="Times New Roman" w:hAnsi="Times New Roman" w:cs="Times New Roman"/>
          <w:b/>
          <w:i/>
          <w:sz w:val="24"/>
          <w:szCs w:val="24"/>
        </w:rPr>
        <w:t>(IDI)</w:t>
      </w:r>
    </w:p>
    <w:p w14:paraId="69A78950" w14:textId="77777777" w:rsidR="002F5454" w:rsidRPr="002F5454" w:rsidRDefault="002F5454" w:rsidP="002F5454">
      <w:pPr>
        <w:jc w:val="both"/>
        <w:rPr>
          <w:rFonts w:ascii="Times New Roman" w:hAnsi="Times New Roman" w:cs="Times New Roman"/>
          <w:b/>
          <w:sz w:val="24"/>
          <w:szCs w:val="24"/>
        </w:rPr>
      </w:pPr>
    </w:p>
    <w:p w14:paraId="5B4BBBE5" w14:textId="77777777" w:rsidR="002F5454" w:rsidRPr="002F5454" w:rsidRDefault="002F5454" w:rsidP="002F5454">
      <w:pPr>
        <w:rPr>
          <w:rFonts w:ascii="Times New Roman" w:eastAsia="Times New Roman" w:hAnsi="Times New Roman" w:cs="Times New Roman"/>
          <w:b/>
          <w:bCs/>
          <w:color w:val="548DD4" w:themeColor="text2" w:themeTint="99"/>
          <w:sz w:val="24"/>
          <w:szCs w:val="24"/>
        </w:rPr>
      </w:pPr>
      <w:r w:rsidRPr="002F5454">
        <w:rPr>
          <w:rFonts w:ascii="Times New Roman" w:eastAsia="Times New Roman" w:hAnsi="Times New Roman" w:cs="Times New Roman"/>
          <w:b/>
          <w:bCs/>
          <w:color w:val="548DD4" w:themeColor="text2" w:themeTint="99"/>
          <w:sz w:val="24"/>
          <w:szCs w:val="24"/>
        </w:rPr>
        <w:t>Shared and collective norms (common in both IDIs and FGDs)</w:t>
      </w:r>
    </w:p>
    <w:p w14:paraId="0374275F"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Three-quarters of our FGD participants mentioned fear of either being isolated as a result of being suspected of having a disease case or fear of vaccine side effects of vaccines, mostly due to misconceptions and myths around them. This is worse as some believe diseases, such as Rift Valley fever, are caused by evil spirits, delaying going to the hospital and buying into rumors, including those saying people are turned into a goat after being vaccinated. Almost all participants accepted that culture also plays a role, including greeting styles that require hugging and handshaking as a way of demonstrating concern or respect.  </w:t>
      </w:r>
    </w:p>
    <w:p w14:paraId="1A171F90" w14:textId="77777777" w:rsidR="002F5454" w:rsidRPr="002F5454" w:rsidRDefault="002F5454" w:rsidP="002F5454">
      <w:pPr>
        <w:jc w:val="both"/>
        <w:rPr>
          <w:rFonts w:ascii="Times New Roman" w:eastAsia="Times New Roman" w:hAnsi="Times New Roman" w:cs="Times New Roman"/>
          <w:sz w:val="24"/>
          <w:szCs w:val="24"/>
        </w:rPr>
      </w:pPr>
    </w:p>
    <w:p w14:paraId="042285B2"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hAnsi="Times New Roman" w:cs="Times New Roman"/>
          <w:i/>
          <w:sz w:val="24"/>
          <w:szCs w:val="24"/>
        </w:rPr>
        <w:t>“Another factor is fear of vaccines. As she said something about beliefs, for example, during COVID-19, some people thought vaccines would have side effects, such as causing infertility or other health problems. Such misconceptions discouraged people from seeking medical care.”</w:t>
      </w:r>
      <w:r w:rsidRPr="002F5454">
        <w:rPr>
          <w:rFonts w:ascii="Times New Roman" w:eastAsia="Times New Roman" w:hAnsi="Times New Roman" w:cs="Times New Roman"/>
          <w:sz w:val="24"/>
          <w:szCs w:val="24"/>
        </w:rPr>
        <w:t xml:space="preserve"> </w:t>
      </w:r>
      <w:r w:rsidRPr="002F5454">
        <w:rPr>
          <w:rFonts w:ascii="Times New Roman" w:eastAsia="Times New Roman" w:hAnsi="Times New Roman" w:cs="Times New Roman"/>
          <w:b/>
          <w:sz w:val="24"/>
          <w:szCs w:val="24"/>
        </w:rPr>
        <w:t>Participant</w:t>
      </w:r>
    </w:p>
    <w:p w14:paraId="3B6FC1D9" w14:textId="77777777" w:rsidR="002F5454" w:rsidRPr="002F5454" w:rsidRDefault="002F5454" w:rsidP="002F5454">
      <w:pPr>
        <w:ind w:left="360"/>
        <w:jc w:val="both"/>
        <w:rPr>
          <w:rFonts w:ascii="Times New Roman" w:hAnsi="Times New Roman" w:cs="Times New Roman"/>
          <w:sz w:val="24"/>
          <w:szCs w:val="24"/>
        </w:rPr>
      </w:pPr>
    </w:p>
    <w:p w14:paraId="496C86E9" w14:textId="77777777" w:rsidR="002F5454" w:rsidRPr="002F5454" w:rsidRDefault="002F5454" w:rsidP="002F5454">
      <w:pPr>
        <w:jc w:val="both"/>
        <w:rPr>
          <w:rFonts w:ascii="Times New Roman" w:eastAsia="Times New Roman" w:hAnsi="Times New Roman" w:cs="Times New Roman"/>
          <w:b/>
          <w:sz w:val="24"/>
          <w:szCs w:val="24"/>
        </w:rPr>
      </w:pPr>
      <w:r w:rsidRPr="002F5454">
        <w:rPr>
          <w:rFonts w:ascii="Times New Roman" w:hAnsi="Times New Roman" w:cs="Times New Roman"/>
          <w:i/>
          <w:sz w:val="24"/>
          <w:szCs w:val="24"/>
        </w:rPr>
        <w:t xml:space="preserve">“I don’t know if I can share something that once happened to us. When we were going to get vaccinated against COVID-19, I was in a sector uphill near the forest, here near the Muganza sector. The people who were vaccinated first were leaders and health workers because they met many people and needed protection from infection. When we went for vaccination, they started with a woman who had come to help another woman who was giving birth. Then, they vaccinated her, and she left. I don’t know who spread that rumor, but since the health center is near Kamirabagenzi market, someone went there and said, “A doctor named so-and-so, I won’t mention the name, vaccinated her and now she has turned into a goat grazing in the field!” (Others laugh loudly.) Let me tell you, the market at Kamirabagenzi closed immediately, and people went to the health center looking for that doctor, but he wasn’t there because he had gone to assist the woman giving birth. The situation became chaotic at the health center as people were saying, “Show us if it’s true, show us that doctor!” The vaccination process had to stop. After about four or five hours, luckily the doctor returned and explained to everyone what had really happened, and the woman who had accompanied the patient also </w:t>
      </w:r>
      <w:r w:rsidRPr="002F5454">
        <w:rPr>
          <w:rFonts w:ascii="Times New Roman" w:hAnsi="Times New Roman" w:cs="Times New Roman"/>
          <w:i/>
          <w:sz w:val="24"/>
          <w:szCs w:val="24"/>
        </w:rPr>
        <w:lastRenderedPageBreak/>
        <w:t xml:space="preserve">told them what had taken place. I want to tell you, if that doctor had not returned, the vaccination campaign would have completely failed. Thank you.” </w:t>
      </w:r>
      <w:r w:rsidRPr="002F5454">
        <w:rPr>
          <w:rFonts w:ascii="Times New Roman" w:eastAsia="Times New Roman" w:hAnsi="Times New Roman" w:cs="Times New Roman"/>
          <w:b/>
          <w:sz w:val="24"/>
          <w:szCs w:val="24"/>
        </w:rPr>
        <w:t>Byiringiro</w:t>
      </w:r>
    </w:p>
    <w:p w14:paraId="638073C1" w14:textId="77777777" w:rsidR="002F5454" w:rsidRPr="002F5454" w:rsidRDefault="002F5454" w:rsidP="002F5454">
      <w:pPr>
        <w:jc w:val="both"/>
        <w:rPr>
          <w:rFonts w:ascii="Times New Roman" w:eastAsia="Times New Roman" w:hAnsi="Times New Roman" w:cs="Times New Roman"/>
          <w:b/>
          <w:sz w:val="24"/>
          <w:szCs w:val="24"/>
        </w:rPr>
      </w:pPr>
    </w:p>
    <w:p w14:paraId="51E5AE85" w14:textId="77777777" w:rsidR="002F5454" w:rsidRPr="002F5454" w:rsidRDefault="002F5454" w:rsidP="002F5454">
      <w:pPr>
        <w:jc w:val="both"/>
        <w:rPr>
          <w:rFonts w:ascii="Times New Roman" w:hAnsi="Times New Roman" w:cs="Times New Roman"/>
          <w:sz w:val="24"/>
          <w:szCs w:val="24"/>
        </w:rPr>
      </w:pPr>
      <w:r w:rsidRPr="002F5454">
        <w:rPr>
          <w:rFonts w:ascii="Times New Roman" w:eastAsia="Times New Roman" w:hAnsi="Times New Roman" w:cs="Times New Roman"/>
          <w:sz w:val="24"/>
          <w:szCs w:val="24"/>
        </w:rPr>
        <w:t>The majority of our informants agreed to the fact that there exists misinformation and ignorance among community members, stemming partially from the Rwanda culture, making community members rely on prayers for obvious diseases that should be cured at health facilities, which could make matters worse for them and the people around. As such, some health facilities have identified this as a problem and have embarked on the identification of rumors by actively collecting, analyzing, and addressing them to prevent misinformation and panic.</w:t>
      </w:r>
      <w:r w:rsidRPr="002F5454">
        <w:rPr>
          <w:rFonts w:ascii="Times New Roman" w:hAnsi="Times New Roman" w:cs="Times New Roman"/>
          <w:sz w:val="24"/>
          <w:szCs w:val="24"/>
        </w:rPr>
        <w:t xml:space="preserve"> </w:t>
      </w:r>
    </w:p>
    <w:p w14:paraId="7365045F" w14:textId="77777777" w:rsidR="002F5454" w:rsidRPr="002F5454" w:rsidRDefault="002F5454" w:rsidP="002F5454">
      <w:pPr>
        <w:jc w:val="both"/>
        <w:rPr>
          <w:rFonts w:ascii="Times New Roman" w:hAnsi="Times New Roman" w:cs="Times New Roman"/>
          <w:sz w:val="24"/>
          <w:szCs w:val="24"/>
        </w:rPr>
      </w:pPr>
    </w:p>
    <w:p w14:paraId="0565AB79" w14:textId="77777777" w:rsidR="002F5454" w:rsidRPr="002F5454" w:rsidRDefault="002F5454" w:rsidP="002F5454">
      <w:pPr>
        <w:jc w:val="both"/>
        <w:rPr>
          <w:rFonts w:ascii="Times New Roman" w:hAnsi="Times New Roman" w:cs="Times New Roman"/>
          <w:b/>
          <w:i/>
          <w:sz w:val="24"/>
          <w:szCs w:val="24"/>
        </w:rPr>
      </w:pPr>
      <w:r w:rsidRPr="002F5454">
        <w:rPr>
          <w:rFonts w:ascii="Times New Roman" w:hAnsi="Times New Roman" w:cs="Times New Roman"/>
          <w:i/>
          <w:sz w:val="24"/>
          <w:szCs w:val="24"/>
        </w:rPr>
        <w:t>“Rumors exist, but here at the hospital, well…, we do not neglect rumors. We take the rumors, we analyze them, we look at them... we analyze them. Because the information we receive, the reports they give us, and the alerts, what they say could be a rumor or the truth. Therefore, we do not neglect them; we analyze them and even go out to the field (terrain) if necessary (ehh). It is understandable that rumors can harm the community in one way or another. (Uhh) They can cause people to panic and worry, and they might do other things, which have negative consequences (iii) and other negative impacts. But we try to analyze them, and if we find that they are not true, we dismiss them and then provide the correct information. Especially concerning rumors (ahh), there was a recent one, I think in Kamonyi. They were saying [laughs] that men's reproductive organs were swelling and disappearing…….”</w:t>
      </w:r>
      <w:r w:rsidRPr="002F5454">
        <w:rPr>
          <w:rFonts w:ascii="Times New Roman" w:hAnsi="Times New Roman" w:cs="Times New Roman"/>
          <w:sz w:val="24"/>
          <w:szCs w:val="24"/>
        </w:rPr>
        <w:t xml:space="preserve"> </w:t>
      </w:r>
      <w:r w:rsidRPr="002F5454">
        <w:rPr>
          <w:rFonts w:ascii="Times New Roman" w:hAnsi="Times New Roman" w:cs="Times New Roman"/>
          <w:b/>
          <w:i/>
          <w:sz w:val="24"/>
          <w:szCs w:val="24"/>
        </w:rPr>
        <w:t>Integrated Disease and Surveillance Response Officer (IDI)</w:t>
      </w:r>
    </w:p>
    <w:p w14:paraId="286FF748" w14:textId="77777777" w:rsidR="002F5454" w:rsidRPr="002F5454" w:rsidRDefault="002F5454" w:rsidP="002F5454">
      <w:pPr>
        <w:jc w:val="both"/>
        <w:rPr>
          <w:rFonts w:ascii="Times New Roman" w:hAnsi="Times New Roman" w:cs="Times New Roman"/>
          <w:b/>
          <w:i/>
          <w:sz w:val="24"/>
          <w:szCs w:val="24"/>
        </w:rPr>
      </w:pPr>
    </w:p>
    <w:p w14:paraId="58537E57" w14:textId="77777777" w:rsidR="002F5454" w:rsidRPr="002F5454" w:rsidRDefault="002F5454" w:rsidP="002F5454">
      <w:pPr>
        <w:rPr>
          <w:rFonts w:ascii="Times New Roman" w:eastAsia="Times New Roman" w:hAnsi="Times New Roman" w:cs="Times New Roman"/>
          <w:b/>
          <w:bCs/>
          <w:color w:val="548DD4" w:themeColor="text2" w:themeTint="99"/>
          <w:sz w:val="24"/>
          <w:szCs w:val="24"/>
        </w:rPr>
      </w:pPr>
      <w:r w:rsidRPr="002F5454">
        <w:rPr>
          <w:rFonts w:ascii="Times New Roman" w:eastAsia="Times New Roman" w:hAnsi="Times New Roman" w:cs="Times New Roman"/>
          <w:b/>
          <w:bCs/>
          <w:color w:val="548DD4" w:themeColor="text2" w:themeTint="99"/>
          <w:sz w:val="24"/>
          <w:szCs w:val="24"/>
        </w:rPr>
        <w:t>Communication of Health Information (common in both IDIs and FGDs)</w:t>
      </w:r>
    </w:p>
    <w:p w14:paraId="1622B237" w14:textId="77777777" w:rsidR="002F5454" w:rsidRPr="002F5454" w:rsidRDefault="002F5454" w:rsidP="002F5454">
      <w:pPr>
        <w:jc w:val="both"/>
        <w:rPr>
          <w:rFonts w:ascii="Times New Roman" w:eastAsia="Times New Roman" w:hAnsi="Times New Roman" w:cs="Times New Roman"/>
          <w:bCs/>
          <w:sz w:val="24"/>
          <w:szCs w:val="24"/>
        </w:rPr>
      </w:pPr>
      <w:r w:rsidRPr="002F5454">
        <w:rPr>
          <w:rFonts w:ascii="Times New Roman" w:eastAsia="Times New Roman" w:hAnsi="Times New Roman" w:cs="Times New Roman"/>
          <w:bCs/>
          <w:sz w:val="24"/>
          <w:szCs w:val="24"/>
        </w:rPr>
        <w:t xml:space="preserve">Community members acknowledge the use of different mass media communication channels to inform the community on health events, including diseases mode of transmission, signs, symptoms, and prevention methods. Commonly cited means of gaining information were the radio, since more than 50% of households in Rwanda have one, town criers with their megaphones for announcement as they pass very vital information, and the youth. </w:t>
      </w:r>
    </w:p>
    <w:p w14:paraId="4C1B9CF4" w14:textId="77777777" w:rsidR="002F5454" w:rsidRPr="002F5454" w:rsidRDefault="002F5454" w:rsidP="002F5454">
      <w:pPr>
        <w:jc w:val="both"/>
        <w:rPr>
          <w:rFonts w:ascii="Times New Roman" w:eastAsia="Times New Roman" w:hAnsi="Times New Roman" w:cs="Times New Roman"/>
          <w:bCs/>
          <w:sz w:val="24"/>
          <w:szCs w:val="24"/>
        </w:rPr>
      </w:pPr>
      <w:r w:rsidRPr="002F5454">
        <w:rPr>
          <w:rFonts w:ascii="Times New Roman" w:eastAsia="Times New Roman" w:hAnsi="Times New Roman" w:cs="Times New Roman"/>
          <w:bCs/>
          <w:sz w:val="24"/>
          <w:szCs w:val="24"/>
        </w:rPr>
        <w:t>They informed that the educational materials are easy to understand, however have limited information on the consequences of certain behaviors. Even though it was mentioned that health information is available, some participants reported that many people lack info</w:t>
      </w:r>
      <w:r w:rsidRPr="002F5454">
        <w:rPr>
          <w:rFonts w:ascii="Times New Roman" w:eastAsia="Times New Roman" w:hAnsi="Times New Roman" w:cs="Times New Roman"/>
          <w:sz w:val="24"/>
          <w:szCs w:val="24"/>
        </w:rPr>
        <w:t>rmation due to the level of understanding, and this plays a role in proper reporting and prevention strategies.</w:t>
      </w:r>
      <w:r w:rsidRPr="002F5454">
        <w:rPr>
          <w:rFonts w:ascii="Times New Roman" w:eastAsia="Times New Roman" w:hAnsi="Times New Roman" w:cs="Times New Roman"/>
          <w:bCs/>
          <w:sz w:val="24"/>
          <w:szCs w:val="24"/>
        </w:rPr>
        <w:t xml:space="preserve">  </w:t>
      </w:r>
    </w:p>
    <w:p w14:paraId="5A612697" w14:textId="77777777" w:rsidR="002F5454" w:rsidRPr="002F5454" w:rsidRDefault="002F5454" w:rsidP="002F5454">
      <w:pPr>
        <w:ind w:left="360"/>
        <w:jc w:val="both"/>
        <w:rPr>
          <w:rFonts w:ascii="Times New Roman" w:eastAsia="Times New Roman" w:hAnsi="Times New Roman" w:cs="Times New Roman"/>
          <w:bCs/>
          <w:sz w:val="24"/>
          <w:szCs w:val="24"/>
        </w:rPr>
      </w:pPr>
    </w:p>
    <w:p w14:paraId="5C12428D" w14:textId="77777777" w:rsidR="002F5454" w:rsidRPr="002F5454" w:rsidRDefault="002F5454" w:rsidP="002F5454">
      <w:pPr>
        <w:jc w:val="both"/>
        <w:rPr>
          <w:rFonts w:ascii="Times New Roman" w:eastAsia="Times New Roman" w:hAnsi="Times New Roman" w:cs="Times New Roman"/>
          <w:bCs/>
          <w:sz w:val="24"/>
          <w:szCs w:val="24"/>
        </w:rPr>
      </w:pPr>
      <w:r w:rsidRPr="002F5454">
        <w:rPr>
          <w:rFonts w:ascii="Times New Roman" w:hAnsi="Times New Roman" w:cs="Times New Roman"/>
          <w:i/>
          <w:sz w:val="24"/>
          <w:szCs w:val="24"/>
        </w:rPr>
        <w:t>“There are many factors, as it was said, but one of the main ones is people’s mindset. Some citizens find it difficult to understand the consequences of the things they are told. There are also other reasons we observed during COVID-19, like quarantine, as people still had to struggle to find something to eat. Some ignored the restrictions to go outside their homes and would leave them to look for a livelihood because they felt that staying home without any support would lead to starvation.”</w:t>
      </w:r>
      <w:r w:rsidRPr="002F5454">
        <w:rPr>
          <w:rFonts w:ascii="Times New Roman" w:eastAsia="Times New Roman" w:hAnsi="Times New Roman" w:cs="Times New Roman"/>
          <w:bCs/>
          <w:sz w:val="24"/>
          <w:szCs w:val="24"/>
        </w:rPr>
        <w:t xml:space="preserve"> </w:t>
      </w:r>
      <w:r w:rsidRPr="002F5454">
        <w:rPr>
          <w:rFonts w:ascii="Times New Roman" w:eastAsia="Times New Roman" w:hAnsi="Times New Roman" w:cs="Times New Roman"/>
          <w:b/>
          <w:sz w:val="24"/>
          <w:szCs w:val="24"/>
        </w:rPr>
        <w:t>Participant</w:t>
      </w:r>
    </w:p>
    <w:p w14:paraId="438FF0F1" w14:textId="77777777" w:rsidR="002F5454" w:rsidRPr="002F5454" w:rsidRDefault="002F5454" w:rsidP="002F5454">
      <w:pPr>
        <w:ind w:left="360"/>
        <w:jc w:val="both"/>
        <w:rPr>
          <w:rFonts w:ascii="Times New Roman" w:eastAsia="Times New Roman" w:hAnsi="Times New Roman" w:cs="Times New Roman"/>
          <w:bCs/>
          <w:sz w:val="24"/>
          <w:szCs w:val="24"/>
        </w:rPr>
      </w:pPr>
    </w:p>
    <w:p w14:paraId="041B1F9A" w14:textId="77777777" w:rsidR="002F5454" w:rsidRPr="002F5454" w:rsidRDefault="002F5454" w:rsidP="002F5454">
      <w:pPr>
        <w:jc w:val="both"/>
        <w:rPr>
          <w:rFonts w:ascii="Times New Roman" w:eastAsia="Times New Roman" w:hAnsi="Times New Roman" w:cs="Times New Roman"/>
          <w:b/>
          <w:sz w:val="24"/>
          <w:szCs w:val="24"/>
        </w:rPr>
      </w:pPr>
      <w:r w:rsidRPr="002F5454">
        <w:rPr>
          <w:rFonts w:ascii="Times New Roman" w:hAnsi="Times New Roman" w:cs="Times New Roman"/>
          <w:i/>
          <w:sz w:val="24"/>
          <w:szCs w:val="24"/>
        </w:rPr>
        <w:t xml:space="preserve">“We have often seen health services during epidemics. This is because, first, information would be shared to make people aware that the epidemic exists, then they would be informed about how it spreads and how to prevent it. That helped people protect themselves, since they </w:t>
      </w:r>
      <w:r w:rsidRPr="002F5454">
        <w:rPr>
          <w:rFonts w:ascii="Times New Roman" w:hAnsi="Times New Roman" w:cs="Times New Roman"/>
          <w:i/>
          <w:sz w:val="24"/>
          <w:szCs w:val="24"/>
        </w:rPr>
        <w:lastRenderedPageBreak/>
        <w:t xml:space="preserve">understood the nature of the epidemic and how it was transmitted, which reduced its spread and, in turn, decreased the number of people who died from it. Thank you.” </w:t>
      </w:r>
      <w:r w:rsidRPr="002F5454">
        <w:rPr>
          <w:rFonts w:ascii="Times New Roman" w:eastAsia="Times New Roman" w:hAnsi="Times New Roman" w:cs="Times New Roman"/>
          <w:b/>
          <w:sz w:val="24"/>
          <w:szCs w:val="24"/>
        </w:rPr>
        <w:t>Ineza</w:t>
      </w:r>
    </w:p>
    <w:p w14:paraId="1F980674" w14:textId="77777777" w:rsidR="002F5454" w:rsidRPr="002F5454" w:rsidRDefault="002F5454" w:rsidP="002F5454">
      <w:pPr>
        <w:jc w:val="both"/>
        <w:rPr>
          <w:rFonts w:ascii="Times New Roman" w:eastAsia="Times New Roman" w:hAnsi="Times New Roman" w:cs="Times New Roman"/>
          <w:b/>
          <w:sz w:val="24"/>
          <w:szCs w:val="24"/>
        </w:rPr>
      </w:pPr>
    </w:p>
    <w:p w14:paraId="263C49C3"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IDIs also revealed that these pieces of information should be delivered within the community, right down to the thinnest communal setting. They further explained that all information to be disseminated to the population should not come from district offices or high-level health authorities such as the Rwanda Biomedical Center, but rather originate from the community. They also emphasized that those who communicate the information at this level sometimes lack adequate expertise. Thus, they emphasized the timely availability of health education, communication, and education materials as well as the support needed. Furthermore, they highlighted the importance of timely communication and dissemination of health messages to enable action. </w:t>
      </w:r>
    </w:p>
    <w:p w14:paraId="71E68B76" w14:textId="77777777" w:rsidR="002F5454" w:rsidRPr="002F5454" w:rsidRDefault="002F5454" w:rsidP="002F5454">
      <w:pPr>
        <w:jc w:val="both"/>
        <w:rPr>
          <w:rFonts w:ascii="Times New Roman" w:eastAsia="Times New Roman" w:hAnsi="Times New Roman" w:cs="Times New Roman"/>
          <w:sz w:val="24"/>
          <w:szCs w:val="24"/>
        </w:rPr>
      </w:pPr>
    </w:p>
    <w:p w14:paraId="348134F7" w14:textId="77777777" w:rsidR="002F5454" w:rsidRPr="002F5454" w:rsidRDefault="002F5454" w:rsidP="002F5454">
      <w:pPr>
        <w:jc w:val="both"/>
        <w:rPr>
          <w:rFonts w:ascii="Times New Roman" w:hAnsi="Times New Roman" w:cs="Times New Roman"/>
          <w:b/>
          <w:i/>
          <w:sz w:val="24"/>
          <w:szCs w:val="24"/>
        </w:rPr>
      </w:pPr>
      <w:r w:rsidRPr="002F5454">
        <w:rPr>
          <w:rFonts w:ascii="Times New Roman" w:eastAsia="Times New Roman" w:hAnsi="Times New Roman" w:cs="Times New Roman"/>
          <w:sz w:val="24"/>
          <w:szCs w:val="24"/>
        </w:rPr>
        <w:t>“</w:t>
      </w:r>
      <w:r w:rsidRPr="002F5454">
        <w:rPr>
          <w:rFonts w:ascii="Times New Roman" w:hAnsi="Times New Roman" w:cs="Times New Roman"/>
          <w:i/>
          <w:sz w:val="24"/>
          <w:szCs w:val="24"/>
        </w:rPr>
        <w:t>What they should focus on is delivering the information on time. They should communicate as soon as an issue arises and ensure it reaches the intended audience quickly, and this should happen early enough. I would emphasize the timely dissemination of information. Whether the message is about prevention or about measures that need to be taken, it should come early, and the necessary materials or supplies should also arrive on time to help Rwandans protect themselves.”</w:t>
      </w:r>
      <w:r w:rsidRPr="002F5454">
        <w:rPr>
          <w:rFonts w:ascii="Times New Roman" w:hAnsi="Times New Roman" w:cs="Times New Roman"/>
          <w:sz w:val="24"/>
          <w:szCs w:val="24"/>
        </w:rPr>
        <w:t xml:space="preserve"> </w:t>
      </w:r>
      <w:r w:rsidRPr="002F5454">
        <w:rPr>
          <w:rFonts w:ascii="Times New Roman" w:hAnsi="Times New Roman" w:cs="Times New Roman"/>
          <w:b/>
          <w:i/>
          <w:sz w:val="24"/>
          <w:szCs w:val="24"/>
        </w:rPr>
        <w:t>Environmental Health Officer</w:t>
      </w:r>
    </w:p>
    <w:p w14:paraId="5BD9AE63" w14:textId="77777777" w:rsidR="002F5454" w:rsidRPr="002F5454" w:rsidRDefault="002F5454" w:rsidP="002F5454">
      <w:pPr>
        <w:jc w:val="both"/>
        <w:rPr>
          <w:rFonts w:ascii="Times New Roman" w:hAnsi="Times New Roman" w:cs="Times New Roman"/>
          <w:i/>
          <w:sz w:val="24"/>
          <w:szCs w:val="24"/>
        </w:rPr>
      </w:pPr>
      <w:r w:rsidRPr="002F5454">
        <w:rPr>
          <w:rFonts w:ascii="Times New Roman" w:hAnsi="Times New Roman" w:cs="Times New Roman"/>
          <w:i/>
          <w:sz w:val="24"/>
          <w:szCs w:val="24"/>
        </w:rPr>
        <w:t xml:space="preserve">To detect diseases, people must first know about them. They need to know which disease is likely to occur based on where they live. Someone in Bugesera does not face the same disease threats as someone elsewhere. But when programs are designed from Kigali or other central levels, the message is given broadly. If they identified specific diseases likely to appear in Nyaruguru, for example, and provided information tailored to that epidemiological reality, it would help a lot. To strengthen community participation, there should also be frequent community dialogues, meetings where residents gather with leaders. The challenge is that sometimes leaders need to talk to people but lack knowledge about the disease. Technical staff should accompany leaders and take time to explain issues properly, especially when addressing community concerns. If they do so, the information will be correct and complete. </w:t>
      </w:r>
      <w:r w:rsidRPr="002F5454">
        <w:rPr>
          <w:rFonts w:ascii="Times New Roman" w:hAnsi="Times New Roman" w:cs="Times New Roman"/>
          <w:b/>
          <w:i/>
          <w:sz w:val="24"/>
          <w:szCs w:val="24"/>
        </w:rPr>
        <w:t>Health Promotion and Disease Prevention Officer (IDI)</w:t>
      </w:r>
    </w:p>
    <w:p w14:paraId="4903F0D1" w14:textId="77777777" w:rsidR="002F5454" w:rsidRPr="002F5454" w:rsidRDefault="002F5454" w:rsidP="002F5454">
      <w:pPr>
        <w:ind w:left="360"/>
        <w:jc w:val="both"/>
        <w:rPr>
          <w:rFonts w:ascii="Times New Roman" w:eastAsia="Times New Roman" w:hAnsi="Times New Roman" w:cs="Times New Roman"/>
          <w:sz w:val="24"/>
          <w:szCs w:val="24"/>
        </w:rPr>
      </w:pPr>
    </w:p>
    <w:p w14:paraId="373A6E7F"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color w:val="548DD4" w:themeColor="text2" w:themeTint="99"/>
          <w:sz w:val="24"/>
          <w:szCs w:val="24"/>
        </w:rPr>
        <w:t>Gender and Vulnerability (emergent mainly in FGDs)</w:t>
      </w:r>
    </w:p>
    <w:p w14:paraId="57ADDF8B"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bCs/>
          <w:sz w:val="24"/>
          <w:szCs w:val="24"/>
        </w:rPr>
        <w:t>Our data revealed 90% of our participants accepted that there is an unequal role among women and men in the community in holding health, including hygiene safety. They mentioned that women maintain cleanliness and proper hygiene</w:t>
      </w:r>
      <w:r w:rsidRPr="002F5454">
        <w:rPr>
          <w:rFonts w:ascii="Times New Roman" w:eastAsia="Times New Roman" w:hAnsi="Times New Roman" w:cs="Times New Roman"/>
          <w:sz w:val="24"/>
          <w:szCs w:val="24"/>
        </w:rPr>
        <w:t xml:space="preserve"> around the house and in a family setting as opposed to the man basically due to culture. As a result, women take a larger share of responsibilities. </w:t>
      </w:r>
    </w:p>
    <w:p w14:paraId="4465B66E" w14:textId="77777777" w:rsidR="002F5454" w:rsidRPr="002F5454" w:rsidRDefault="002F5454" w:rsidP="002F5454">
      <w:pPr>
        <w:ind w:left="360"/>
        <w:jc w:val="both"/>
        <w:rPr>
          <w:rFonts w:ascii="Times New Roman" w:eastAsia="Times New Roman" w:hAnsi="Times New Roman" w:cs="Times New Roman"/>
          <w:sz w:val="24"/>
          <w:szCs w:val="24"/>
        </w:rPr>
      </w:pPr>
    </w:p>
    <w:p w14:paraId="0D147920"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i/>
          <w:sz w:val="24"/>
          <w:szCs w:val="24"/>
        </w:rPr>
        <w:t xml:space="preserve">“I also wanted to add that the way preventive measures are implemented in families depends on the relationship between the husband and the wife. When there is no harmony, prevention won’t work well, but when a family works together, everything goes well. Indeed, men aren’t always around, but the strictness of a man even when he isn’t around is needed. In my views, a man plays a big role but as my colleague has said a woman is the one to implement it, but all this depends on their unity and how they get on. When there is no cohesion within a household, </w:t>
      </w:r>
      <w:r w:rsidRPr="002F5454">
        <w:rPr>
          <w:rFonts w:ascii="Times New Roman" w:hAnsi="Times New Roman" w:cs="Times New Roman"/>
          <w:i/>
          <w:sz w:val="24"/>
          <w:szCs w:val="24"/>
        </w:rPr>
        <w:lastRenderedPageBreak/>
        <w:t xml:space="preserve">such measures cannot be implemented as the family members also do not work together. Thank you.” </w:t>
      </w:r>
      <w:r w:rsidRPr="002F5454">
        <w:rPr>
          <w:rFonts w:ascii="Times New Roman" w:hAnsi="Times New Roman" w:cs="Times New Roman"/>
          <w:b/>
          <w:sz w:val="24"/>
          <w:szCs w:val="24"/>
        </w:rPr>
        <w:t>Bosco</w:t>
      </w:r>
    </w:p>
    <w:p w14:paraId="657767F6" w14:textId="77777777" w:rsidR="002F5454" w:rsidRPr="002F5454" w:rsidRDefault="002F5454" w:rsidP="002F5454">
      <w:pPr>
        <w:ind w:left="360"/>
        <w:jc w:val="both"/>
        <w:rPr>
          <w:rFonts w:ascii="Times New Roman" w:eastAsia="Times New Roman" w:hAnsi="Times New Roman" w:cs="Times New Roman"/>
          <w:sz w:val="24"/>
          <w:szCs w:val="24"/>
        </w:rPr>
      </w:pPr>
    </w:p>
    <w:p w14:paraId="30DC3012" w14:textId="77777777" w:rsidR="002F5454" w:rsidRPr="002F5454" w:rsidRDefault="002F5454" w:rsidP="002F5454">
      <w:pPr>
        <w:jc w:val="both"/>
        <w:rPr>
          <w:rFonts w:ascii="Times New Roman" w:hAnsi="Times New Roman" w:cs="Times New Roman"/>
          <w:b/>
          <w:sz w:val="24"/>
          <w:szCs w:val="24"/>
        </w:rPr>
      </w:pPr>
      <w:r w:rsidRPr="002F5454">
        <w:rPr>
          <w:rFonts w:ascii="Times New Roman" w:hAnsi="Times New Roman" w:cs="Times New Roman"/>
          <w:i/>
          <w:sz w:val="24"/>
          <w:szCs w:val="24"/>
        </w:rPr>
        <w:t xml:space="preserve">“As an example for COVID-19, the youth kept strongly proving that there is a generational difference issue. There are youth, there are adults. Adults are slow to understand what an epidemic is, but the youth understand it immediately. But, when you talk to an adult about handwashing, they will tell you how they used to take you with them when working in their farms and you would be left down crawling on the ground eating mud but that didn’t stop you from growing into someone wealthy and strong. But a younger one will immediately understand what is said.  So I think that youth has a very big role to play in the fight against infectious diseases. Thank you.” </w:t>
      </w:r>
      <w:r w:rsidRPr="002F5454">
        <w:rPr>
          <w:rFonts w:ascii="Times New Roman" w:hAnsi="Times New Roman" w:cs="Times New Roman"/>
          <w:sz w:val="24"/>
          <w:szCs w:val="24"/>
        </w:rPr>
        <w:t xml:space="preserve"> </w:t>
      </w:r>
      <w:r w:rsidRPr="002F5454">
        <w:rPr>
          <w:rFonts w:ascii="Times New Roman" w:hAnsi="Times New Roman" w:cs="Times New Roman"/>
          <w:b/>
          <w:sz w:val="24"/>
          <w:szCs w:val="24"/>
        </w:rPr>
        <w:t>Jimmy</w:t>
      </w:r>
    </w:p>
    <w:p w14:paraId="0A2CE501" w14:textId="77777777" w:rsidR="002F5454" w:rsidRPr="002F5454" w:rsidRDefault="002F5454" w:rsidP="002F5454">
      <w:pPr>
        <w:ind w:left="360"/>
        <w:jc w:val="both"/>
        <w:rPr>
          <w:rFonts w:ascii="Times New Roman" w:eastAsia="Times New Roman" w:hAnsi="Times New Roman" w:cs="Times New Roman"/>
          <w:sz w:val="24"/>
          <w:szCs w:val="24"/>
        </w:rPr>
      </w:pPr>
    </w:p>
    <w:p w14:paraId="775A0F42"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color w:val="548DD4" w:themeColor="text2" w:themeTint="99"/>
          <w:sz w:val="24"/>
          <w:szCs w:val="24"/>
        </w:rPr>
        <w:t>Perceived Risks and Normalization (emergent mainly in FGDs)</w:t>
      </w:r>
    </w:p>
    <w:p w14:paraId="55084425"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Half of the participants perceived that they are all vulnerable to infection, explaining why they take hygiene practices carried out during community clean-up days, commonly known as Umuganda to help disease prevention. Whereas, the rest, though community members are not cautions of their health as some families despite having all it takes to maintain good hygiene they would still not use them because they don’t value maintaining their health.</w:t>
      </w:r>
    </w:p>
    <w:p w14:paraId="392B324F" w14:textId="77777777" w:rsidR="002F5454" w:rsidRPr="002F5454" w:rsidRDefault="002F5454" w:rsidP="002F5454">
      <w:pPr>
        <w:ind w:left="360"/>
        <w:jc w:val="both"/>
        <w:rPr>
          <w:rFonts w:ascii="Times New Roman" w:eastAsia="Times New Roman" w:hAnsi="Times New Roman" w:cs="Times New Roman"/>
          <w:sz w:val="24"/>
          <w:szCs w:val="24"/>
        </w:rPr>
      </w:pPr>
    </w:p>
    <w:p w14:paraId="4935C5A2"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i/>
          <w:sz w:val="24"/>
          <w:szCs w:val="24"/>
        </w:rPr>
        <w:t xml:space="preserve">“Another thing I wanted to add to what my colleagues have said is lack of awareness about how to maintain health. You may find a household that actually has the means like soap and water in the house, they can afford face masks and other things that can help them prevent disease during outbreaks but you see that they don’t use them properly simply because they don’t value them. For example, a father comes home from work having been in close contact with many people even if there’s an outbreak, or even if there isn’t but they don’t take any measure. Indeed, prevention is better than cure as they say. For instance, if it were to be cholera which is a result of poor hygiene we should wash hands with clean water regardless of what we have been doing all day and this should be the crucial information that one has to have. The same applies to a mother who’s breastfeeding who acts like she is not informed even with no education she can be informed from different radio stations or news programs but they still don’t value maintaining their health. This is the reason why in meetings, small things that can harm people and disrupt their lives are worth talking about. It should be mentioned that if you wash hands, that will prevent you from not only infecting your child when breastfeeding but also yourself. Such things will help us change people's perceptions. Thank you.” </w:t>
      </w:r>
      <w:r w:rsidRPr="002F5454">
        <w:rPr>
          <w:rFonts w:ascii="Times New Roman" w:hAnsi="Times New Roman" w:cs="Times New Roman"/>
          <w:b/>
          <w:sz w:val="24"/>
          <w:szCs w:val="24"/>
        </w:rPr>
        <w:t>Aline</w:t>
      </w:r>
    </w:p>
    <w:p w14:paraId="2EEBB5E3" w14:textId="77777777" w:rsidR="002F5454" w:rsidRPr="002F5454" w:rsidRDefault="002F5454" w:rsidP="002F5454">
      <w:pPr>
        <w:ind w:left="360"/>
        <w:jc w:val="both"/>
        <w:rPr>
          <w:rFonts w:ascii="Times New Roman" w:eastAsia="Times New Roman" w:hAnsi="Times New Roman" w:cs="Times New Roman"/>
          <w:sz w:val="24"/>
          <w:szCs w:val="24"/>
        </w:rPr>
      </w:pPr>
    </w:p>
    <w:p w14:paraId="23AD9DBC" w14:textId="77777777" w:rsidR="002F5454" w:rsidRPr="002F5454" w:rsidRDefault="002F5454" w:rsidP="002F5454">
      <w:pPr>
        <w:rPr>
          <w:rFonts w:ascii="Times New Roman" w:eastAsia="Times New Roman" w:hAnsi="Times New Roman" w:cs="Times New Roman"/>
          <w:b/>
          <w:bCs/>
          <w:color w:val="548DD4" w:themeColor="text2" w:themeTint="99"/>
          <w:sz w:val="24"/>
          <w:szCs w:val="24"/>
        </w:rPr>
      </w:pPr>
      <w:r w:rsidRPr="002F5454">
        <w:rPr>
          <w:rFonts w:ascii="Times New Roman" w:eastAsia="Times New Roman" w:hAnsi="Times New Roman" w:cs="Times New Roman"/>
          <w:b/>
          <w:bCs/>
          <w:color w:val="548DD4" w:themeColor="text2" w:themeTint="99"/>
          <w:sz w:val="24"/>
          <w:szCs w:val="24"/>
        </w:rPr>
        <w:t>Economic realities and livelihood constraints (common in both IDIs and FGDs)</w:t>
      </w:r>
    </w:p>
    <w:p w14:paraId="5688E7B9"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Participants in the FGDs felt that, due to daily financial demands, people tend to underestimate the importance of health interventions and access to healthcare because they believe that prioritizing health issues means not having enough money for food. This happens as some of the health measures interfere with sources of livelihood leading to ignoring these measures or taking these measures lightly.</w:t>
      </w:r>
    </w:p>
    <w:p w14:paraId="5D2E8769" w14:textId="77777777" w:rsidR="002F5454" w:rsidRPr="002F5454" w:rsidRDefault="002F5454" w:rsidP="002F5454">
      <w:pPr>
        <w:ind w:left="360"/>
        <w:jc w:val="both"/>
        <w:rPr>
          <w:rFonts w:ascii="Times New Roman" w:eastAsia="Times New Roman" w:hAnsi="Times New Roman" w:cs="Times New Roman"/>
          <w:sz w:val="24"/>
          <w:szCs w:val="24"/>
        </w:rPr>
      </w:pPr>
    </w:p>
    <w:p w14:paraId="5D0DB3DD"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i/>
          <w:sz w:val="24"/>
          <w:szCs w:val="24"/>
        </w:rPr>
        <w:t xml:space="preserve">“sometimes what makes people not follow preventive measures, for example during a certain epidemic, is due to financial capacity. Taking the example of COVID-19, if someone owned a </w:t>
      </w:r>
      <w:r w:rsidRPr="002F5454">
        <w:rPr>
          <w:rFonts w:ascii="Times New Roman" w:hAnsi="Times New Roman" w:cs="Times New Roman"/>
          <w:i/>
          <w:sz w:val="24"/>
          <w:szCs w:val="24"/>
        </w:rPr>
        <w:lastRenderedPageBreak/>
        <w:t xml:space="preserve">bar and that bar was their only source of income, they were asked to close it, someone owned a taxi and was asked to carry only half the usual passengers so due to that financial capacity what I made a living from was halted. Even business owners and shopkeepers were told to meet new requirements. These were burdens they couldn’t afford. that sometimes the very people who were supposed to enforce the rules the “eyes of the public” or who could be exemplary were not following them during COVID. For example, bars were ordered to close down, but you’d find that some local officials still went to drink secretly, which made others open their bars thinking maybe they were just being deceived.” </w:t>
      </w:r>
      <w:r w:rsidRPr="002F5454">
        <w:rPr>
          <w:rFonts w:ascii="Times New Roman" w:hAnsi="Times New Roman" w:cs="Times New Roman"/>
          <w:b/>
          <w:sz w:val="24"/>
          <w:szCs w:val="24"/>
        </w:rPr>
        <w:t>Alice</w:t>
      </w:r>
    </w:p>
    <w:p w14:paraId="71BA14A0" w14:textId="77777777" w:rsidR="002F5454" w:rsidRPr="002F5454" w:rsidRDefault="002F5454" w:rsidP="002F5454">
      <w:pPr>
        <w:ind w:left="360"/>
        <w:jc w:val="both"/>
        <w:rPr>
          <w:rFonts w:ascii="Times New Roman" w:hAnsi="Times New Roman" w:cs="Times New Roman"/>
          <w:i/>
          <w:sz w:val="24"/>
          <w:szCs w:val="24"/>
        </w:rPr>
      </w:pPr>
    </w:p>
    <w:p w14:paraId="0AB63B2F"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In the IDIs, we gather this also affects and cause delays in outbreak reporting fueled by lack of transportation, airtime, and mobile data, limiting timely communication of health events.</w:t>
      </w:r>
    </w:p>
    <w:p w14:paraId="0C0933B3" w14:textId="77777777" w:rsidR="002F5454" w:rsidRPr="002F5454" w:rsidRDefault="002F5454" w:rsidP="002F5454">
      <w:pPr>
        <w:jc w:val="both"/>
        <w:rPr>
          <w:rFonts w:ascii="Times New Roman" w:eastAsia="Times New Roman" w:hAnsi="Times New Roman" w:cs="Times New Roman"/>
          <w:sz w:val="24"/>
          <w:szCs w:val="24"/>
        </w:rPr>
      </w:pPr>
    </w:p>
    <w:p w14:paraId="5811014A" w14:textId="77777777" w:rsidR="002F5454" w:rsidRPr="002F5454" w:rsidRDefault="002F5454" w:rsidP="002F5454">
      <w:pPr>
        <w:jc w:val="both"/>
        <w:rPr>
          <w:rFonts w:ascii="Times New Roman" w:hAnsi="Times New Roman" w:cs="Times New Roman"/>
          <w:b/>
          <w:i/>
          <w:sz w:val="24"/>
          <w:szCs w:val="24"/>
        </w:rPr>
      </w:pPr>
      <w:r w:rsidRPr="002F5454">
        <w:rPr>
          <w:rFonts w:ascii="Times New Roman" w:hAnsi="Times New Roman" w:cs="Times New Roman"/>
          <w:i/>
          <w:sz w:val="24"/>
          <w:szCs w:val="24"/>
        </w:rPr>
        <w:t>“The challenge that may arise when reporting an outbreak is mainly related to lack of transport. Sometimes a person cannot reach the place in need on time. If you do not move quickly enough to inform the people who need to be aware of the issue, the disease can spread to many others. Not reaching the area on time may be due to poor road conditions, disasters that have destroyed a bridge, or some other incident. That is a challenge that can prevent early communication of the message. That is one of the main issues. Or sometimes (I: mhm) A resident may run out of mobile data or airtime and therefore, fail to alert others that a certain problem has occurred. Those are the types of challenges I see that may prevent issues from being addressed quickly, among others.”</w:t>
      </w:r>
      <w:r w:rsidRPr="002F5454">
        <w:rPr>
          <w:rFonts w:ascii="Times New Roman" w:hAnsi="Times New Roman" w:cs="Times New Roman"/>
          <w:sz w:val="24"/>
          <w:szCs w:val="24"/>
        </w:rPr>
        <w:t xml:space="preserve"> </w:t>
      </w:r>
      <w:r w:rsidRPr="002F5454">
        <w:rPr>
          <w:rFonts w:ascii="Times New Roman" w:hAnsi="Times New Roman" w:cs="Times New Roman"/>
          <w:b/>
          <w:i/>
          <w:sz w:val="24"/>
          <w:szCs w:val="24"/>
        </w:rPr>
        <w:t>Environmental Health Officer (IDI)</w:t>
      </w:r>
    </w:p>
    <w:p w14:paraId="1F6B549E" w14:textId="77777777" w:rsidR="002F5454" w:rsidRPr="002F5454" w:rsidRDefault="002F5454" w:rsidP="002F5454">
      <w:pPr>
        <w:jc w:val="both"/>
        <w:rPr>
          <w:rFonts w:ascii="Times New Roman" w:hAnsi="Times New Roman" w:cs="Times New Roman"/>
          <w:b/>
          <w:i/>
          <w:sz w:val="24"/>
          <w:szCs w:val="24"/>
        </w:rPr>
      </w:pPr>
    </w:p>
    <w:p w14:paraId="7399F7FA"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color w:val="548DD4" w:themeColor="text2" w:themeTint="99"/>
          <w:sz w:val="24"/>
          <w:szCs w:val="24"/>
        </w:rPr>
        <w:t>Change readiness (emergent mainly in FGDs)</w:t>
      </w:r>
    </w:p>
    <w:p w14:paraId="74CB3611" w14:textId="77777777" w:rsidR="002F5454" w:rsidRPr="002F5454" w:rsidRDefault="002F5454" w:rsidP="002F5454">
      <w:pPr>
        <w:ind w:left="360"/>
        <w:jc w:val="both"/>
        <w:rPr>
          <w:rFonts w:ascii="Times New Roman" w:eastAsia="Times New Roman" w:hAnsi="Times New Roman" w:cs="Times New Roman"/>
          <w:sz w:val="24"/>
          <w:szCs w:val="24"/>
        </w:rPr>
      </w:pPr>
    </w:p>
    <w:p w14:paraId="32E61AF2"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The Government has set rules and regulations that help maintain good health for humans, animals, and the environment. These serve as guiding principles for regulating activities that promote orderliness. They demonstrated that community behavior change results from a combination of mindset and social reinforcement.  That is, incorporating awareness campaigns to address shared norms, but also implementing sanctions and sharing of lessons, helps the community gradually adopt desired behaviors. </w:t>
      </w:r>
    </w:p>
    <w:p w14:paraId="40A477A0" w14:textId="77777777" w:rsidR="002F5454" w:rsidRPr="002F5454" w:rsidRDefault="002F5454" w:rsidP="002F5454">
      <w:pPr>
        <w:jc w:val="both"/>
        <w:rPr>
          <w:rFonts w:ascii="Times New Roman" w:eastAsia="Times New Roman" w:hAnsi="Times New Roman" w:cs="Times New Roman"/>
          <w:sz w:val="24"/>
          <w:szCs w:val="24"/>
        </w:rPr>
      </w:pPr>
    </w:p>
    <w:p w14:paraId="008E1A6F"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hAnsi="Times New Roman" w:cs="Times New Roman"/>
          <w:i/>
          <w:sz w:val="24"/>
          <w:szCs w:val="24"/>
        </w:rPr>
        <w:t xml:space="preserve">“The Rwandan government is good. It really pays attention. There is already a policy that livestock should not wander freely. That law has been around for some time. Yes, people sometimes fail to respect it fully, but if all livestock were kept in sheds, everything would improve. You all know that pigs go out at 6 a.m. to look for what they will eat, goats also wander outside, and sometimes dogs kill them and eat them. …………….” </w:t>
      </w:r>
      <w:r w:rsidRPr="002F5454">
        <w:rPr>
          <w:rFonts w:ascii="Times New Roman" w:hAnsi="Times New Roman" w:cs="Times New Roman"/>
          <w:b/>
          <w:sz w:val="24"/>
          <w:szCs w:val="24"/>
        </w:rPr>
        <w:t>Byiringiro</w:t>
      </w:r>
    </w:p>
    <w:p w14:paraId="6698B79D" w14:textId="77777777" w:rsidR="002F5454" w:rsidRPr="002F5454" w:rsidRDefault="002F5454" w:rsidP="002F5454">
      <w:pPr>
        <w:jc w:val="both"/>
        <w:rPr>
          <w:rFonts w:ascii="Times New Roman" w:hAnsi="Times New Roman" w:cs="Times New Roman"/>
          <w:b/>
          <w:sz w:val="24"/>
          <w:szCs w:val="24"/>
        </w:rPr>
      </w:pPr>
      <w:r w:rsidRPr="002F5454">
        <w:rPr>
          <w:rFonts w:ascii="Times New Roman" w:hAnsi="Times New Roman" w:cs="Times New Roman"/>
          <w:i/>
          <w:sz w:val="24"/>
          <w:szCs w:val="24"/>
        </w:rPr>
        <w:t>“Thank you very much. When we are doing awareness campaigns, we never lack people who interfere with those campaigns. But often, the media is already involved. If we are on a program telling community members to take preventive measures, let’s say for COVID or any other outbreak, another community member may go behind and try to show that what we are doing in the campaign doesn’t matter, and they contradict us publicly. That person is then sanctioned. They may be disciplined, taught, or even fined. We can impose a monetary penalty, and they pay it so that it serves as a lesson. And this is done in practice, and you find that most people progressively reduce to behave like that (hum).</w:t>
      </w:r>
      <w:r w:rsidRPr="002F5454">
        <w:rPr>
          <w:rFonts w:ascii="Times New Roman" w:hAnsi="Times New Roman" w:cs="Times New Roman"/>
          <w:sz w:val="24"/>
          <w:szCs w:val="24"/>
        </w:rPr>
        <w:t xml:space="preserve">” </w:t>
      </w:r>
      <w:r w:rsidRPr="002F5454">
        <w:rPr>
          <w:rFonts w:ascii="Times New Roman" w:hAnsi="Times New Roman" w:cs="Times New Roman"/>
          <w:b/>
          <w:sz w:val="24"/>
          <w:szCs w:val="24"/>
        </w:rPr>
        <w:t>Grace</w:t>
      </w:r>
    </w:p>
    <w:p w14:paraId="36D578EA"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color w:val="548DD4" w:themeColor="text2" w:themeTint="99"/>
          <w:sz w:val="24"/>
          <w:szCs w:val="24"/>
        </w:rPr>
        <w:lastRenderedPageBreak/>
        <w:t>Power and leadership (emergent mainly in FGDs)</w:t>
      </w:r>
    </w:p>
    <w:p w14:paraId="368C6B05" w14:textId="77777777" w:rsidR="002F5454" w:rsidRPr="002F5454" w:rsidRDefault="002F5454" w:rsidP="002F5454">
      <w:pPr>
        <w:jc w:val="both"/>
        <w:rPr>
          <w:rFonts w:ascii="Times New Roman" w:eastAsia="Times New Roman" w:hAnsi="Times New Roman" w:cs="Times New Roman"/>
          <w:b/>
          <w:bCs/>
          <w:sz w:val="24"/>
          <w:szCs w:val="24"/>
        </w:rPr>
      </w:pPr>
    </w:p>
    <w:p w14:paraId="43F279A1"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Our participants said that local leaders/authorities play a role in informing and educating the community, which is done through household inspections, community gatherings (inteko z’abaturage), which strengthen health promotion and overall community health and wellness. Additional local leaders/authorities were said to also play a role in hygiene monitoring by doing inspections of places where people gather, such as bars, supermarkets, or live. These leaders were also said to help the health sector with campaigns on different health aspects.</w:t>
      </w:r>
    </w:p>
    <w:p w14:paraId="4830F506" w14:textId="77777777" w:rsidR="002F5454" w:rsidRPr="002F5454" w:rsidRDefault="002F5454" w:rsidP="002F5454">
      <w:pPr>
        <w:jc w:val="both"/>
        <w:rPr>
          <w:rFonts w:ascii="Times New Roman" w:eastAsia="Times New Roman" w:hAnsi="Times New Roman" w:cs="Times New Roman"/>
          <w:sz w:val="24"/>
          <w:szCs w:val="24"/>
        </w:rPr>
      </w:pPr>
    </w:p>
    <w:p w14:paraId="1934B15D" w14:textId="77777777" w:rsidR="002F5454" w:rsidRPr="002F5454" w:rsidRDefault="002F5454" w:rsidP="002F5454">
      <w:pPr>
        <w:jc w:val="both"/>
        <w:rPr>
          <w:rFonts w:ascii="Times New Roman" w:hAnsi="Times New Roman" w:cs="Times New Roman"/>
          <w:i/>
          <w:sz w:val="24"/>
          <w:szCs w:val="24"/>
        </w:rPr>
      </w:pPr>
      <w:r w:rsidRPr="002F5454">
        <w:rPr>
          <w:rFonts w:ascii="Times New Roman" w:hAnsi="Times New Roman" w:cs="Times New Roman"/>
          <w:i/>
          <w:sz w:val="24"/>
          <w:szCs w:val="24"/>
        </w:rPr>
        <w:t>“In the responsibilities of local government, there is also a role for awareness campaigns. So, whenever there is an epidemic, those campaigns must be intensified (someone opens a door), it is part of their responsibilities as local government or other government institutions. So, I think the role of local government in strengthening health promotion is very important, and this gives good results, because those are the people the community listens to. Thank you.”</w:t>
      </w:r>
      <w:r w:rsidRPr="002F5454">
        <w:rPr>
          <w:rFonts w:ascii="Times New Roman" w:hAnsi="Times New Roman" w:cs="Times New Roman"/>
          <w:b/>
          <w:i/>
          <w:sz w:val="24"/>
          <w:szCs w:val="24"/>
        </w:rPr>
        <w:t xml:space="preserve"> </w:t>
      </w:r>
      <w:r w:rsidRPr="002F5454">
        <w:rPr>
          <w:rFonts w:ascii="Times New Roman" w:hAnsi="Times New Roman" w:cs="Times New Roman"/>
          <w:b/>
          <w:sz w:val="24"/>
          <w:szCs w:val="24"/>
        </w:rPr>
        <w:t>Mutijima</w:t>
      </w:r>
    </w:p>
    <w:p w14:paraId="1584E985" w14:textId="77777777" w:rsidR="002F5454" w:rsidRPr="002F5454" w:rsidRDefault="002F5454" w:rsidP="002F5454">
      <w:pPr>
        <w:jc w:val="both"/>
        <w:rPr>
          <w:rFonts w:ascii="Times New Roman" w:eastAsia="Times New Roman" w:hAnsi="Times New Roman" w:cs="Times New Roman"/>
          <w:sz w:val="24"/>
          <w:szCs w:val="24"/>
        </w:rPr>
      </w:pPr>
    </w:p>
    <w:p w14:paraId="26FF57A7"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color w:val="548DD4" w:themeColor="text2" w:themeTint="99"/>
          <w:sz w:val="24"/>
          <w:szCs w:val="24"/>
        </w:rPr>
        <w:t>Coordination and integration gaps (common in both IDIs and FGDs)</w:t>
      </w:r>
    </w:p>
    <w:p w14:paraId="2CD26E52" w14:textId="77777777" w:rsidR="002F5454" w:rsidRPr="002F5454" w:rsidRDefault="002F5454" w:rsidP="002F5454">
      <w:pPr>
        <w:pStyle w:val="ListParagraph"/>
        <w:rPr>
          <w:rFonts w:ascii="Times New Roman" w:eastAsia="Times New Roman" w:hAnsi="Times New Roman" w:cs="Times New Roman"/>
          <w:b/>
          <w:bCs/>
          <w:sz w:val="24"/>
          <w:szCs w:val="24"/>
        </w:rPr>
      </w:pPr>
    </w:p>
    <w:p w14:paraId="1FDF12A9"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bCs/>
          <w:sz w:val="24"/>
          <w:szCs w:val="24"/>
        </w:rPr>
        <w:t xml:space="preserve">Nearly all participants in the FGDs </w:t>
      </w:r>
      <w:r w:rsidRPr="002F5454">
        <w:rPr>
          <w:rFonts w:ascii="Times New Roman" w:eastAsia="Times New Roman" w:hAnsi="Times New Roman" w:cs="Times New Roman"/>
          <w:sz w:val="24"/>
          <w:szCs w:val="24"/>
        </w:rPr>
        <w:t>believed there is a strong connection between human and animal health, and because some animals live close to humans, they can transmit diseases, demanding effective collaboration between sectors. However, about 90% of participants acknowledged that One Health partners (human, animal, and environmental health) never meet to plan and discuss health matters. They additionally said that rarely do these sectors meet, yet working together will be much more beneficial to the Health.</w:t>
      </w:r>
    </w:p>
    <w:p w14:paraId="4BDBB330" w14:textId="77777777" w:rsidR="002F5454" w:rsidRPr="002F5454" w:rsidRDefault="002F5454" w:rsidP="002F5454">
      <w:pPr>
        <w:ind w:left="360"/>
        <w:jc w:val="both"/>
        <w:rPr>
          <w:rFonts w:ascii="Times New Roman" w:eastAsia="Times New Roman" w:hAnsi="Times New Roman" w:cs="Times New Roman"/>
          <w:sz w:val="24"/>
          <w:szCs w:val="24"/>
        </w:rPr>
      </w:pPr>
    </w:p>
    <w:p w14:paraId="46761174" w14:textId="77777777" w:rsidR="002F5454" w:rsidRPr="002F5454" w:rsidRDefault="002F5454" w:rsidP="002F5454">
      <w:pPr>
        <w:jc w:val="both"/>
        <w:rPr>
          <w:rFonts w:ascii="Times New Roman" w:hAnsi="Times New Roman" w:cs="Times New Roman"/>
          <w:b/>
          <w:sz w:val="24"/>
          <w:szCs w:val="24"/>
        </w:rPr>
      </w:pPr>
      <w:r w:rsidRPr="002F5454">
        <w:rPr>
          <w:rFonts w:ascii="Times New Roman" w:hAnsi="Times New Roman" w:cs="Times New Roman"/>
          <w:i/>
          <w:sz w:val="24"/>
          <w:szCs w:val="24"/>
        </w:rPr>
        <w:t xml:space="preserve">“What they said is true. But I want to add that at all levels, starting from the village, then the cell, then the sector, then the district, then from the district to the province, and up to the ministries, I think they should all work together because they complement each other. This should be the same way as we have elections in village where we say: “This one is in charge of development, this one is in charge of the environment,” it means that at the district you have a veterinarian, someone responsible for the environment, and a doctor. These sectors are not only responsible for responding to epidemics; they should all come together, meet, and be like one team so that they complement each other. Each one should work on what concerns them, and together epidemics can be prevented.” </w:t>
      </w:r>
      <w:r w:rsidRPr="002F5454">
        <w:rPr>
          <w:rFonts w:ascii="Times New Roman" w:hAnsi="Times New Roman" w:cs="Times New Roman"/>
          <w:b/>
          <w:sz w:val="24"/>
          <w:szCs w:val="24"/>
        </w:rPr>
        <w:t>Mahoro</w:t>
      </w:r>
    </w:p>
    <w:p w14:paraId="3A8860E3" w14:textId="77777777" w:rsidR="002F5454" w:rsidRPr="002F5454" w:rsidRDefault="002F5454" w:rsidP="002F5454">
      <w:pPr>
        <w:jc w:val="both"/>
        <w:rPr>
          <w:rFonts w:ascii="Times New Roman" w:hAnsi="Times New Roman" w:cs="Times New Roman"/>
          <w:i/>
          <w:sz w:val="24"/>
          <w:szCs w:val="24"/>
        </w:rPr>
      </w:pPr>
    </w:p>
    <w:p w14:paraId="1CF9C4D3"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We deduced from the IDIs that coordination of One Health activities is not the norm, but policies and guidelines on this exist. The sectors do not often come together since there are few specific activities bringing them together, and no proper structure that facilitates the collaborative function of these sectors. Additionally, a lack of awareness of how the sectors can work together was identified. Some participants further stipulated that there is some level of collaboration; however, not under the umbrella of the One Health approach. Some reasons for silos' functioning were identified as workload and immaturity of the sector. </w:t>
      </w:r>
    </w:p>
    <w:p w14:paraId="35009CC2" w14:textId="77777777" w:rsidR="002F5454" w:rsidRPr="002F5454" w:rsidRDefault="002F5454" w:rsidP="002F5454">
      <w:pPr>
        <w:ind w:left="360"/>
        <w:jc w:val="both"/>
        <w:rPr>
          <w:rFonts w:ascii="Times New Roman" w:eastAsia="Times New Roman" w:hAnsi="Times New Roman" w:cs="Times New Roman"/>
          <w:sz w:val="24"/>
          <w:szCs w:val="24"/>
        </w:rPr>
      </w:pPr>
    </w:p>
    <w:p w14:paraId="738A8A9A" w14:textId="77777777" w:rsidR="002F5454" w:rsidRPr="002F5454" w:rsidRDefault="002F5454" w:rsidP="002F5454">
      <w:pPr>
        <w:jc w:val="both"/>
        <w:rPr>
          <w:rFonts w:ascii="Times New Roman" w:hAnsi="Times New Roman" w:cs="Times New Roman"/>
          <w:sz w:val="24"/>
          <w:szCs w:val="24"/>
        </w:rPr>
      </w:pPr>
      <w:r w:rsidRPr="002F5454">
        <w:rPr>
          <w:rFonts w:ascii="Times New Roman" w:hAnsi="Times New Roman" w:cs="Times New Roman"/>
          <w:sz w:val="24"/>
          <w:szCs w:val="24"/>
        </w:rPr>
        <w:t>“</w:t>
      </w:r>
      <w:r w:rsidRPr="002F5454">
        <w:rPr>
          <w:rFonts w:ascii="Times New Roman" w:hAnsi="Times New Roman" w:cs="Times New Roman"/>
          <w:i/>
          <w:sz w:val="24"/>
          <w:szCs w:val="24"/>
        </w:rPr>
        <w:t>We work based on national priorities that already exist</w:t>
      </w:r>
      <w:r w:rsidRPr="002F5454">
        <w:rPr>
          <w:rFonts w:ascii="Times New Roman" w:hAnsi="Times New Roman" w:cs="Times New Roman"/>
          <w:sz w:val="24"/>
          <w:szCs w:val="24"/>
        </w:rPr>
        <w:t xml:space="preserve">” </w:t>
      </w:r>
      <w:r w:rsidRPr="002F5454">
        <w:rPr>
          <w:rFonts w:ascii="Times New Roman" w:hAnsi="Times New Roman" w:cs="Times New Roman"/>
          <w:b/>
          <w:i/>
          <w:sz w:val="24"/>
          <w:szCs w:val="24"/>
        </w:rPr>
        <w:t>Director of Health</w:t>
      </w:r>
      <w:r w:rsidRPr="002F5454">
        <w:rPr>
          <w:rFonts w:ascii="Times New Roman" w:hAnsi="Times New Roman" w:cs="Times New Roman"/>
          <w:sz w:val="24"/>
          <w:szCs w:val="24"/>
        </w:rPr>
        <w:t xml:space="preserve"> </w:t>
      </w:r>
    </w:p>
    <w:p w14:paraId="24F424C4" w14:textId="77777777" w:rsidR="002F5454" w:rsidRPr="002F5454" w:rsidRDefault="002F5454" w:rsidP="002F5454">
      <w:pPr>
        <w:ind w:left="360"/>
        <w:jc w:val="both"/>
        <w:rPr>
          <w:rFonts w:ascii="Times New Roman" w:eastAsia="Times New Roman" w:hAnsi="Times New Roman" w:cs="Times New Roman"/>
          <w:sz w:val="24"/>
          <w:szCs w:val="24"/>
        </w:rPr>
      </w:pPr>
    </w:p>
    <w:p w14:paraId="45333F8E" w14:textId="77777777" w:rsidR="002F5454" w:rsidRPr="002F5454" w:rsidRDefault="002F5454" w:rsidP="002F5454">
      <w:pPr>
        <w:jc w:val="both"/>
        <w:rPr>
          <w:rFonts w:ascii="Times New Roman" w:hAnsi="Times New Roman" w:cs="Times New Roman"/>
          <w:b/>
          <w:i/>
          <w:sz w:val="24"/>
          <w:szCs w:val="24"/>
        </w:rPr>
      </w:pPr>
      <w:r w:rsidRPr="002F5454">
        <w:rPr>
          <w:rFonts w:ascii="Times New Roman" w:hAnsi="Times New Roman" w:cs="Times New Roman"/>
          <w:i/>
          <w:sz w:val="24"/>
          <w:szCs w:val="24"/>
        </w:rPr>
        <w:t xml:space="preserve">“Thank you. The first hindrance, or I’m not sure whether to call it a hindrance (hmmm), is that there are no formal guidelines that define how the sectors should collaborate (hmm). Yes. That is one point: the absence of guiding policies. The second point is insufficient awareness among staff. Each person tends to think only about their own sector and feels their responsibility must be carried out independently. Yes. Lack of awareness about how the sectors could work together for greater impact is another issue. People did not yet understand that although each sector has its own responsibilities, collaboration between them would produce better results.….” </w:t>
      </w:r>
      <w:r w:rsidRPr="002F5454">
        <w:rPr>
          <w:rFonts w:ascii="Times New Roman" w:hAnsi="Times New Roman" w:cs="Times New Roman"/>
          <w:b/>
          <w:i/>
          <w:sz w:val="24"/>
          <w:szCs w:val="24"/>
        </w:rPr>
        <w:t>Health Promotion and Disease Prevention Officer</w:t>
      </w:r>
    </w:p>
    <w:p w14:paraId="5A1A07F2" w14:textId="77777777" w:rsidR="002F5454" w:rsidRPr="002F5454" w:rsidRDefault="002F5454" w:rsidP="002F5454">
      <w:pPr>
        <w:ind w:left="360"/>
        <w:jc w:val="both"/>
        <w:rPr>
          <w:rFonts w:ascii="Times New Roman" w:hAnsi="Times New Roman" w:cs="Times New Roman"/>
          <w:b/>
          <w:i/>
          <w:sz w:val="24"/>
          <w:szCs w:val="24"/>
        </w:rPr>
      </w:pPr>
    </w:p>
    <w:p w14:paraId="33AFB531" w14:textId="77777777" w:rsidR="002F5454" w:rsidRPr="002F5454" w:rsidRDefault="002F5454" w:rsidP="002F5454">
      <w:pPr>
        <w:jc w:val="both"/>
        <w:rPr>
          <w:rFonts w:ascii="Times New Roman" w:hAnsi="Times New Roman" w:cs="Times New Roman"/>
          <w:b/>
          <w:i/>
          <w:sz w:val="24"/>
          <w:szCs w:val="24"/>
        </w:rPr>
      </w:pPr>
      <w:r w:rsidRPr="002F5454">
        <w:rPr>
          <w:rFonts w:ascii="Times New Roman" w:hAnsi="Times New Roman" w:cs="Times New Roman"/>
          <w:i/>
          <w:sz w:val="24"/>
          <w:szCs w:val="24"/>
        </w:rPr>
        <w:t xml:space="preserve">“What they add is the ability to address the challenges we talked about, ensuring that the citizen has good health through the awareness during those multi-sectoral meetings, different meetings, or in various trainings. Here at the district, we have a health unit, and those working in this unit play a role in training people in health-related matters. We also have an agriculture unit, which includes veterinarians, and these veterinarians conduct meetings with livestock officers. So that’s another complementarity you mentioned earlier. You find collaboration where the environmental or forestry officers also intervene, and we collectively address issues related to environmental protection. So, the impact is that these activities continue to raise awareness among many community members, who then implement the recommendations. For example, a resident is advised: “Your cow needs to be treated at this time; if you notice it isn’t grazing well, consult a veterinarian so that it remains healthy and doesn’t die. It is done by highlighting that the cow is valuable as it provides milk and money., and with money you can send the children to school and the children get healthy…” It provides a positive impact when community awareness is raised.” </w:t>
      </w:r>
      <w:r w:rsidRPr="002F5454">
        <w:rPr>
          <w:rFonts w:ascii="Times New Roman" w:hAnsi="Times New Roman" w:cs="Times New Roman"/>
          <w:b/>
          <w:i/>
          <w:sz w:val="24"/>
          <w:szCs w:val="24"/>
        </w:rPr>
        <w:t>Environmental Health Officer (IDI)</w:t>
      </w:r>
    </w:p>
    <w:p w14:paraId="76C6F050" w14:textId="77777777" w:rsidR="002F5454" w:rsidRPr="002F5454" w:rsidRDefault="002F5454" w:rsidP="002F5454">
      <w:pPr>
        <w:jc w:val="both"/>
        <w:rPr>
          <w:rFonts w:ascii="Times New Roman" w:hAnsi="Times New Roman" w:cs="Times New Roman"/>
          <w:b/>
          <w:i/>
          <w:sz w:val="24"/>
          <w:szCs w:val="24"/>
        </w:rPr>
      </w:pPr>
      <w:r w:rsidRPr="002F5454">
        <w:rPr>
          <w:rFonts w:ascii="Times New Roman" w:hAnsi="Times New Roman" w:cs="Times New Roman"/>
          <w:i/>
          <w:sz w:val="24"/>
          <w:szCs w:val="24"/>
        </w:rPr>
        <w:t xml:space="preserve">“For disease prevention and outbreaks, when I look at how our structures are built, at the higher levels I would say that things are well organized. But at the lower levels, starting at the district, the structure is weak. At the national level, there is a well-established task force that includes everyone: health, environment, agriculture, and different ministries. When they anticipate issues like flooding, they work together. These structures exist at upper levels, but as you go downwards, their strength fades.” </w:t>
      </w:r>
      <w:r w:rsidRPr="002F5454">
        <w:rPr>
          <w:rFonts w:ascii="Times New Roman" w:hAnsi="Times New Roman" w:cs="Times New Roman"/>
          <w:b/>
          <w:i/>
          <w:sz w:val="24"/>
          <w:szCs w:val="24"/>
        </w:rPr>
        <w:t>Health Promotion and Disease Prevention Officer (IDI)</w:t>
      </w:r>
      <w:r w:rsidRPr="002F5454">
        <w:rPr>
          <w:rFonts w:ascii="Times New Roman" w:hAnsi="Times New Roman" w:cs="Times New Roman"/>
          <w:i/>
          <w:sz w:val="24"/>
          <w:szCs w:val="24"/>
        </w:rPr>
        <w:t xml:space="preserve"> </w:t>
      </w:r>
    </w:p>
    <w:p w14:paraId="48FE3342" w14:textId="77777777" w:rsidR="002F5454" w:rsidRPr="002F5454" w:rsidRDefault="002F5454" w:rsidP="002F5454">
      <w:pPr>
        <w:rPr>
          <w:rFonts w:ascii="Times New Roman" w:hAnsi="Times New Roman" w:cs="Times New Roman"/>
          <w:b/>
          <w:sz w:val="24"/>
          <w:szCs w:val="24"/>
        </w:rPr>
      </w:pPr>
    </w:p>
    <w:p w14:paraId="5B01511A" w14:textId="77777777" w:rsidR="002F5454" w:rsidRPr="002F5454" w:rsidRDefault="002F5454" w:rsidP="002F5454">
      <w:pPr>
        <w:rPr>
          <w:rFonts w:ascii="Times New Roman" w:hAnsi="Times New Roman" w:cs="Times New Roman"/>
          <w:b/>
          <w:sz w:val="24"/>
          <w:szCs w:val="24"/>
          <w:u w:val="single"/>
        </w:rPr>
      </w:pPr>
      <w:r w:rsidRPr="002F5454">
        <w:rPr>
          <w:rFonts w:ascii="Times New Roman" w:hAnsi="Times New Roman" w:cs="Times New Roman"/>
          <w:b/>
          <w:sz w:val="24"/>
          <w:szCs w:val="24"/>
          <w:u w:val="single"/>
        </w:rPr>
        <w:t>Data convergent points</w:t>
      </w:r>
    </w:p>
    <w:p w14:paraId="5C914263" w14:textId="77777777" w:rsidR="002F5454" w:rsidRPr="002F5454" w:rsidRDefault="002F5454" w:rsidP="002F5454">
      <w:pPr>
        <w:rPr>
          <w:rFonts w:ascii="Times New Roman" w:eastAsia="Times New Roman" w:hAnsi="Times New Roman" w:cs="Times New Roman"/>
          <w:b/>
          <w:bCs/>
          <w:sz w:val="24"/>
          <w:szCs w:val="24"/>
        </w:rPr>
      </w:pPr>
    </w:p>
    <w:p w14:paraId="4BACB80A"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We identified key data convergent points between the IDIs and FGDs to include access to services, economic and livelihood constraints, coordination and collaboration gaps, communication of health information, shared and collective norms, as well as practices. Table 1 summarizes these findings.</w:t>
      </w:r>
    </w:p>
    <w:p w14:paraId="3C1D3CF0" w14:textId="77777777" w:rsidR="002F5454" w:rsidRPr="002F5454" w:rsidRDefault="002F5454" w:rsidP="002F5454">
      <w:pPr>
        <w:rPr>
          <w:rFonts w:ascii="Times New Roman" w:eastAsia="Times New Roman" w:hAnsi="Times New Roman" w:cs="Times New Roman"/>
          <w:b/>
          <w:bCs/>
          <w:sz w:val="24"/>
          <w:szCs w:val="24"/>
        </w:rPr>
      </w:pPr>
    </w:p>
    <w:p w14:paraId="48B78CD8" w14:textId="77777777" w:rsidR="002F5454" w:rsidRPr="002F5454" w:rsidRDefault="002F5454" w:rsidP="002F5454">
      <w:pPr>
        <w:rPr>
          <w:rFonts w:ascii="Times New Roman" w:eastAsia="Times New Roman" w:hAnsi="Times New Roman" w:cs="Times New Roman"/>
          <w:b/>
          <w:bCs/>
          <w:sz w:val="24"/>
          <w:szCs w:val="24"/>
        </w:rPr>
      </w:pPr>
      <w:r w:rsidRPr="002F5454">
        <w:rPr>
          <w:rFonts w:ascii="Times New Roman" w:eastAsia="Times New Roman" w:hAnsi="Times New Roman" w:cs="Times New Roman"/>
          <w:b/>
          <w:bCs/>
          <w:sz w:val="24"/>
          <w:szCs w:val="24"/>
        </w:rPr>
        <w:t xml:space="preserve">Table 1: Joint display points  </w:t>
      </w:r>
    </w:p>
    <w:tbl>
      <w:tblPr>
        <w:tblStyle w:val="TableGrid"/>
        <w:tblW w:w="0" w:type="auto"/>
        <w:tblLook w:val="04A0" w:firstRow="1" w:lastRow="0" w:firstColumn="1" w:lastColumn="0" w:noHBand="0" w:noVBand="1"/>
      </w:tblPr>
      <w:tblGrid>
        <w:gridCol w:w="2254"/>
        <w:gridCol w:w="2255"/>
        <w:gridCol w:w="2255"/>
        <w:gridCol w:w="2255"/>
      </w:tblGrid>
      <w:tr w:rsidR="002F5454" w:rsidRPr="002F5454" w14:paraId="722304B1" w14:textId="77777777" w:rsidTr="004F2225">
        <w:tc>
          <w:tcPr>
            <w:tcW w:w="2254" w:type="dxa"/>
          </w:tcPr>
          <w:p w14:paraId="44A30326" w14:textId="77777777" w:rsidR="002F5454" w:rsidRPr="002F5454" w:rsidRDefault="002F5454" w:rsidP="004F2225">
            <w:pPr>
              <w:rPr>
                <w:rFonts w:ascii="Times New Roman" w:eastAsia="Times New Roman" w:hAnsi="Times New Roman" w:cs="Times New Roman"/>
                <w:b/>
                <w:bCs/>
                <w:sz w:val="24"/>
                <w:szCs w:val="24"/>
              </w:rPr>
            </w:pPr>
            <w:r w:rsidRPr="002F5454">
              <w:rPr>
                <w:rFonts w:ascii="Times New Roman" w:eastAsia="Times New Roman" w:hAnsi="Times New Roman" w:cs="Times New Roman"/>
                <w:b/>
                <w:bCs/>
                <w:sz w:val="24"/>
                <w:szCs w:val="24"/>
              </w:rPr>
              <w:t xml:space="preserve">Themes </w:t>
            </w:r>
          </w:p>
        </w:tc>
        <w:tc>
          <w:tcPr>
            <w:tcW w:w="2255" w:type="dxa"/>
          </w:tcPr>
          <w:p w14:paraId="3CBCA9FD" w14:textId="77777777" w:rsidR="002F5454" w:rsidRPr="002F5454" w:rsidRDefault="002F5454" w:rsidP="004F2225">
            <w:pPr>
              <w:rPr>
                <w:rFonts w:ascii="Times New Roman" w:eastAsia="Times New Roman" w:hAnsi="Times New Roman" w:cs="Times New Roman"/>
                <w:b/>
                <w:bCs/>
                <w:sz w:val="24"/>
                <w:szCs w:val="24"/>
              </w:rPr>
            </w:pPr>
            <w:r w:rsidRPr="002F5454">
              <w:rPr>
                <w:rFonts w:ascii="Times New Roman" w:eastAsia="Times New Roman" w:hAnsi="Times New Roman" w:cs="Times New Roman"/>
                <w:b/>
                <w:bCs/>
                <w:sz w:val="24"/>
                <w:szCs w:val="24"/>
              </w:rPr>
              <w:t>IDIs Findings</w:t>
            </w:r>
          </w:p>
        </w:tc>
        <w:tc>
          <w:tcPr>
            <w:tcW w:w="2255" w:type="dxa"/>
          </w:tcPr>
          <w:p w14:paraId="2CD218F1" w14:textId="77777777" w:rsidR="002F5454" w:rsidRPr="002F5454" w:rsidRDefault="002F5454" w:rsidP="004F2225">
            <w:pPr>
              <w:rPr>
                <w:rFonts w:ascii="Times New Roman" w:eastAsia="Times New Roman" w:hAnsi="Times New Roman" w:cs="Times New Roman"/>
                <w:b/>
                <w:bCs/>
                <w:sz w:val="24"/>
                <w:szCs w:val="24"/>
              </w:rPr>
            </w:pPr>
            <w:r w:rsidRPr="002F5454">
              <w:rPr>
                <w:rFonts w:ascii="Times New Roman" w:eastAsia="Times New Roman" w:hAnsi="Times New Roman" w:cs="Times New Roman"/>
                <w:b/>
                <w:bCs/>
                <w:sz w:val="24"/>
                <w:szCs w:val="24"/>
              </w:rPr>
              <w:t>FGDs Findings</w:t>
            </w:r>
          </w:p>
        </w:tc>
        <w:tc>
          <w:tcPr>
            <w:tcW w:w="2255" w:type="dxa"/>
          </w:tcPr>
          <w:p w14:paraId="13139AB6" w14:textId="77777777" w:rsidR="002F5454" w:rsidRPr="002F5454" w:rsidRDefault="002F5454" w:rsidP="004F2225">
            <w:pPr>
              <w:rPr>
                <w:rFonts w:ascii="Times New Roman" w:eastAsia="Times New Roman" w:hAnsi="Times New Roman" w:cs="Times New Roman"/>
                <w:b/>
                <w:bCs/>
                <w:sz w:val="24"/>
                <w:szCs w:val="24"/>
              </w:rPr>
            </w:pPr>
            <w:r w:rsidRPr="002F5454">
              <w:rPr>
                <w:rFonts w:ascii="Times New Roman" w:eastAsia="Times New Roman" w:hAnsi="Times New Roman" w:cs="Times New Roman"/>
                <w:b/>
                <w:bCs/>
                <w:sz w:val="24"/>
                <w:szCs w:val="24"/>
              </w:rPr>
              <w:t>Integration interpretation</w:t>
            </w:r>
          </w:p>
        </w:tc>
      </w:tr>
      <w:tr w:rsidR="002F5454" w:rsidRPr="002F5454" w14:paraId="27218EA9" w14:textId="77777777" w:rsidTr="004F2225">
        <w:tc>
          <w:tcPr>
            <w:tcW w:w="2254" w:type="dxa"/>
          </w:tcPr>
          <w:p w14:paraId="4477EC91"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Access to services </w:t>
            </w:r>
          </w:p>
        </w:tc>
        <w:tc>
          <w:tcPr>
            <w:tcW w:w="2255" w:type="dxa"/>
          </w:tcPr>
          <w:p w14:paraId="47BB50AA"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Insurance cards are available, but not all </w:t>
            </w:r>
            <w:r w:rsidRPr="002F5454">
              <w:rPr>
                <w:rFonts w:ascii="Times New Roman" w:eastAsia="Times New Roman" w:hAnsi="Times New Roman" w:cs="Times New Roman"/>
                <w:sz w:val="24"/>
                <w:szCs w:val="24"/>
              </w:rPr>
              <w:lastRenderedPageBreak/>
              <w:t>have them, including foreigners, and dissatisfaction with the services provided.</w:t>
            </w:r>
          </w:p>
        </w:tc>
        <w:tc>
          <w:tcPr>
            <w:tcW w:w="2255" w:type="dxa"/>
          </w:tcPr>
          <w:p w14:paraId="7812695D"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lastRenderedPageBreak/>
              <w:t xml:space="preserve">Health insurance covers most </w:t>
            </w:r>
            <w:r w:rsidRPr="002F5454">
              <w:rPr>
                <w:rFonts w:ascii="Times New Roman" w:eastAsia="Times New Roman" w:hAnsi="Times New Roman" w:cs="Times New Roman"/>
                <w:sz w:val="24"/>
                <w:szCs w:val="24"/>
              </w:rPr>
              <w:lastRenderedPageBreak/>
              <w:t>services, but other factors, such as distance to some health facilities.</w:t>
            </w:r>
          </w:p>
        </w:tc>
        <w:tc>
          <w:tcPr>
            <w:tcW w:w="2255" w:type="dxa"/>
          </w:tcPr>
          <w:p w14:paraId="75610C4B"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lastRenderedPageBreak/>
              <w:t xml:space="preserve">In both strategies, participants agreed </w:t>
            </w:r>
            <w:r w:rsidRPr="002F5454">
              <w:rPr>
                <w:rFonts w:ascii="Times New Roman" w:eastAsia="Times New Roman" w:hAnsi="Times New Roman" w:cs="Times New Roman"/>
                <w:sz w:val="24"/>
                <w:szCs w:val="24"/>
              </w:rPr>
              <w:lastRenderedPageBreak/>
              <w:t>that the government has made efforts to increase access to services, including health insurance, but the demand and supply factors  impact access</w:t>
            </w:r>
          </w:p>
        </w:tc>
      </w:tr>
      <w:tr w:rsidR="002F5454" w:rsidRPr="002F5454" w14:paraId="106CAD50" w14:textId="77777777" w:rsidTr="004F2225">
        <w:tc>
          <w:tcPr>
            <w:tcW w:w="2254" w:type="dxa"/>
          </w:tcPr>
          <w:p w14:paraId="4D6AB526"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lastRenderedPageBreak/>
              <w:t>Economic and Livelihood Constraints</w:t>
            </w:r>
          </w:p>
        </w:tc>
        <w:tc>
          <w:tcPr>
            <w:tcW w:w="2255" w:type="dxa"/>
          </w:tcPr>
          <w:p w14:paraId="11B43EC9"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Personal financial issues</w:t>
            </w:r>
          </w:p>
        </w:tc>
        <w:tc>
          <w:tcPr>
            <w:tcW w:w="2255" w:type="dxa"/>
          </w:tcPr>
          <w:p w14:paraId="4AD95F8A"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Communal level survival norms</w:t>
            </w:r>
          </w:p>
        </w:tc>
        <w:tc>
          <w:tcPr>
            <w:tcW w:w="2255" w:type="dxa"/>
          </w:tcPr>
          <w:p w14:paraId="103305A8"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Seeking means to survive counteract health interventions  at  both the individual and structural levels</w:t>
            </w:r>
          </w:p>
        </w:tc>
      </w:tr>
      <w:tr w:rsidR="002F5454" w:rsidRPr="002F5454" w14:paraId="36551F99" w14:textId="77777777" w:rsidTr="004F2225">
        <w:tc>
          <w:tcPr>
            <w:tcW w:w="2254" w:type="dxa"/>
          </w:tcPr>
          <w:p w14:paraId="3441A124"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Coordination and collaboration gaps</w:t>
            </w:r>
          </w:p>
        </w:tc>
        <w:tc>
          <w:tcPr>
            <w:tcW w:w="2255" w:type="dxa"/>
          </w:tcPr>
          <w:p w14:paraId="54CFBC11"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Personal financial issues</w:t>
            </w:r>
          </w:p>
        </w:tc>
        <w:tc>
          <w:tcPr>
            <w:tcW w:w="2255" w:type="dxa"/>
          </w:tcPr>
          <w:p w14:paraId="406EB7C9"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Sectors and policies exist, but no joint action or collaboration exists</w:t>
            </w:r>
          </w:p>
        </w:tc>
        <w:tc>
          <w:tcPr>
            <w:tcW w:w="2255" w:type="dxa"/>
          </w:tcPr>
          <w:p w14:paraId="728D6B2A"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The one health approach exists in Rwanda, but its practicality in real life is not yet holistic</w:t>
            </w:r>
          </w:p>
        </w:tc>
      </w:tr>
      <w:tr w:rsidR="002F5454" w:rsidRPr="002F5454" w14:paraId="6F79897B" w14:textId="77777777" w:rsidTr="004F2225">
        <w:tc>
          <w:tcPr>
            <w:tcW w:w="2254" w:type="dxa"/>
          </w:tcPr>
          <w:p w14:paraId="7AA9F570"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Shared and collective norms</w:t>
            </w:r>
          </w:p>
        </w:tc>
        <w:tc>
          <w:tcPr>
            <w:tcW w:w="2255" w:type="dxa"/>
          </w:tcPr>
          <w:p w14:paraId="6539C71E"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Personal beliefs and fear</w:t>
            </w:r>
          </w:p>
        </w:tc>
        <w:tc>
          <w:tcPr>
            <w:tcW w:w="2255" w:type="dxa"/>
          </w:tcPr>
          <w:p w14:paraId="7498A66F"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Communal ways of viewing health interventions</w:t>
            </w:r>
          </w:p>
        </w:tc>
        <w:tc>
          <w:tcPr>
            <w:tcW w:w="2255" w:type="dxa"/>
          </w:tcPr>
          <w:p w14:paraId="1F35D6AE"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Community members' individual and collective beliefs, including rumors, affect the uptake of One Health interventions</w:t>
            </w:r>
          </w:p>
        </w:tc>
      </w:tr>
      <w:tr w:rsidR="002F5454" w:rsidRPr="002F5454" w14:paraId="4E16665C" w14:textId="77777777" w:rsidTr="004F2225">
        <w:tc>
          <w:tcPr>
            <w:tcW w:w="2254" w:type="dxa"/>
          </w:tcPr>
          <w:p w14:paraId="249C1D56"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Communication of Health Information</w:t>
            </w:r>
          </w:p>
        </w:tc>
        <w:tc>
          <w:tcPr>
            <w:tcW w:w="2255" w:type="dxa"/>
          </w:tcPr>
          <w:p w14:paraId="141E2437"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Acknowledged the presence of the act but suggested options for comprehensive community knowledge, understanding, and action</w:t>
            </w:r>
          </w:p>
        </w:tc>
        <w:tc>
          <w:tcPr>
            <w:tcW w:w="2255" w:type="dxa"/>
          </w:tcPr>
          <w:p w14:paraId="63601FC1" w14:textId="77777777" w:rsidR="002F5454" w:rsidRPr="002F5454" w:rsidRDefault="002F5454" w:rsidP="004F2225">
            <w:pPr>
              <w:rPr>
                <w:rFonts w:ascii="Times New Roman" w:eastAsia="Times New Roman" w:hAnsi="Times New Roman" w:cs="Times New Roman"/>
                <w:sz w:val="24"/>
                <w:szCs w:val="24"/>
                <w:highlight w:val="yellow"/>
              </w:rPr>
            </w:pPr>
            <w:r w:rsidRPr="002F5454">
              <w:rPr>
                <w:rFonts w:ascii="Times New Roman" w:eastAsia="Times New Roman" w:hAnsi="Times New Roman" w:cs="Times New Roman"/>
                <w:sz w:val="24"/>
                <w:szCs w:val="24"/>
              </w:rPr>
              <w:t>Indicates the gap in the process and suggest way forward</w:t>
            </w:r>
          </w:p>
        </w:tc>
        <w:tc>
          <w:tcPr>
            <w:tcW w:w="2255" w:type="dxa"/>
          </w:tcPr>
          <w:p w14:paraId="79AF1DC7" w14:textId="77777777" w:rsidR="002F5454" w:rsidRPr="002F5454" w:rsidRDefault="002F5454" w:rsidP="004F2225">
            <w:pPr>
              <w:rPr>
                <w:rFonts w:ascii="Times New Roman" w:eastAsia="Times New Roman" w:hAnsi="Times New Roman" w:cs="Times New Roman"/>
                <w:sz w:val="24"/>
                <w:szCs w:val="24"/>
                <w:highlight w:val="yellow"/>
              </w:rPr>
            </w:pPr>
            <w:r w:rsidRPr="002F5454">
              <w:rPr>
                <w:rFonts w:ascii="Times New Roman" w:eastAsia="Times New Roman" w:hAnsi="Times New Roman" w:cs="Times New Roman"/>
                <w:sz w:val="24"/>
                <w:szCs w:val="24"/>
              </w:rPr>
              <w:t>Health information and communication  in terms of One Health is available, but must be augmented to impact health at the core</w:t>
            </w:r>
          </w:p>
        </w:tc>
      </w:tr>
      <w:tr w:rsidR="002F5454" w:rsidRPr="002F5454" w14:paraId="047DD304" w14:textId="77777777" w:rsidTr="004F2225">
        <w:tc>
          <w:tcPr>
            <w:tcW w:w="2254" w:type="dxa"/>
          </w:tcPr>
          <w:p w14:paraId="4C61B60E"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Practices </w:t>
            </w:r>
          </w:p>
        </w:tc>
        <w:tc>
          <w:tcPr>
            <w:tcW w:w="2255" w:type="dxa"/>
          </w:tcPr>
          <w:p w14:paraId="5B9220BC"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Limited resources and dying out of pandemics</w:t>
            </w:r>
          </w:p>
        </w:tc>
        <w:tc>
          <w:tcPr>
            <w:tcW w:w="2255" w:type="dxa"/>
          </w:tcPr>
          <w:p w14:paraId="0FFEAA7C"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Lack of interest from community members</w:t>
            </w:r>
          </w:p>
        </w:tc>
        <w:tc>
          <w:tcPr>
            <w:tcW w:w="2255" w:type="dxa"/>
          </w:tcPr>
          <w:p w14:paraId="37DF16E3" w14:textId="77777777" w:rsidR="002F5454" w:rsidRPr="002F5454" w:rsidRDefault="002F5454" w:rsidP="004F2225">
            <w:pPr>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Community members do not continuously act according to recommendations once sessions elapse. </w:t>
            </w:r>
          </w:p>
        </w:tc>
      </w:tr>
    </w:tbl>
    <w:p w14:paraId="6A14FE0B" w14:textId="77777777" w:rsidR="002F5454" w:rsidRPr="002F5454" w:rsidRDefault="002F5454" w:rsidP="002F5454">
      <w:pPr>
        <w:rPr>
          <w:rFonts w:ascii="Times New Roman" w:eastAsia="Times New Roman" w:hAnsi="Times New Roman" w:cs="Times New Roman"/>
          <w:sz w:val="24"/>
          <w:szCs w:val="24"/>
        </w:rPr>
      </w:pPr>
    </w:p>
    <w:p w14:paraId="4262D1AD" w14:textId="77777777" w:rsidR="002F5454" w:rsidRPr="002F5454" w:rsidRDefault="002F5454" w:rsidP="002F5454">
      <w:pPr>
        <w:rPr>
          <w:rFonts w:ascii="Times New Roman" w:eastAsia="Times New Roman" w:hAnsi="Times New Roman" w:cs="Times New Roman"/>
          <w:sz w:val="24"/>
          <w:szCs w:val="24"/>
        </w:rPr>
      </w:pPr>
    </w:p>
    <w:p w14:paraId="4417C37D" w14:textId="77777777" w:rsidR="002F5454" w:rsidRPr="002F5454" w:rsidRDefault="002F5454" w:rsidP="002F5454">
      <w:pPr>
        <w:rPr>
          <w:rFonts w:ascii="Times New Roman" w:hAnsi="Times New Roman" w:cs="Times New Roman"/>
          <w:b/>
          <w:sz w:val="28"/>
          <w:szCs w:val="28"/>
        </w:rPr>
      </w:pPr>
      <w:r w:rsidRPr="002F5454">
        <w:rPr>
          <w:rFonts w:ascii="Times New Roman" w:hAnsi="Times New Roman" w:cs="Times New Roman"/>
          <w:b/>
          <w:sz w:val="28"/>
          <w:szCs w:val="28"/>
        </w:rPr>
        <w:t>Discussion</w:t>
      </w:r>
    </w:p>
    <w:p w14:paraId="5EB35D90" w14:textId="77777777" w:rsidR="002F5454" w:rsidRPr="002F5454" w:rsidRDefault="002F5454" w:rsidP="002F5454">
      <w:pPr>
        <w:rPr>
          <w:rFonts w:ascii="Times New Roman" w:eastAsia="Times New Roman" w:hAnsi="Times New Roman" w:cs="Times New Roman"/>
          <w:sz w:val="24"/>
          <w:szCs w:val="24"/>
        </w:rPr>
      </w:pPr>
    </w:p>
    <w:p w14:paraId="22193E46" w14:textId="77777777"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The findings from our study produce valuable programmatic facts for policymakers and One Health actors in Rwanda and similar contexts. Our findings from the conducted FGDs and IDIs suggest that structural and behavioral factors, including coordination gaps, access to services, </w:t>
      </w:r>
      <w:r w:rsidRPr="002F5454">
        <w:rPr>
          <w:rFonts w:ascii="Times New Roman" w:eastAsia="Times New Roman" w:hAnsi="Times New Roman" w:cs="Times New Roman"/>
          <w:sz w:val="24"/>
          <w:szCs w:val="24"/>
        </w:rPr>
        <w:lastRenderedPageBreak/>
        <w:t>economic constraints, as well as rumors and misinformation, have enabled an understanding of the barriers and facilitators to the One Health approach in Rwanda. </w:t>
      </w:r>
    </w:p>
    <w:p w14:paraId="3D76B88E" w14:textId="77777777" w:rsidR="002F5454" w:rsidRPr="002F5454" w:rsidRDefault="002F5454" w:rsidP="002F5454">
      <w:pPr>
        <w:jc w:val="both"/>
        <w:rPr>
          <w:rFonts w:ascii="Times New Roman" w:eastAsia="Times New Roman" w:hAnsi="Times New Roman" w:cs="Times New Roman"/>
          <w:sz w:val="24"/>
          <w:szCs w:val="24"/>
        </w:rPr>
      </w:pPr>
    </w:p>
    <w:p w14:paraId="0E92F11C" w14:textId="38C32556"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Our results demonstrated a siloed functioning of the One Health sectors. This aligns with a prior study, which highlighted that the operationalization of One Health has been widely seen as a theoretical concept hindered by structural drivers' dysfunctions, including competition for resources and vertical systems, that maintain the status quo. </w:t>
      </w:r>
      <w:r w:rsidRPr="002F5454">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{"citationID":"KctETRnn","properties":{"formattedCitation":"(21)","plainCitation":"(21)","noteIndex":0},"citationItems":[{"id":12676,"uris":["http://zotero.org/users/12416167/items/CW5792N2"],"itemData":{"id":12676,"type":"article-journal","abstract":"While there has been wide-ranging commitment to the One Health approach, its operationalisation has so far proven challenging. One Health calls upon the human, animal and environmental health sectors to cross professional, disciplinary and institutional boundaries, and to work in a more integrated fashion. At the global level, this paper argues that this vision is hindered by dysfunctions characterising current forms of global health governance (GHG), namely institutional proliferation, fragmentation, competition for scarce resources, lack of an overarching authority, and donor-driven vertical programmes. This has contributed, in part, to shortcomings in how One Health has been articulated to date. An agreed operational definition of One Health among key global institutions, efforts to build One Health institutions from the ground up, comparative case studies of what works or does not work institutionally, and high-level global support for research, training and career opportunities would all help to enable One Health to help remedy, and not be subsumed by, existing dysfunctions in GHG.","container-title":"Health Policy and Planning","DOI":"10.1093/heapol/czs127","ISSN":"1460-2237","issue":"7","journalAbbreviation":"Health Policy Plan","language":"eng","page":"778-785","PMID":"23221123","source":"PubMed","title":"Operationalizing the One Health approach: the global governance challenges","title-short":"Operationalizing the One Health approach","volume":"28","author":[{"family":"Lee","given":"Kelley"},{"family":"Brumme","given":"Zabrina L."}],"issued":{"date-parts":[["2013",10]]}}}],"schema":"https://github.com/citation-style-language/schema/raw/master/csl-citation.json"} </w:instrText>
      </w:r>
      <w:r w:rsidRPr="002F5454">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(21)</w:t>
      </w:r>
      <w:r w:rsidRPr="002F5454">
        <w:rPr>
          <w:rFonts w:ascii="Times New Roman" w:eastAsia="Times New Roman" w:hAnsi="Times New Roman" w:cs="Times New Roman"/>
          <w:sz w:val="24"/>
          <w:szCs w:val="24"/>
        </w:rPr>
        <w:fldChar w:fldCharType="end"/>
      </w:r>
      <w:r w:rsidRPr="002F5454">
        <w:rPr>
          <w:rFonts w:ascii="Times New Roman" w:eastAsia="Times New Roman" w:hAnsi="Times New Roman" w:cs="Times New Roman"/>
          <w:sz w:val="24"/>
          <w:szCs w:val="24"/>
        </w:rPr>
        <w:t xml:space="preserve"> These realities explained the findings in our study, coupled with existing administrative settings that are simpler than genuine engagement of the human, animal, and environmental health sectors to cross existing bottlenecks and work in an integrated fashion. One Health data surveillance policies are operationalized, emphasizing the need to create frameworks and health systems that allow organizational collaboration for effective governance and operation. </w:t>
      </w:r>
      <w:r w:rsidRPr="002F5454">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{"citationID":"VMVMuBXI","properties":{"formattedCitation":"(22,23)","plainCitation":"(22,23)","noteIndex":0},"citationItems":[{"id":12678,"uris":["http://zotero.org/users/12416167/items/H3LS7RBP"],"itemData":{"id":12678,"type":"article-journal","abstract":"The concept of One Health (OH) promotes the decompartmentalisation of human, animal, and ecosystem health for the more efficient and sustainable governance of complex health issues. This means that traditional boundaries between disciplines and sectors must be transgressed and that all relevant stakeholders must be involved in the definition and management of health problems. International efforts have been made to strengthen collaboration across sectors and disciplines and OH surveillance is strongly encouraged at global, national and local-level to efficiently manage hazards involving humans, animals and ecosystems. This concept is intuitively appealing and would suggest the enhanced performance and cost-effectiveness of surveillance systems, as compared to more conventional approaches. Nevertheless, confusion and uncertainty regarding the practical application, outcomes and impacts prevail. We believe that this is due to the lack of a conceptual and methodological framework which would (i) define the characteristics of OH surveillance, and (ii) identify the appropriate mechanisms for inter-sectoral and multi-disciplinary collaboration, to ensure that the surveillance system performs well, with regard to the objective, the context and the health hazard under surveillance. The objective of the study is to define the organisational and functional characteristics of OH surveillance systems, the context in which they are implemented, as well as the influential factors which may obstruct or support their implementation and performance. To achieve this, a systematic literature review of existing OH surveillance systems was conducted using the Prisma guidelines. The selected systems were assessed according to 38 predetermined variables. These allowed the characterisation of their objectives, organisation, functioning, performance and benefits. Data extraction was conducted using a spreadsheet and a database was built using an electronic multiple-choice questionnaire. The literature search identified a total of 1635 records. After the screening phase, 31 references were kept and 22 additional references retrieved from bibliographies were added. From these 53 selected documents, we retrieved 41 different surveillance systems in line with the definition proposed in this study. The analysis of this database enabled the identification of different dimensions and areas of collaboration. Barriers and levers for the implementation of OH surveillance systems were also identified and discussed. Based on our results, we propose a framework to characterise the organisation of collaboration for the governance and operation of an effective OH surveillance system.","container-title":"Preventive Veterinary Medicine","DOI":"10.1016/j.prevetmed.2018.10.005","ISSN":"1873-1716","journalAbbreviation":"Prev Vet Med","language":"eng","page":"104560","PMID":"30528937","source":"PubMed","title":"Characteristics of One Health surveillance systems: A systematic literature review","title-short":"Characteristics of One Health surveillance systems","volume":"181","author":[{"family":"Bordier","given":"Marion"},{"family":"Uea-Anuwong","given":"Theethawat"},{"family":"Binot","given":"Aurélie"},{"family":"Hendrikx","given":"Pascal"},{"family":"Goutard","given":"Flavie L."}],"issued":{"date-parts":[["2020",8]]}},"label":"page"},{"id":12666,"uris":["http://zotero.org/users/12416167/items/98CMKI7X"],"itemData":{"id":12666,"type":"article-journal","abstract":"Background\nIn zoonotic disease hotspots, engaging local communities in zoonotic disease monitoring and reporting is essential for effective prevention and early outbreak detection. In Rwanda, the Eastern Province has experienced nearly 90% of all zoonotic disease outbreaks. This qualitative study explored the participation of livestock farmers and community animal health workers (CAHWs) in One Health interventions aimed at controlling zoonotic disease outbreaks in Nyagatare district, Eastern Province, Rwanda.\n\nMethod\nAmong livestock farmers and CAHWs, we collected qualitative data through in-depth interviews and focused group discussions. We held key informant interviews with district-level officials, namely district veterinary, district health, and district environmental health officers, to validate the data from livestock farmers and CAHWs. The data were transcribed verbatim and verified by replaying the audio recordings. Content analysis was performed.\n\nResults\nFive major themes emerged as areas of participation: (i) capacity building focused on livestock management and livestock disease identification and prevention; (ii) community-level health education encompassing zoonotic disease risk communication and awareness raising; (iii) interruption of zoonotic disease transmission that comprised infection prevention and control, separation of sick and healthy livestock, quarantine, and zero grazing, adherence to guidelines, and the testing, treatment, spraying, and vaccination of livestock; (iv) collaboration with multiple sectors via training on zoonotic diseases, including its treatment, investigation, and prevention; and 5) zoonotic disease surveillance that included livestock monitoring and inspection for zoonotic diseases and the notification and reporting of zoonotic diseases to relevant authorities. The collaboration between the environmental health sector and the animal and human sectors was weak, while vaccination targeted mainly cattle but not small ruminants.\n\nConclusions\nLivestock farmers and CAHWs participate in several One Health interventions aimed at controlling zoonotic diseases, particularly in vaccination campaigns for cattle, community sensitization, and basic animal husbandry practices. However, collaboration between the environmental health sector and the animal and human sectors was weak, vaccination efforts largely excluded small ruminants, and some farmers relied on local herbs for treatment due to limited access to professional veterinary services. Efforts to sustain the major areas of participation are needed, while weaker areas need strengthening.\n\nSupplementary Information\nThe online version contains supplementary material available at 10.1186/s12879-026-12696-x.","container-title":"BMC Infectious Diseases","DOI":"10.1186/s12879-026-12696-x","ISSN":"1471-2334","journalAbbreviation":"BMC Infect Dis","page":"398","PMID":"41593522","PMCID":"PMC12918547","source":"PubMed Central","title":"Participation of livestock farmers and community animal health workers in one health intervention to control zoonotic diseases in Rwanda: a qualitative study","title-short":"Participation of livestock farmers and community animal health workers in one health intervention to control zoonotic diseases in Rwanda","volume":"26","author":[{"family":"Hugor","given":"Shema"},{"family":"Izudi","given":"Jonathan"},{"family":"Shyaka","given":"Anselme"}],"issued":{"date-parts":[["2026",1,27]]}},"label":"page"}],"schema":"https://github.com/citation-style-language/schema/raw/master/csl-citation.json"} </w:instrText>
      </w:r>
      <w:r w:rsidRPr="002F5454">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(22,23)</w:t>
      </w:r>
      <w:r w:rsidRPr="002F5454">
        <w:rPr>
          <w:rFonts w:ascii="Times New Roman" w:eastAsia="Times New Roman" w:hAnsi="Times New Roman" w:cs="Times New Roman"/>
          <w:sz w:val="24"/>
          <w:szCs w:val="24"/>
        </w:rPr>
        <w:fldChar w:fldCharType="end"/>
      </w:r>
    </w:p>
    <w:p w14:paraId="36388AA0" w14:textId="77777777" w:rsidR="002F5454" w:rsidRPr="002F5454" w:rsidRDefault="002F5454" w:rsidP="002F5454">
      <w:pPr>
        <w:jc w:val="both"/>
        <w:rPr>
          <w:rFonts w:ascii="Times New Roman" w:eastAsia="Times New Roman" w:hAnsi="Times New Roman" w:cs="Times New Roman"/>
          <w:sz w:val="24"/>
          <w:szCs w:val="24"/>
        </w:rPr>
      </w:pPr>
    </w:p>
    <w:p w14:paraId="322AF298" w14:textId="4F035F32" w:rsidR="002F5454" w:rsidRPr="002F5454" w:rsidRDefault="002F5454" w:rsidP="002F5454">
      <w:pPr>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Our evidence demonstrated the role rumors and cultural norms play in impacting behavior change and uptake of interventions. A systematic review on community engagement in One Health clearly highlights how ineffective and uncoordinated involvement of stakeholders continues to limit uptake. </w:t>
      </w:r>
      <w:r w:rsidRPr="002F5454">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{"citationID":"QfGVqt4M","properties":{"formattedCitation":"(24)","plainCitation":"(24)","noteIndex":0},"citationItems":[{"id":12680,"uris":["http://zotero.org/users/12416167/items/BP2PIBJY"],"itemData":{"id":12680,"type":"article-journal","abstract":"BACKGROUND: The one health (OH) approach, linking human, animal, and environmental health, relies on effective community engagement (CE), education, stewardship, and effective regional and global partnerships. For real impact, communities should be at the centre of research agenda setting and program implementation. This review aimed at synthesizing empirical evidence on how communities are involved in one health research. Specifically, the review aimed at documenting the extent of community involvement in one health research, as well as to identify the barriers and facilitators to effective community engagement in one health research in sub Saharan Africa.\nMETHODS: The study was a systematic review conducted using the 2020 Preferred Reporting Items for Systematic Reviews and Meta-Analysis (PRISMA) guidelines. Empirical peer-reviewed research articles on community engagement in one health research published from January 2000 to September 2023 in English or French were retrieved from seven databases: MEDLINE, EMBASE, CINAHL, Cochrane Library, WHO Afro Library, the National Institute for Health Research, and African Journals Online databases. The extracted data from the included studies were analysed using a thematic synthesis approach.\nRESULTS: The final review and synthesis included eight studies. The extent of CE in the one health research approach is quite limited. Two main best practices of CE in OH research were: 1) Awareness raising on OH research through social mobilization, rural outreach sensitization, and wide community assembly and 2) Building local capacity through community-based OH Training and Leadership workshops. The barriers to effective CE included: inadequate community research literacy levels, contextual disparities in CE, inadequate dissemination of research findings, language barriers and ineffective and uncoordinated stakeholder involvement.\nCONCLUSION: The review underscores the importance of effective CE in one health research. The best practices for CE in one health research are raising awareness and co-creation which should guide future initiatives. There are cultural, geographical, linguistic, and educational constraints that pose barriers to CE, requiring a more integrated and community-centric approach to one health research in SSA. An effective CE in one health research through this approach will ultimately lead to more effective responses and control of zoonotic disease outbreaks.","container-title":"One Health Outlook","DOI":"10.1186/s42522-024-00126-4","ISSN":"2524-4655","issue":"1","journalAbbreviation":"One Health Outlook","language":"eng","page":"4","PMID":"39810220","PMCID":"PMC11734441","source":"PubMed","title":"Effective community engagement in one health research in Sub-Saharan Africa: a systematic review","title-short":"Effective community engagement in one health research in Sub-Saharan Africa","volume":"7","author":[{"family":"Sangong","given":"Sidney"},{"family":"Saah","given":"Farrukh Ishaque"},{"family":"Bain","given":"Luchuo Engelbert"}],"issued":{"date-parts":[["2025",1,15]]}}}],"schema":"https://github.com/citation-style-language/schema/raw/master/csl-citation.json"} </w:instrText>
      </w:r>
      <w:r w:rsidRPr="002F5454">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(24)</w:t>
      </w:r>
      <w:r w:rsidRPr="002F5454">
        <w:rPr>
          <w:rFonts w:ascii="Times New Roman" w:eastAsia="Times New Roman" w:hAnsi="Times New Roman" w:cs="Times New Roman"/>
          <w:sz w:val="24"/>
          <w:szCs w:val="24"/>
        </w:rPr>
        <w:fldChar w:fldCharType="end"/>
      </w:r>
      <w:r w:rsidRPr="002F5454">
        <w:rPr>
          <w:rFonts w:ascii="Times New Roman" w:eastAsia="Times New Roman" w:hAnsi="Times New Roman" w:cs="Times New Roman"/>
          <w:sz w:val="24"/>
          <w:szCs w:val="24"/>
        </w:rPr>
        <w:t xml:space="preserve"> This message delivery system has created room for rumors, similar to those in our context. Health authorities might have failed to earn the trust of community members in their risk communication and Community Engagement Strategies. </w:t>
      </w:r>
      <w:r w:rsidRPr="002F5454">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{"citationID":"CGaWnzAz","properties":{"formattedCitation":"(25)","plainCitation":"(25)","noteIndex":0},"citationItems":[{"id":12683,"uris":["http://zotero.org/users/12416167/items/GUSPFMTX"],"itemData":{"id":12683,"type":"book","title":"Risk Communication","URL":"https://www.who.int/emergencies/risk-communications","author":[{"family":"World Health Organization (WHO)","given":""}]}}],"schema":"https://github.com/citation-style-language/schema/raw/master/csl-citation.json"} </w:instrText>
      </w:r>
      <w:r w:rsidRPr="002F5454">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(25)</w:t>
      </w:r>
      <w:r w:rsidRPr="002F5454">
        <w:rPr>
          <w:rFonts w:ascii="Times New Roman" w:eastAsia="Times New Roman" w:hAnsi="Times New Roman" w:cs="Times New Roman"/>
          <w:sz w:val="24"/>
          <w:szCs w:val="24"/>
        </w:rPr>
        <w:fldChar w:fldCharType="end"/>
      </w:r>
    </w:p>
    <w:p w14:paraId="34A97C39" w14:textId="408D7D72" w:rsidR="002F5454" w:rsidRPr="002F5454" w:rsidRDefault="002F5454" w:rsidP="002F5454">
      <w:pPr>
        <w:pStyle w:val="NormalWeb"/>
        <w:spacing w:line="276" w:lineRule="auto"/>
        <w:jc w:val="both"/>
      </w:pPr>
      <w:r w:rsidRPr="002F5454">
        <w:t xml:space="preserve">Our findings have holistic implications as they strengthen the argument that effective responses must operate across socio-ecological levels rather than focusing narrowly on one sector or at fragmented levels. </w:t>
      </w:r>
      <w:r w:rsidRPr="002F5454">
        <w:fldChar w:fldCharType="begin"/>
      </w:r>
      <w:r w:rsidR="003D52FE">
        <w:instrText xml:space="preserve"> ADDIN ZOTERO_ITEM CSL_CITATION {"citationID":"v3LveeNV","properties":{"formattedCitation":"(23,26)","plainCitation":"(23,26)","noteIndex":0},"citationItems":[{"id":12663,"uris":["http://zotero.org/users/12416167/items/K3IAP5B4"],"itemData":{"id":12663,"type":"article-journal","abstract":"BACKGROUND: The recent COVID-19 pandemic and the emergence of infectious diseases at the human-animal interface highlight the global challenge of mitigating zoonotic risks. The One Health approach emphasizes the interconnectedness of human, animal, and environmental health, urging for holistic and interdisciplinary strategies in disease prevention. Despite growing interest, the attention to wildlife in pandemic prevention remains limited. This systematic literature review aims to evaluate recent One Health research on zoonotic diseases and wildlife in terms of study design, interdisciplinary collaboration, and participatory approaches. Key questions addressed include the consideration of One Health domains, disciplinary involvement, and the inclusion of non-academic stakeholders.\nMETHODS: Following PRISMA guidelines, PubMed and Web of Science were searched for primary research papers on zoonotic diseases and wildlife from 2018 to 2023. Eligibility criteria included a focus on wildlife, zoonotic diseases, and adoption of the One Health approach.\nRESULTS: A total of 228 primary research papers were retrieved. Out of these, 105 studies were included in the review. Few studies integrated human, animal, and environmental domains simultaneously in data collection (4.8 %) and knowledge generation (29.5 %). While extensive knowledge was generated for animal health (97.1 %) and human health (84.8 %), environmental health (34.3 %) remained underrepresented. Laboratory methods predominated (82.9 %), with limited integration of social science methodologies (19 %). The majority were epidemiological studies (86.7 %), yet analytical design within these was sparse (17.1 %). Participation of non-academic stakeholders was limited (36.2 % included non-academics; 3.8 % encompassed participative approaches).\nCONCLUSIONS: The synthesis of the domains human, animal and environmental health remained fragmentary in the studies reviewed. Environmental health is underrepresented and the interdisciplinary involvement of social sciences lacks. Neglecting these fields of competence impedes comprehensive understanding of disease dynamics and hampers effective zoonosis prevention strategies. In result, greater inter- and transdisciplinary collaboration, along with participatory approaches, are still needed for advancing One Health research.","container-title":"One Health","DOI":"10.1016/j.onehlt.2024.100929","ISSN":"2352-7714","journalAbbreviation":"One Health","language":"eng","page":"100929","PMID":"39585343","PMCID":"PMC11582546","publisher-place":"Amsterdam, Netherlands","source":"PubMed","title":"How studies on zoonotic risks in wildlife implement the one health approach - A systematic review","volume":"19","author":[{"family":"Kuhn","given":"Caroline"},{"family":"Hayibor","given":"Kenneth Mawuta"},{"family":"Acheampong","given":"Ama Twumwaa"},{"family":"Pires","given":"Luciana Salini Abrahão"},{"family":"Costa-Ribeiro","given":"Magda Clara Vieira"},{"family":"Burrone","given":"María Soledad"},{"family":"Vásquez-Almazán","given":"Carlos Roberto"},{"family":"Radon","given":"Katja"},{"family":"Soto","given":"María Teresa Solis"},{"literal":"KAPwildlife-study group"}],"issued":{"date-parts":[["2024",12]]}},"label":"page"},{"id":12666,"uris":["http://zotero.org/users/12416167/items/98CMKI7X"],"itemData":{"id":12666,"type":"article-journal","abstract":"Background\nIn zoonotic disease hotspots, engaging local communities in zoonotic disease monitoring and reporting is essential for effective prevention and early outbreak detection. In Rwanda, the Eastern Province has experienced nearly 90% of all zoonotic disease outbreaks. This qualitative study explored the participation of livestock farmers and community animal health workers (CAHWs) in One Health interventions aimed at controlling zoonotic disease outbreaks in Nyagatare district, Eastern Province, Rwanda.\n\nMethod\nAmong livestock farmers and CAHWs, we collected qualitative data through in-depth interviews and focused group discussions. We held key informant interviews with district-level officials, namely district veterinary, district health, and district environmental health officers, to validate the data from livestock farmers and CAHWs. The data were transcribed verbatim and verified by replaying the audio recordings. Content analysis was performed.\n\nResults\nFive major themes emerged as areas of participation: (i) capacity building focused on livestock management and livestock disease identification and prevention; (ii) community-level health education encompassing zoonotic disease risk communication and awareness raising; (iii) interruption of zoonotic disease transmission that comprised infection prevention and control, separation of sick and healthy livestock, quarantine, and zero grazing, adherence to guidelines, and the testing, treatment, spraying, and vaccination of livestock; (iv) collaboration with multiple sectors via training on zoonotic diseases, including its treatment, investigation, and prevention; and 5) zoonotic disease surveillance that included livestock monitoring and inspection for zoonotic diseases and the notification and reporting of zoonotic diseases to relevant authorities. The collaboration between the environmental health sector and the animal and human sectors was weak, while vaccination targeted mainly cattle but not small ruminants.\n\nConclusions\nLivestock farmers and CAHWs participate in several One Health interventions aimed at controlling zoonotic diseases, particularly in vaccination campaigns for cattle, community sensitization, and basic animal husbandry practices. However, collaboration between the environmental health sector and the animal and human sectors was weak, vaccination efforts largely excluded small ruminants, and some farmers relied on local herbs for treatment due to limited access to professional veterinary services. Efforts to sustain the major areas of participation are needed, while weaker areas need strengthening.\n\nSupplementary Information\nThe online version contains supplementary material available at 10.1186/s12879-026-12696-x.","container-title":"BMC Infectious Diseases","DOI":"10.1186/s12879-026-12696-x","ISSN":"1471-2334","journalAbbreviation":"BMC Infect Dis","page":"398","PMID":"41593522","PMCID":"PMC12918547","source":"PubMed Central","title":"Participation of livestock farmers and community animal health workers in one health intervention to control zoonotic diseases in Rwanda: a qualitative study","title-short":"Participation of livestock farmers and community animal health workers in one health intervention to control zoonotic diseases in Rwanda","volume":"26","author":[{"family":"Hugor","given":"Shema"},{"family":"Izudi","given":"Jonathan"},{"family":"Shyaka","given":"Anselme"}],"issued":{"date-parts":[["2026",1,27]]}},"label":"page"}],"schema":"https://github.com/citation-style-language/schema/raw/master/csl-citation.json"} </w:instrText>
      </w:r>
      <w:r w:rsidRPr="002F5454">
        <w:fldChar w:fldCharType="separate"/>
      </w:r>
      <w:r w:rsidR="003D52FE" w:rsidRPr="003D52FE">
        <w:t>(23,26)</w:t>
      </w:r>
      <w:r w:rsidRPr="002F5454">
        <w:fldChar w:fldCharType="end"/>
      </w:r>
      <w:r w:rsidRPr="002F5454">
        <w:t xml:space="preserve"> First, to improve equitable access to health services and strengthen community utilization of health system infrastructure, it is essential to engage and empower frontline workers, including Community Health Workers (CHWs), to actively drive community action rather than merely deliver information. Additionally, reinforcing and establishing community feedback mechanisms and facilitating regular dialogue sessions would enhance responsiveness and accountability. As a result, physical, financial, and communication accessibility should be assessed in a pilot district, and clear “report cards” should be published to highlight barriers faced by vulnerable populations.</w:t>
      </w:r>
    </w:p>
    <w:p w14:paraId="650F69BA" w14:textId="7C184AFA" w:rsidR="002F5454" w:rsidRPr="002F5454" w:rsidRDefault="002F5454" w:rsidP="002F5454">
      <w:pPr>
        <w:pStyle w:val="NormalWeb"/>
        <w:spacing w:line="276" w:lineRule="auto"/>
        <w:jc w:val="both"/>
      </w:pPr>
      <w:r w:rsidRPr="002F5454">
        <w:t>Secondly, to address community members’ limited knowledge, attitudes, and practices while building on lessons learned from past epidemics to strengthen broader health literacy, implementing organizations should integrate lessons from COVID-19 into community health education programs. They should also use community dialogue sessions and CHWs to reinforce understanding of epidemic preparedness and its importance by providing actionable messages that explain why adopting recommended practices is beneficial, while emphasizing the impact these actions have on daily life. Therefore, developing targeted h</w:t>
      </w:r>
      <w:r w:rsidR="004B0EB6">
        <w:t xml:space="preserve">ealth education sessions on One </w:t>
      </w:r>
      <w:r w:rsidRPr="002F5454">
        <w:t xml:space="preserve">Health and </w:t>
      </w:r>
      <w:r w:rsidR="00770F9E">
        <w:t>identifying</w:t>
      </w:r>
      <w:r w:rsidRPr="002F5454">
        <w:t xml:space="preserve"> priority diseases is important. These should be accompanied by well-tailored culturally adapted health messages that promote safer greeting practices during outbreaks while involving youth groups (in and out of schools) in health campaigns and peer-education sessions. Furthermore, all implementing partners need to shift CHW training from message delivery to participatory engagement by equipping CHWs with </w:t>
      </w:r>
      <w:r w:rsidRPr="002F5454">
        <w:lastRenderedPageBreak/>
        <w:t xml:space="preserve">facilitation and motivational interviewing skills and establishing protocols for upward reporting and smooth addressing of community concerns on trust and rumors. </w:t>
      </w:r>
    </w:p>
    <w:p w14:paraId="1B57E84D" w14:textId="42B00CF1" w:rsidR="002F5454" w:rsidRPr="002F5454" w:rsidRDefault="002F5454" w:rsidP="002F5454">
      <w:pPr>
        <w:pStyle w:val="NormalWeb"/>
        <w:spacing w:line="276" w:lineRule="auto"/>
        <w:jc w:val="both"/>
      </w:pPr>
      <w:r w:rsidRPr="002F5454">
        <w:t xml:space="preserve">Thirdly, while addressing barriers to health insurance enrollment and coverage through the assessment of challenges to Mutuelle enrollment and the organization of targeted awareness campaigns led by CHWs and local leaders, it is vital to establish District One Health Committees with defined meeting schedules, pooled budgets, and shared performance metrics. This will ensure cross-sector collaboration and accountability at the level where it matters most. </w:t>
      </w:r>
    </w:p>
    <w:p w14:paraId="1677A2C0" w14:textId="77777777" w:rsidR="002F5454" w:rsidRPr="002F5454" w:rsidRDefault="002F5454" w:rsidP="002F5454">
      <w:pPr>
        <w:autoSpaceDE w:val="0"/>
        <w:autoSpaceDN w:val="0"/>
        <w:adjustRightInd w:val="0"/>
        <w:spacing w:line="240" w:lineRule="auto"/>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A key strength of this study is its multi-perspective design. Bringing together community stakeholders and community members facilitated the production of a rich and multi-level understanding of the one health ecosystem and the forces shaping it in Rwanda. Thematic framework analysis facilitated both deductive and inductive insights while maintaining analytic rigour, ensuring that findings remained grounded and were coherently organized within the Health Belief Model and the Socio-ecological Model. Also, the inclusion of thick description preserved the systemic context of lived experience, reducing the risk of overly reductive policy interpretations.</w:t>
      </w:r>
    </w:p>
    <w:p w14:paraId="06AB4BE3" w14:textId="5CC6A6A4" w:rsidR="002F5454" w:rsidRPr="002F5454" w:rsidRDefault="002F5454" w:rsidP="002F5454">
      <w:pPr>
        <w:autoSpaceDE w:val="0"/>
        <w:autoSpaceDN w:val="0"/>
        <w:adjustRightInd w:val="0"/>
        <w:spacing w:line="240" w:lineRule="auto"/>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However, there are limitations that should be considered. Primarily, the data rely on self-reported accounts of the One Health approach and are therefore susceptible to social desirability bias, where participants might have provided certain responses to please the researchers or even to protect their interests. </w:t>
      </w:r>
      <w:r w:rsidRPr="002F5454">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{"citationID":"26QkbnpD","properties":{"formattedCitation":"(27)","plainCitation":"(27)","noteIndex":0},"citationItems":[{"id":12686,"uris":["http://zotero.org/users/12416167/items/29VXAMCJ"],"itemData":{"id":12686,"type":"article-journal","abstract":"Background\nBreastfeeding promotion is associated with improved measures of breastfeeding practice; however, most studies rely on participant-reported outcomes.\n\nObjectives\nThis study aimed to evaluate the likelihood of bias in self-reported breastfeeding outcomes.\n\nMethods\nWe used data from the WASH Benefits randomized controlled trial in Kenya (clinicaltrials.gov NCT01704105), which included intervention arms that received infant and young child feeding messages (nutrition group) and arms that did not (non-nutrition group) to examine recall bias in the assessment of early initiation of breastfeeding (EIBF) and exclusive breastfeeding (EBF) duration. Pregnant women were eligible for inclusion, but 40% of infants were born before the first visit by the health promoter. We used the random variability in the timing of the infant birth relative to the first contact with the health promoter to examine recall bias in EIBF. We used ≤5 rounds of repeated surveys to examine bias in recall of EBF duration.\n\nResults\nThere was a significant effect of the intervention group on EIBF [prevalence ratio: 1.50, 95% confidence interval (CI): 1.43, 1.57] and a significant difference in the duration of EBF [nutrition group: 6.0 mo; interquartile range (IQR): 3.0–6.0; nonnutrition group: 3.0 mo; IQR: 0.5–6.0; P &lt; 0.001]. There was not a significant interaction with birth timing relative to the first contact with the health promoters (P = 0.915), suggesting that the observed main effect on EIBF was due to recall bias. We found that 75.9% of mothers who initially reported having ceased EBF before 6 mo in the nutrition group changed their response to 6 mo or later in subsequent surveys. Only 32.5% of mothers in the non-nutrition group followed this pattern.\n\nConclusions\nThese data provide strong evidence of bias in reporting of breastfeeding practices in this nonblinded intervention trial and should serve as a caution to researchers who rely on self-reported outcomes of behavior change interventions., This trial was registered at clinicaltrials.gov as NCT01704105.","container-title":"Current Developments in Nutrition","DOI":"10.1016/j.cdnut.2024.103779","ISSN":"2475-2991","issue":"Suppl 1","journalAbbreviation":"Curr Dev Nutr","page":"103779","PMID":"40454163","PMCID":"PMC12125686","source":"PubMed Central","title":"Social Desirability Bias in a Randomized Controlled Trial That Included Breastfeeding Promotion in Western Kenya","volume":"9","author":[{"family":"Stewart","given":"Christine P"},{"family":"Arnold","given":"Charles D"},{"family":"Williams","given":"Anne M"},{"family":"Arnold","given":"Benjamin F"},{"family":"Pickering","given":"Amy J"},{"family":"Dentz","given":"Holly"},{"family":"Kiprotich","given":"Marion"},{"family":"Lin","given":"Audrie"},{"family":"Null","given":"Clair"},{"family":"Colford","given":"John M"},{"family":"Dewey","given":"Kathryn G"}],"issued":{"date-parts":[["2024",9,23]]}},"label":"page"}],"schema":"https://github.com/citation-style-language/schema/raw/master/csl-citation.json"} </w:instrText>
      </w:r>
      <w:r w:rsidRPr="002F5454">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(27)</w:t>
      </w:r>
      <w:r w:rsidRPr="002F5454">
        <w:rPr>
          <w:rFonts w:ascii="Times New Roman" w:eastAsia="Times New Roman" w:hAnsi="Times New Roman" w:cs="Times New Roman"/>
          <w:sz w:val="24"/>
          <w:szCs w:val="24"/>
        </w:rPr>
        <w:fldChar w:fldCharType="end"/>
      </w:r>
    </w:p>
    <w:p w14:paraId="748AF66A" w14:textId="646035FB" w:rsidR="002F5454" w:rsidRPr="002F5454" w:rsidRDefault="002F5454" w:rsidP="002F5454">
      <w:pPr>
        <w:autoSpaceDE w:val="0"/>
        <w:autoSpaceDN w:val="0"/>
        <w:adjustRightInd w:val="0"/>
        <w:spacing w:line="240" w:lineRule="auto"/>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In the Rwandan context, where the One Health concept is fairly new, and data had several points of convergence, the direction of bias could plausibly differ, potentially inflating reports of very early knowledge and collaboration in the One Health sector and practice. While our study findings are deemed rich, the interpretation of the findings should be done cautiously. In addition, the purposive sampling approach</w:t>
      </w:r>
      <w:r w:rsidR="00B278DB">
        <w:rPr>
          <w:rFonts w:ascii="Times New Roman" w:eastAsia="Times New Roman" w:hAnsi="Times New Roman" w:cs="Times New Roman"/>
          <w:sz w:val="24"/>
          <w:szCs w:val="24"/>
        </w:rPr>
        <w:t>,</w:t>
      </w:r>
      <w:r w:rsidRPr="002F5454">
        <w:rPr>
          <w:rFonts w:ascii="Times New Roman" w:eastAsia="Times New Roman" w:hAnsi="Times New Roman" w:cs="Times New Roman"/>
          <w:sz w:val="24"/>
          <w:szCs w:val="24"/>
        </w:rPr>
        <w:t xml:space="preserve"> capturing participants only from six districts of Rwanda</w:t>
      </w:r>
      <w:r w:rsidR="00B278DB">
        <w:rPr>
          <w:rFonts w:ascii="Times New Roman" w:eastAsia="Times New Roman" w:hAnsi="Times New Roman" w:cs="Times New Roman"/>
          <w:sz w:val="24"/>
          <w:szCs w:val="24"/>
        </w:rPr>
        <w:t>,</w:t>
      </w:r>
      <w:r w:rsidRPr="002F5454">
        <w:rPr>
          <w:rFonts w:ascii="Times New Roman" w:eastAsia="Times New Roman" w:hAnsi="Times New Roman" w:cs="Times New Roman"/>
          <w:sz w:val="24"/>
          <w:szCs w:val="24"/>
        </w:rPr>
        <w:t xml:space="preserve"> makes our results analytically rather than statistically generalizable.</w:t>
      </w:r>
      <w:r w:rsidR="00B278DB">
        <w:rPr>
          <w:rFonts w:ascii="Times New Roman" w:eastAsia="Times New Roman" w:hAnsi="Times New Roman" w:cs="Times New Roman"/>
          <w:sz w:val="24"/>
          <w:szCs w:val="24"/>
        </w:rPr>
        <w:t xml:space="preserve"> </w:t>
      </w:r>
      <w:r w:rsidRPr="002F5454">
        <w:rPr>
          <w:rFonts w:ascii="Times New Roman" w:eastAsia="Times New Roman" w:hAnsi="Times New Roman" w:cs="Times New Roman"/>
          <w:sz w:val="24"/>
          <w:szCs w:val="24"/>
        </w:rPr>
        <w:fldChar w:fldCharType="begin"/>
      </w:r>
      <w:r w:rsidR="003D52FE">
        <w:rPr>
          <w:rFonts w:ascii="Times New Roman" w:eastAsia="Times New Roman" w:hAnsi="Times New Roman" w:cs="Times New Roman"/>
          <w:sz w:val="24"/>
          <w:szCs w:val="24"/>
        </w:rPr>
        <w:instrText xml:space="preserve"> ADDIN ZOTERO_ITEM CSL_CITATION {"citationID":"MjtaI99F","properties":{"formattedCitation":"(28)","plainCitation":"(28)","noteIndex":0},"citationItems":[{"id":12689,"uris":["http://zotero.org/users/12416167/items/2BWR5GPE"],"itemData":{"id":12689,"type":"article-journal","abstract":"Generalization, which is an act of reasoning that involves drawing broad inferences from particular observations, is widely-acknowledged as a quality standard in quantitative research, but is more controversial in qualitative research. The goal of most qualitative studies is not to generalize but rather to provide a rich, contextualized understanding of some aspect of human experience through the intensive study of particular cases. Yet, in an environment where evidence for improving practice is held in high esteem, generalization in relation to knowledge claims merits careful attention by both qualitative and quantitative researchers. Issues relating to generalization are, however, often ignored or misrepresented by both groups of researchers. Three models of generalization, as proposed in a seminal article by Firestone, are discussed in this paper: classic sample-to-population (statistical) generalization, analytic generalization, and case-to-case transfer (transferability). Suggestions for enhancing the capacity for generalization in terms of all three models are offered. The suggestions cover such issues as planned replication, sampling strategies, systematic reviews, reflexivity and higher-order conceptualization, thick description, mixed methods research, and the RE-AIM framework within pragmatic trials.","container-title":"International Journal of Nursing Studies","DOI":"10.1016/j.ijnurstu.2010.06.004","ISSN":"1873-491X","issue":"11","journalAbbreviation":"Int J Nurs Stud","language":"eng","page":"1451-1458","PMID":"20598692","source":"PubMed","title":"Generalization in quantitative and qualitative research: myths and strategies","title-short":"Generalization in quantitative and qualitative research","volume":"47","author":[{"family":"Polit","given":"Denise F."},{"family":"Beck","given":"Cheryl Tatano"}],"issued":{"date-parts":[["2010",11]]}}}],"schema":"https://github.com/citation-style-language/schema/raw/master/csl-citation.json"} </w:instrText>
      </w:r>
      <w:r w:rsidRPr="002F5454">
        <w:rPr>
          <w:rFonts w:ascii="Times New Roman" w:eastAsia="Times New Roman" w:hAnsi="Times New Roman" w:cs="Times New Roman"/>
          <w:sz w:val="24"/>
          <w:szCs w:val="24"/>
        </w:rPr>
        <w:fldChar w:fldCharType="separate"/>
      </w:r>
      <w:r w:rsidR="003D52FE" w:rsidRPr="003D52FE">
        <w:rPr>
          <w:rFonts w:ascii="Times New Roman" w:hAnsi="Times New Roman" w:cs="Times New Roman"/>
          <w:sz w:val="24"/>
        </w:rPr>
        <w:t>(28)</w:t>
      </w:r>
      <w:r w:rsidRPr="002F5454">
        <w:rPr>
          <w:rFonts w:ascii="Times New Roman" w:eastAsia="Times New Roman" w:hAnsi="Times New Roman" w:cs="Times New Roman"/>
          <w:sz w:val="24"/>
          <w:szCs w:val="24"/>
        </w:rPr>
        <w:fldChar w:fldCharType="end"/>
      </w:r>
      <w:r w:rsidRPr="002F5454">
        <w:rPr>
          <w:rFonts w:ascii="Times New Roman" w:eastAsia="Times New Roman" w:hAnsi="Times New Roman" w:cs="Times New Roman"/>
          <w:sz w:val="24"/>
          <w:szCs w:val="24"/>
        </w:rPr>
        <w:t xml:space="preserve"> Despite these constraints, our study offers a detailed account of the One Health approach that has </w:t>
      </w:r>
      <w:r w:rsidR="00B278DB">
        <w:rPr>
          <w:rFonts w:ascii="Times New Roman" w:eastAsia="Times New Roman" w:hAnsi="Times New Roman" w:cs="Times New Roman"/>
          <w:sz w:val="24"/>
          <w:szCs w:val="24"/>
        </w:rPr>
        <w:t>remained underexplored</w:t>
      </w:r>
      <w:r w:rsidRPr="002F5454">
        <w:rPr>
          <w:rFonts w:ascii="Times New Roman" w:eastAsia="Times New Roman" w:hAnsi="Times New Roman" w:cs="Times New Roman"/>
          <w:sz w:val="24"/>
          <w:szCs w:val="24"/>
        </w:rPr>
        <w:t xml:space="preserve"> in-depth in public health literature, providing a strong empirical foundation for context-sensitive practice.</w:t>
      </w:r>
    </w:p>
    <w:p w14:paraId="121C2E22" w14:textId="77777777" w:rsidR="002F5454" w:rsidRPr="002F5454" w:rsidRDefault="002F5454" w:rsidP="002F5454">
      <w:pPr>
        <w:autoSpaceDE w:val="0"/>
        <w:autoSpaceDN w:val="0"/>
        <w:adjustRightInd w:val="0"/>
        <w:spacing w:line="240" w:lineRule="auto"/>
        <w:jc w:val="both"/>
        <w:rPr>
          <w:rFonts w:ascii="Times New Roman" w:hAnsi="Times New Roman" w:cs="Times New Roman"/>
          <w:sz w:val="24"/>
          <w:szCs w:val="24"/>
        </w:rPr>
      </w:pPr>
    </w:p>
    <w:p w14:paraId="5E2277EF" w14:textId="54EB629C" w:rsidR="002F5454" w:rsidRPr="002F5454" w:rsidRDefault="002F5454" w:rsidP="002F5454">
      <w:pPr>
        <w:autoSpaceDE w:val="0"/>
        <w:autoSpaceDN w:val="0"/>
        <w:adjustRightInd w:val="0"/>
        <w:spacing w:line="240" w:lineRule="auto"/>
        <w:jc w:val="both"/>
        <w:rPr>
          <w:rFonts w:ascii="Times New Roman" w:eastAsia="Times New Roman" w:hAnsi="Times New Roman" w:cs="Times New Roman"/>
          <w:sz w:val="24"/>
          <w:szCs w:val="24"/>
        </w:rPr>
      </w:pPr>
      <w:r w:rsidRPr="002F5454">
        <w:rPr>
          <w:rFonts w:ascii="Times New Roman" w:eastAsia="Times New Roman" w:hAnsi="Times New Roman" w:cs="Times New Roman"/>
          <w:sz w:val="24"/>
          <w:szCs w:val="24"/>
        </w:rPr>
        <w:t xml:space="preserve">In conclusion, </w:t>
      </w:r>
      <w:r w:rsidR="00B278DB">
        <w:rPr>
          <w:rFonts w:ascii="Times New Roman" w:eastAsia="Times New Roman" w:hAnsi="Times New Roman" w:cs="Times New Roman"/>
          <w:sz w:val="24"/>
          <w:szCs w:val="24"/>
        </w:rPr>
        <w:t xml:space="preserve">the </w:t>
      </w:r>
      <w:r w:rsidRPr="002F5454">
        <w:rPr>
          <w:rFonts w:ascii="Times New Roman" w:eastAsia="Times New Roman" w:hAnsi="Times New Roman" w:cs="Times New Roman"/>
          <w:sz w:val="24"/>
          <w:szCs w:val="24"/>
        </w:rPr>
        <w:t xml:space="preserve">One Health approach in selected districts of Rwanda </w:t>
      </w:r>
      <w:r w:rsidR="00B278DB">
        <w:rPr>
          <w:rFonts w:ascii="Times New Roman" w:eastAsia="Times New Roman" w:hAnsi="Times New Roman" w:cs="Times New Roman"/>
          <w:sz w:val="24"/>
          <w:szCs w:val="24"/>
        </w:rPr>
        <w:t>is</w:t>
      </w:r>
      <w:r w:rsidRPr="002F5454">
        <w:rPr>
          <w:rFonts w:ascii="Times New Roman" w:eastAsia="Times New Roman" w:hAnsi="Times New Roman" w:cs="Times New Roman"/>
          <w:sz w:val="24"/>
          <w:szCs w:val="24"/>
        </w:rPr>
        <w:t xml:space="preserve"> best understood as part of a wider social ecology rather than as a set of isolated sectoral levels. Findings from this assessment provide a critical foundation for identifying behavioral and systemic gaps and facilitators towards the One Health approach. Bottleneck challenges on resources and limited engagement of community members continue to promote health insecurity. Therefore, district-level coordination and accountability, as well as training of community health workers to listen and engage community </w:t>
      </w:r>
      <w:r w:rsidR="00B278DB">
        <w:rPr>
          <w:rFonts w:ascii="Times New Roman" w:eastAsia="Times New Roman" w:hAnsi="Times New Roman" w:cs="Times New Roman"/>
          <w:sz w:val="24"/>
          <w:szCs w:val="24"/>
        </w:rPr>
        <w:t>members,</w:t>
      </w:r>
      <w:r w:rsidRPr="002F5454">
        <w:rPr>
          <w:rFonts w:ascii="Times New Roman" w:eastAsia="Times New Roman" w:hAnsi="Times New Roman" w:cs="Times New Roman"/>
          <w:sz w:val="24"/>
          <w:szCs w:val="24"/>
        </w:rPr>
        <w:t xml:space="preserve"> will enhance the One Health sector of Rwanda.</w:t>
      </w:r>
    </w:p>
    <w:p w14:paraId="6B6004C2" w14:textId="77777777" w:rsidR="002F5454" w:rsidRDefault="002F5454" w:rsidP="002F5454">
      <w:pPr>
        <w:jc w:val="both"/>
        <w:rPr>
          <w:rFonts w:ascii="Times New Roman" w:eastAsia="Times New Roman" w:hAnsi="Times New Roman" w:cs="Times New Roman"/>
          <w:sz w:val="28"/>
          <w:szCs w:val="28"/>
        </w:rPr>
      </w:pPr>
    </w:p>
    <w:p w14:paraId="2FC38F82" w14:textId="77777777" w:rsidR="00E22C5D" w:rsidRPr="00E22C5D" w:rsidRDefault="00E22C5D" w:rsidP="0031662A">
      <w:pPr>
        <w:autoSpaceDE w:val="0"/>
        <w:autoSpaceDN w:val="0"/>
        <w:adjustRightInd w:val="0"/>
        <w:spacing w:line="240" w:lineRule="auto"/>
        <w:rPr>
          <w:rFonts w:ascii="Times New Roman" w:hAnsi="Times New Roman" w:cs="Times New Roman"/>
          <w:b/>
          <w:bCs/>
          <w:color w:val="000000"/>
          <w:sz w:val="24"/>
          <w:szCs w:val="24"/>
        </w:rPr>
      </w:pPr>
      <w:r w:rsidRPr="00E22C5D">
        <w:rPr>
          <w:rFonts w:ascii="Times New Roman" w:hAnsi="Times New Roman" w:cs="Times New Roman"/>
          <w:b/>
          <w:bCs/>
          <w:color w:val="000000"/>
          <w:sz w:val="24"/>
          <w:szCs w:val="24"/>
        </w:rPr>
        <w:t>Authors contribution</w:t>
      </w:r>
    </w:p>
    <w:p w14:paraId="2A31D16F" w14:textId="790BC7B1" w:rsidR="00E22C5D" w:rsidRPr="00E22C5D" w:rsidRDefault="00E22C5D" w:rsidP="0031662A">
      <w:pPr>
        <w:autoSpaceDE w:val="0"/>
        <w:autoSpaceDN w:val="0"/>
        <w:adjustRightInd w:val="0"/>
        <w:spacing w:line="240" w:lineRule="auto"/>
        <w:rPr>
          <w:rFonts w:ascii="Times New Roman" w:eastAsia="Times New Roman" w:hAnsi="Times New Roman" w:cs="Times New Roman"/>
          <w:sz w:val="24"/>
          <w:szCs w:val="24"/>
        </w:rPr>
      </w:pPr>
      <w:r w:rsidRPr="00E22C5D">
        <w:rPr>
          <w:rFonts w:ascii="Times New Roman" w:eastAsia="Times New Roman" w:hAnsi="Times New Roman" w:cs="Times New Roman"/>
          <w:sz w:val="24"/>
          <w:szCs w:val="24"/>
        </w:rPr>
        <w:t>All authors contributed to the conceptualization</w:t>
      </w:r>
      <w:r w:rsidR="00B278DB">
        <w:rPr>
          <w:rFonts w:ascii="Times New Roman" w:eastAsia="Times New Roman" w:hAnsi="Times New Roman" w:cs="Times New Roman"/>
          <w:sz w:val="24"/>
          <w:szCs w:val="24"/>
        </w:rPr>
        <w:t>,</w:t>
      </w:r>
      <w:r w:rsidRPr="00E22C5D">
        <w:rPr>
          <w:rFonts w:ascii="Times New Roman" w:eastAsia="Times New Roman" w:hAnsi="Times New Roman" w:cs="Times New Roman"/>
          <w:sz w:val="24"/>
          <w:szCs w:val="24"/>
        </w:rPr>
        <w:t xml:space="preserve"> while DRD drafted the first copy of the manuscript. All authors read and approved the final script. </w:t>
      </w:r>
    </w:p>
    <w:p w14:paraId="49FBFD3D" w14:textId="7C65491C" w:rsidR="0031662A" w:rsidRPr="00E22C5D" w:rsidRDefault="00E22C5D" w:rsidP="0031662A">
      <w:pPr>
        <w:autoSpaceDE w:val="0"/>
        <w:autoSpaceDN w:val="0"/>
        <w:adjustRightInd w:val="0"/>
        <w:spacing w:line="240" w:lineRule="auto"/>
        <w:rPr>
          <w:rFonts w:ascii="Times New Roman" w:hAnsi="Times New Roman" w:cs="Times New Roman"/>
          <w:b/>
          <w:bCs/>
          <w:color w:val="000000"/>
          <w:sz w:val="24"/>
          <w:szCs w:val="24"/>
        </w:rPr>
      </w:pPr>
      <w:r w:rsidRPr="00E22C5D">
        <w:rPr>
          <w:rFonts w:ascii="Times New Roman" w:hAnsi="Times New Roman" w:cs="Times New Roman"/>
          <w:b/>
          <w:bCs/>
          <w:color w:val="000000"/>
          <w:sz w:val="24"/>
          <w:szCs w:val="24"/>
        </w:rPr>
        <w:t>Conflict of interest</w:t>
      </w:r>
    </w:p>
    <w:p w14:paraId="60AA0A0D" w14:textId="2968D582" w:rsidR="002F5454" w:rsidRPr="00E22C5D" w:rsidRDefault="00E22C5D" w:rsidP="0031662A">
      <w:pPr>
        <w:jc w:val="both"/>
        <w:rPr>
          <w:rFonts w:ascii="Times New Roman" w:hAnsi="Times New Roman" w:cs="Times New Roman"/>
          <w:color w:val="202020"/>
          <w:sz w:val="24"/>
          <w:szCs w:val="24"/>
        </w:rPr>
      </w:pPr>
      <w:r w:rsidRPr="00E22C5D">
        <w:rPr>
          <w:rFonts w:ascii="Times New Roman" w:hAnsi="Times New Roman" w:cs="Times New Roman"/>
          <w:color w:val="202020"/>
          <w:sz w:val="24"/>
          <w:szCs w:val="24"/>
        </w:rPr>
        <w:t>We declare no conflict of interest</w:t>
      </w:r>
      <w:r w:rsidR="0031662A" w:rsidRPr="00E22C5D">
        <w:rPr>
          <w:rFonts w:ascii="Times New Roman" w:hAnsi="Times New Roman" w:cs="Times New Roman"/>
          <w:color w:val="202020"/>
          <w:sz w:val="24"/>
          <w:szCs w:val="24"/>
        </w:rPr>
        <w:t>.</w:t>
      </w:r>
    </w:p>
    <w:p w14:paraId="59DBC124" w14:textId="77777777" w:rsidR="0031662A" w:rsidRPr="00E22C5D" w:rsidRDefault="0031662A" w:rsidP="0031662A">
      <w:pPr>
        <w:autoSpaceDE w:val="0"/>
        <w:autoSpaceDN w:val="0"/>
        <w:adjustRightInd w:val="0"/>
        <w:spacing w:line="240" w:lineRule="auto"/>
        <w:rPr>
          <w:rFonts w:ascii="Times New Roman" w:hAnsi="Times New Roman" w:cs="Times New Roman"/>
          <w:b/>
          <w:bCs/>
          <w:sz w:val="24"/>
          <w:szCs w:val="24"/>
        </w:rPr>
      </w:pPr>
      <w:r w:rsidRPr="00E22C5D">
        <w:rPr>
          <w:rFonts w:ascii="Times New Roman" w:hAnsi="Times New Roman" w:cs="Times New Roman"/>
          <w:b/>
          <w:bCs/>
          <w:sz w:val="24"/>
          <w:szCs w:val="24"/>
        </w:rPr>
        <w:t>Funding</w:t>
      </w:r>
    </w:p>
    <w:p w14:paraId="5E8D72FE" w14:textId="08EF319E" w:rsidR="0031662A" w:rsidRPr="00E22C5D" w:rsidRDefault="00E22C5D" w:rsidP="0031662A">
      <w:pPr>
        <w:autoSpaceDE w:val="0"/>
        <w:autoSpaceDN w:val="0"/>
        <w:adjustRightInd w:val="0"/>
        <w:spacing w:line="240" w:lineRule="auto"/>
        <w:rPr>
          <w:rFonts w:ascii="Times New Roman" w:hAnsi="Times New Roman" w:cs="Times New Roman"/>
          <w:sz w:val="24"/>
          <w:szCs w:val="24"/>
        </w:rPr>
      </w:pPr>
      <w:r w:rsidRPr="00E22C5D">
        <w:rPr>
          <w:rFonts w:ascii="Times New Roman" w:hAnsi="Times New Roman" w:cs="Times New Roman"/>
          <w:sz w:val="24"/>
          <w:szCs w:val="24"/>
        </w:rPr>
        <w:t>F</w:t>
      </w:r>
      <w:r w:rsidR="0031662A" w:rsidRPr="00E22C5D">
        <w:rPr>
          <w:rFonts w:ascii="Times New Roman" w:hAnsi="Times New Roman" w:cs="Times New Roman"/>
          <w:sz w:val="24"/>
          <w:szCs w:val="24"/>
        </w:rPr>
        <w:t xml:space="preserve">unding </w:t>
      </w:r>
      <w:r w:rsidRPr="00E22C5D">
        <w:rPr>
          <w:rFonts w:ascii="Times New Roman" w:hAnsi="Times New Roman" w:cs="Times New Roman"/>
          <w:sz w:val="24"/>
          <w:szCs w:val="24"/>
        </w:rPr>
        <w:t xml:space="preserve">from this study was gotten from UNICEF-Rwanda through the Pandemic </w:t>
      </w:r>
      <w:r w:rsidR="00B278DB">
        <w:rPr>
          <w:rFonts w:ascii="Times New Roman" w:hAnsi="Times New Roman" w:cs="Times New Roman"/>
          <w:sz w:val="24"/>
          <w:szCs w:val="24"/>
        </w:rPr>
        <w:t>Fund</w:t>
      </w:r>
      <w:r w:rsidRPr="00E22C5D">
        <w:rPr>
          <w:rFonts w:ascii="Times New Roman" w:hAnsi="Times New Roman" w:cs="Times New Roman"/>
          <w:sz w:val="24"/>
          <w:szCs w:val="24"/>
        </w:rPr>
        <w:t xml:space="preserve"> award. </w:t>
      </w:r>
    </w:p>
    <w:p w14:paraId="73817035" w14:textId="77777777" w:rsidR="0031662A" w:rsidRPr="00E22C5D" w:rsidRDefault="0031662A" w:rsidP="0031662A">
      <w:pPr>
        <w:autoSpaceDE w:val="0"/>
        <w:autoSpaceDN w:val="0"/>
        <w:adjustRightInd w:val="0"/>
        <w:spacing w:line="240" w:lineRule="auto"/>
        <w:rPr>
          <w:rFonts w:ascii="Times New Roman" w:hAnsi="Times New Roman" w:cs="Times New Roman"/>
          <w:b/>
          <w:bCs/>
          <w:sz w:val="24"/>
          <w:szCs w:val="24"/>
        </w:rPr>
      </w:pPr>
      <w:r w:rsidRPr="00E22C5D">
        <w:rPr>
          <w:rFonts w:ascii="Times New Roman" w:hAnsi="Times New Roman" w:cs="Times New Roman"/>
          <w:b/>
          <w:bCs/>
          <w:sz w:val="24"/>
          <w:szCs w:val="24"/>
        </w:rPr>
        <w:t>Data availability statement</w:t>
      </w:r>
    </w:p>
    <w:p w14:paraId="47BA9DB6" w14:textId="77777777" w:rsidR="0031662A" w:rsidRPr="00E22C5D" w:rsidRDefault="0031662A" w:rsidP="0031662A">
      <w:pPr>
        <w:autoSpaceDE w:val="0"/>
        <w:autoSpaceDN w:val="0"/>
        <w:adjustRightInd w:val="0"/>
        <w:spacing w:line="240" w:lineRule="auto"/>
        <w:rPr>
          <w:rFonts w:ascii="Times New Roman" w:hAnsi="Times New Roman" w:cs="Times New Roman"/>
          <w:sz w:val="24"/>
          <w:szCs w:val="24"/>
        </w:rPr>
      </w:pPr>
      <w:r w:rsidRPr="00E22C5D">
        <w:rPr>
          <w:rFonts w:ascii="Times New Roman" w:hAnsi="Times New Roman" w:cs="Times New Roman"/>
          <w:sz w:val="24"/>
          <w:szCs w:val="24"/>
        </w:rPr>
        <w:lastRenderedPageBreak/>
        <w:t>The data that support this study will be shared upon reasonable request to the corresponding</w:t>
      </w:r>
    </w:p>
    <w:p w14:paraId="5673E038" w14:textId="5D411DB7" w:rsidR="0031662A" w:rsidRPr="00D30A13" w:rsidRDefault="0031662A" w:rsidP="0031662A">
      <w:pPr>
        <w:jc w:val="both"/>
        <w:rPr>
          <w:rFonts w:ascii="Times New Roman" w:hAnsi="Times New Roman" w:cs="Times New Roman"/>
          <w:sz w:val="24"/>
          <w:szCs w:val="24"/>
        </w:rPr>
      </w:pPr>
      <w:r w:rsidRPr="00D30A13">
        <w:rPr>
          <w:rFonts w:ascii="Times New Roman" w:hAnsi="Times New Roman" w:cs="Times New Roman"/>
          <w:sz w:val="24"/>
          <w:szCs w:val="24"/>
        </w:rPr>
        <w:t>author.</w:t>
      </w:r>
    </w:p>
    <w:p w14:paraId="76506BF0" w14:textId="7F5A95B6" w:rsidR="002F5454" w:rsidRDefault="002F5454" w:rsidP="002F5454">
      <w:pPr>
        <w:jc w:val="both"/>
        <w:rPr>
          <w:rFonts w:ascii="Times New Roman" w:eastAsia="Times New Roman" w:hAnsi="Times New Roman" w:cs="Times New Roman"/>
          <w:sz w:val="28"/>
          <w:szCs w:val="28"/>
        </w:rPr>
      </w:pPr>
    </w:p>
    <w:p w14:paraId="512E57F5" w14:textId="6B1CD7C5" w:rsidR="00E329BA" w:rsidRPr="00E329BA" w:rsidRDefault="00E329BA" w:rsidP="002F5454">
      <w:pPr>
        <w:jc w:val="both"/>
        <w:rPr>
          <w:rFonts w:ascii="Times New Roman" w:hAnsi="Times New Roman" w:cs="Times New Roman"/>
          <w:b/>
          <w:sz w:val="28"/>
          <w:szCs w:val="28"/>
        </w:rPr>
      </w:pPr>
      <w:r w:rsidRPr="00E329BA">
        <w:rPr>
          <w:rFonts w:ascii="Times New Roman" w:hAnsi="Times New Roman" w:cs="Times New Roman"/>
          <w:b/>
          <w:sz w:val="28"/>
          <w:szCs w:val="28"/>
        </w:rPr>
        <w:t xml:space="preserve">References </w:t>
      </w:r>
    </w:p>
    <w:p w14:paraId="2D6B1E20" w14:textId="614ECA13" w:rsidR="003D52FE" w:rsidRPr="003D52FE" w:rsidRDefault="003D52FE" w:rsidP="004403F7">
      <w:pPr>
        <w:pStyle w:val="Bibliography"/>
        <w:ind w:left="720" w:hanging="720"/>
        <w:rPr>
          <w:rFonts w:ascii="Times New Roman" w:hAnsi="Times New Roman" w:cs="Times New Roman"/>
          <w:sz w:val="24"/>
        </w:rPr>
      </w:pPr>
      <w:r>
        <w:rPr>
          <w:rFonts w:eastAsia="Times New Roman"/>
        </w:rPr>
        <w:fldChar w:fldCharType="begin"/>
      </w:r>
      <w:r>
        <w:rPr>
          <w:rFonts w:eastAsia="Times New Roman"/>
        </w:rPr>
        <w:instrText xml:space="preserve"> ADDIN ZOTERO_BIBL {"uncited":[],"omitted":[],"custom":[]} CSL_BIBLIOGRAPHY </w:instrText>
      </w:r>
      <w:r>
        <w:rPr>
          <w:rFonts w:eastAsia="Times New Roman"/>
        </w:rPr>
        <w:fldChar w:fldCharType="separate"/>
      </w:r>
      <w:r w:rsidRPr="003D52FE">
        <w:rPr>
          <w:rFonts w:ascii="Times New Roman" w:hAnsi="Times New Roman" w:cs="Times New Roman"/>
          <w:sz w:val="24"/>
        </w:rPr>
        <w:t>1.</w:t>
      </w:r>
      <w:r w:rsidRPr="003D52FE">
        <w:rPr>
          <w:rFonts w:ascii="Times New Roman" w:hAnsi="Times New Roman" w:cs="Times New Roman"/>
          <w:sz w:val="24"/>
        </w:rPr>
        <w:tab/>
        <w:t>World Ba</w:t>
      </w:r>
      <w:r>
        <w:rPr>
          <w:rFonts w:ascii="Times New Roman" w:hAnsi="Times New Roman" w:cs="Times New Roman"/>
          <w:sz w:val="24"/>
        </w:rPr>
        <w:t>nk Group. World Bank</w:t>
      </w:r>
      <w:r w:rsidRPr="003D52FE">
        <w:rPr>
          <w:rFonts w:ascii="Times New Roman" w:hAnsi="Times New Roman" w:cs="Times New Roman"/>
          <w:sz w:val="24"/>
        </w:rPr>
        <w:t xml:space="preserve"> [cited 2025 Jul 10]. One Health Approach - Prevent the Next Pandemic. Available from: https://www.worldbank.org/en/news/feature/2022/10/24/one-health-approach-can-prevent-the-next-pandemic</w:t>
      </w:r>
    </w:p>
    <w:p w14:paraId="016F88D8"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w:t>
      </w:r>
      <w:r w:rsidRPr="003D52FE">
        <w:rPr>
          <w:rFonts w:ascii="Times New Roman" w:hAnsi="Times New Roman" w:cs="Times New Roman"/>
          <w:sz w:val="24"/>
        </w:rPr>
        <w:tab/>
        <w:t>Lal A, Ashworth HC, Dada S, Hoemeke L, Tambo E. Optimizing Pandemic Preparedness and Response Through Health Information Systems: Lessons Learned From Ebola to COVID-19. Disaster Med Public Health Prep. 2022 Feb;16(1):333–40. doi:10.1017/dmp.2020.361</w:t>
      </w:r>
    </w:p>
    <w:p w14:paraId="2EE18A6E"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3.</w:t>
      </w:r>
      <w:r w:rsidRPr="003D52FE">
        <w:rPr>
          <w:rFonts w:ascii="Times New Roman" w:hAnsi="Times New Roman" w:cs="Times New Roman"/>
          <w:sz w:val="24"/>
        </w:rPr>
        <w:tab/>
        <w:t>Hassan OA, de Balogh K, Winkler AS. One Health early warning and response system for zoonotic diseases outbreaks: Emphasis on the involvement of grassroots actors. Vet Med Sci. 2023;9(4):1881–9. doi:10.1002/vms3.1135</w:t>
      </w:r>
    </w:p>
    <w:p w14:paraId="1D886E23"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4.</w:t>
      </w:r>
      <w:r w:rsidRPr="003D52FE">
        <w:rPr>
          <w:rFonts w:ascii="Times New Roman" w:hAnsi="Times New Roman" w:cs="Times New Roman"/>
          <w:sz w:val="24"/>
        </w:rPr>
        <w:tab/>
        <w:t>Osman Y, Zinsstag J, Abtidon R, Hattendorf J, Crump L, Wali H, et al. Operationalizing a community-based OneHealth surveillance and response in Adadle district of Ethiopia. CABI One Health. 2023;2(1). doi:https://doi.org/10.1079/cabionehealth.2023.0014</w:t>
      </w:r>
    </w:p>
    <w:p w14:paraId="15F60155"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5.</w:t>
      </w:r>
      <w:r w:rsidRPr="003D52FE">
        <w:rPr>
          <w:rFonts w:ascii="Times New Roman" w:hAnsi="Times New Roman" w:cs="Times New Roman"/>
          <w:sz w:val="24"/>
        </w:rPr>
        <w:tab/>
        <w:t>Saito K, Komasawa M, Ssekitoleko R, Aung MN. Enhancing community health system resilience: lessons learnt during the COVID-19 pandemic in Uganda through the qualitative inquiry of the COVID Task Force. Front Public Health. 2023 Nov 16;11. doi:10.3389/fpubh.2023.1214307</w:t>
      </w:r>
    </w:p>
    <w:p w14:paraId="199DD616"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6.</w:t>
      </w:r>
      <w:r w:rsidRPr="003D52FE">
        <w:rPr>
          <w:rFonts w:ascii="Times New Roman" w:hAnsi="Times New Roman" w:cs="Times New Roman"/>
          <w:sz w:val="24"/>
        </w:rPr>
        <w:tab/>
        <w:t>Dine RD, Umutoni AU, Umulisa MM, Ezeanochie N, Noben J, Indoe EP, et al. Best practices and lessons learned from implementing a massive Ebola vaccination program: Summarizing UMURINZI team experience. Health Sci Rep. 2023 Oct 9;6(10):e1618. doi:10.1002/hsr2.1618 PubMed PMID: 37822840; PubMed Central PMCID: PMC10562525.</w:t>
      </w:r>
    </w:p>
    <w:p w14:paraId="572ACEAA"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7.</w:t>
      </w:r>
      <w:r w:rsidRPr="003D52FE">
        <w:rPr>
          <w:rFonts w:ascii="Times New Roman" w:hAnsi="Times New Roman" w:cs="Times New Roman"/>
          <w:sz w:val="24"/>
        </w:rPr>
        <w:tab/>
        <w:t>Sebera F, Dedeken P, Kayirangwa J, Umwiringirwa J, Kajeneza D, dos Reis NA, et al. Effectiveness of community health workers on identification and mobilization of persons living with epilepsy in rural Rwanda using a validated screening tool. Hum Resour Health. 2022 Jan 21;20(1):10. doi:10.1186/s12960-022-00704-5</w:t>
      </w:r>
    </w:p>
    <w:p w14:paraId="20472896"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8.</w:t>
      </w:r>
      <w:r w:rsidRPr="003D52FE">
        <w:rPr>
          <w:rFonts w:ascii="Times New Roman" w:hAnsi="Times New Roman" w:cs="Times New Roman"/>
          <w:sz w:val="24"/>
        </w:rPr>
        <w:tab/>
        <w:t>Republic of Rwanda. Social Transformation [Internet]. [cited 2025 Jul 10]. Available from: https://www.gov.rw/highlights/social-transformation?utm_source=chatgpt.com</w:t>
      </w:r>
    </w:p>
    <w:p w14:paraId="64ECD5F6"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9.</w:t>
      </w:r>
      <w:r w:rsidRPr="003D52FE">
        <w:rPr>
          <w:rFonts w:ascii="Times New Roman" w:hAnsi="Times New Roman" w:cs="Times New Roman"/>
          <w:sz w:val="24"/>
        </w:rPr>
        <w:tab/>
        <w:t>World Organization for Animal Health. OIE PVS Evaluation Follow-Up Mission Report [Internet]. 2019. Available from: chrome-extension://efaidnbmnnnibpcajpcglclefindmkaj/https://www.woah.org/fileadmin/Home/eng/Support_to_OIE_Members/pdf/20191218_Rwanda_PVS_FU_report_2019_final.pdf</w:t>
      </w:r>
    </w:p>
    <w:p w14:paraId="6CD9258B"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10.</w:t>
      </w:r>
      <w:r w:rsidRPr="003D52FE">
        <w:rPr>
          <w:rFonts w:ascii="Times New Roman" w:hAnsi="Times New Roman" w:cs="Times New Roman"/>
          <w:sz w:val="24"/>
        </w:rPr>
        <w:tab/>
        <w:t>Himeidan YE. Rift Valley fever: current challenges and future prospects. Res Rep Trop Med. 2016;7:1–9. doi:10.2147/RRTM.S63520 PubMed PMID: 30050334; PubMed Central PMCID: PMC6028057.</w:t>
      </w:r>
    </w:p>
    <w:p w14:paraId="618223E7"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lastRenderedPageBreak/>
        <w:t>11.</w:t>
      </w:r>
      <w:r w:rsidRPr="003D52FE">
        <w:rPr>
          <w:rFonts w:ascii="Times New Roman" w:hAnsi="Times New Roman" w:cs="Times New Roman"/>
          <w:sz w:val="24"/>
        </w:rPr>
        <w:tab/>
        <w:t>Errecaborde KM, Macy KW, Pekol A, Perez S, O’Brien MK, Allen I, et al. Factors that enable effective One Health collaborations - A scoping review of the literature. PLoS ONE. 2019 Dec 4;14(12):e0224660. doi:10.1371/journal.pone.0224660 PubMed PMID: 31800579; PubMed Central PMCID: PMC6892547.</w:t>
      </w:r>
    </w:p>
    <w:p w14:paraId="58A85006"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12.</w:t>
      </w:r>
      <w:r w:rsidRPr="003D52FE">
        <w:rPr>
          <w:rFonts w:ascii="Times New Roman" w:hAnsi="Times New Roman" w:cs="Times New Roman"/>
          <w:sz w:val="24"/>
        </w:rPr>
        <w:tab/>
        <w:t>Stephen C. Strengthening ties with public health for joint action on global health threats. Part 2. Can Vet J. 64(4):385–7. PubMed PMID: 37008645; PubMed Central PMCID: PMC10031781.</w:t>
      </w:r>
    </w:p>
    <w:p w14:paraId="4C12E0BA"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13.</w:t>
      </w:r>
      <w:r w:rsidRPr="003D52FE">
        <w:rPr>
          <w:rFonts w:ascii="Times New Roman" w:hAnsi="Times New Roman" w:cs="Times New Roman"/>
          <w:sz w:val="24"/>
        </w:rPr>
        <w:tab/>
        <w:t>Niyigena A, Nyirahabimana N, Cubaka V, Mukandayisenga V, Ngizwenayo E, Niyigena PC, et al. Knowledge and practices surrounding outbreaks and COVID-19 among community health workers in rural Rwanda: a cross-sectional mixed-methods study. Pan Afr Med J. 2023 May 15;45:35. doi:10.11604/pamj.2023.45.35.37020 PubMed PMID: 37545611; PubMed Central PMCID: PMC10403765.</w:t>
      </w:r>
    </w:p>
    <w:p w14:paraId="0B4424A7"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14.</w:t>
      </w:r>
      <w:r w:rsidRPr="003D52FE">
        <w:rPr>
          <w:rFonts w:ascii="Times New Roman" w:hAnsi="Times New Roman" w:cs="Times New Roman"/>
          <w:sz w:val="24"/>
        </w:rPr>
        <w:tab/>
        <w:t>Umulisa MM, Uwizera AU, Ezeanochie N, Noben J, Indoe EP, Kayumba M, et al. Community members’ knowledge, attitude, and practices towards Ebola virus prevention in the Western Province of Rwanda. J Health Popul Nutr. 2025 Mar 5;44(1):65. doi:10.1186/s41043-025-00741-5</w:t>
      </w:r>
    </w:p>
    <w:p w14:paraId="503ECF6B"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15.</w:t>
      </w:r>
      <w:r w:rsidRPr="003D52FE">
        <w:rPr>
          <w:rFonts w:ascii="Times New Roman" w:hAnsi="Times New Roman" w:cs="Times New Roman"/>
          <w:sz w:val="24"/>
        </w:rPr>
        <w:tab/>
        <w:t>Decouttere C, Banzimana S, Davidsen P, Van Riet C, Vandermeulen C, Mason E, et al. Insights into vaccine hesitancy from systems thinking, Rwanda. Bull World Health Organ. 2021 Nov 1;99(11):783-794D. doi:10.2471/BLT.20.285258 PubMed PMID: 34737471; PubMed Central PMCID: PMC8542260.</w:t>
      </w:r>
    </w:p>
    <w:p w14:paraId="14A810EB"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16.</w:t>
      </w:r>
      <w:r w:rsidRPr="003D52FE">
        <w:rPr>
          <w:rFonts w:ascii="Times New Roman" w:hAnsi="Times New Roman" w:cs="Times New Roman"/>
          <w:sz w:val="24"/>
        </w:rPr>
        <w:tab/>
        <w:t>Tan M, Otake Y, Tamming T, Akuredusenge V, Uwinama B, Hagenimana F. Local experience of using traditional medicine in northern Rwanda: a qualitative study. BMC Complement Med Ther. 2021 Aug 13;21(1):210. doi:10.1186/s12906-021-03380-5</w:t>
      </w:r>
    </w:p>
    <w:p w14:paraId="0E9DC112"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17.</w:t>
      </w:r>
      <w:r w:rsidRPr="003D52FE">
        <w:rPr>
          <w:rFonts w:ascii="Times New Roman" w:hAnsi="Times New Roman" w:cs="Times New Roman"/>
          <w:sz w:val="24"/>
        </w:rPr>
        <w:tab/>
        <w:t>Wilcox BA, Aguirre AA, De Paula N, Siriaroonrat B, Echaubard P. Operationalizing One Health Employing Social-Ecological Systems Theory: Lessons From the Greater Mekong Sub-region. Front Public Health. 2019 May 22;7:85. doi:10.3389/fpubh.2019.00085 PubMed PMID: 31192179; PubMed Central PMCID: PMC6547168.</w:t>
      </w:r>
    </w:p>
    <w:p w14:paraId="55047DC5"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18.</w:t>
      </w:r>
      <w:r w:rsidRPr="003D52FE">
        <w:rPr>
          <w:rFonts w:ascii="Times New Roman" w:hAnsi="Times New Roman" w:cs="Times New Roman"/>
          <w:sz w:val="24"/>
        </w:rPr>
        <w:tab/>
        <w:t>Alyafei A, Easton-Carr R. The Health Belief Model of Behavior Change. In: StatPearls [Internet] [Internet]. StatPearls Publishing; 2024 [cited 2026 Apr 2]. Available from: https://www.ncbi.nlm.nih.gov/books/NBK606120/ PubMed PMID: 39163427.</w:t>
      </w:r>
    </w:p>
    <w:p w14:paraId="2859CB2E"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19.</w:t>
      </w:r>
      <w:r w:rsidRPr="003D52FE">
        <w:rPr>
          <w:rFonts w:ascii="Times New Roman" w:hAnsi="Times New Roman" w:cs="Times New Roman"/>
          <w:sz w:val="24"/>
        </w:rPr>
        <w:tab/>
        <w:t>Sandelowski M. Whatever happened to qualitative description? Res Nurs Health. 2000 Aug;23(4):334–40. doi:10.1002/1098-240x(200008)23:4%3C334::aid-nur9%3E3.0.co;2-g PubMed PMID: 10940958.</w:t>
      </w:r>
    </w:p>
    <w:p w14:paraId="17D46AAC"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20.</w:t>
      </w:r>
      <w:r w:rsidRPr="003D52FE">
        <w:rPr>
          <w:rFonts w:ascii="Times New Roman" w:hAnsi="Times New Roman" w:cs="Times New Roman"/>
          <w:sz w:val="24"/>
        </w:rPr>
        <w:tab/>
        <w:t>Gale NK, Heath G, Cameron E, Rashid S, Redwood S. Using the framework method for the analysis of qualitative data in multi-disciplinary health research. BMC Med Res Methodol. 2013 Sep 18;13:117. doi:10.1186/1471-2288-13-117 PubMed PMID: 24047204; PubMed Central PMCID: PMC3848812.</w:t>
      </w:r>
    </w:p>
    <w:p w14:paraId="4B0CFC7C"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21.</w:t>
      </w:r>
      <w:r w:rsidRPr="003D52FE">
        <w:rPr>
          <w:rFonts w:ascii="Times New Roman" w:hAnsi="Times New Roman" w:cs="Times New Roman"/>
          <w:sz w:val="24"/>
        </w:rPr>
        <w:tab/>
        <w:t>Lee K, Brumme ZL. Operationalizing the One Health approach: the global governance challenges. Health Policy Plan. 2013 Oct;28(7):778–85. doi:10.1093/heapol/czs127 PubMed PMID: 23221123.</w:t>
      </w:r>
    </w:p>
    <w:p w14:paraId="4C3EFD22"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lastRenderedPageBreak/>
        <w:t>22.</w:t>
      </w:r>
      <w:r w:rsidRPr="003D52FE">
        <w:rPr>
          <w:rFonts w:ascii="Times New Roman" w:hAnsi="Times New Roman" w:cs="Times New Roman"/>
          <w:sz w:val="24"/>
        </w:rPr>
        <w:tab/>
        <w:t>Bordier M, Uea-Anuwong T, Binot A, Hendrikx P, Goutard FL. Characteristics of One Health surveillance systems: A systematic literature review. Prev Vet Med. 2020 Aug;181:104560. doi:10.1016/j.prevetmed.2018.10.005 PubMed PMID: 30528937.</w:t>
      </w:r>
    </w:p>
    <w:p w14:paraId="2781E442"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23.</w:t>
      </w:r>
      <w:r w:rsidRPr="003D52FE">
        <w:rPr>
          <w:rFonts w:ascii="Times New Roman" w:hAnsi="Times New Roman" w:cs="Times New Roman"/>
          <w:sz w:val="24"/>
        </w:rPr>
        <w:tab/>
        <w:t>Hugor S, Izudi J, Shyaka A. Participation of livestock farmers and community animal health workers in one health intervention to control zoonotic diseases in Rwanda: a qualitative study. BMC Infect Dis. 2026 Jan 27;26:398. doi:10.1186/s12879-026-12696-x PubMed PMID: 41593522; PubMed Central PMCID: PMC12918547.</w:t>
      </w:r>
    </w:p>
    <w:p w14:paraId="3D1E88D3"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24.</w:t>
      </w:r>
      <w:r w:rsidRPr="003D52FE">
        <w:rPr>
          <w:rFonts w:ascii="Times New Roman" w:hAnsi="Times New Roman" w:cs="Times New Roman"/>
          <w:sz w:val="24"/>
        </w:rPr>
        <w:tab/>
        <w:t>Sangong S, Saah FI, Bain LE. Effective community engagement in one health research in Sub-Saharan Africa: a systematic review. One Health Outlook. 2025 Jan 15;7(1):4. doi:10.1186/s42522-024-00126-4 PubMed PMID: 39810220; PubMed Central PMCID: PMC11734441.</w:t>
      </w:r>
    </w:p>
    <w:p w14:paraId="5773E01E"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25.</w:t>
      </w:r>
      <w:r w:rsidRPr="003D52FE">
        <w:rPr>
          <w:rFonts w:ascii="Times New Roman" w:hAnsi="Times New Roman" w:cs="Times New Roman"/>
          <w:sz w:val="24"/>
        </w:rPr>
        <w:tab/>
        <w:t>World Health Organization (WHO). Risk Communication [Internet]. Available from: https://www.who.int/emergencies/risk-communications</w:t>
      </w:r>
    </w:p>
    <w:p w14:paraId="1369B418" w14:textId="77777777" w:rsidR="003D52FE" w:rsidRPr="003D52FE" w:rsidRDefault="003D52FE" w:rsidP="004403F7">
      <w:pPr>
        <w:pStyle w:val="Bibliography"/>
        <w:ind w:left="720" w:hanging="720"/>
        <w:jc w:val="both"/>
        <w:rPr>
          <w:rFonts w:ascii="Times New Roman" w:hAnsi="Times New Roman" w:cs="Times New Roman"/>
          <w:sz w:val="24"/>
        </w:rPr>
      </w:pPr>
      <w:r w:rsidRPr="003D52FE">
        <w:rPr>
          <w:rFonts w:ascii="Times New Roman" w:hAnsi="Times New Roman" w:cs="Times New Roman"/>
          <w:sz w:val="24"/>
        </w:rPr>
        <w:t>26.</w:t>
      </w:r>
      <w:r w:rsidRPr="003D52FE">
        <w:rPr>
          <w:rFonts w:ascii="Times New Roman" w:hAnsi="Times New Roman" w:cs="Times New Roman"/>
          <w:sz w:val="24"/>
        </w:rPr>
        <w:tab/>
        <w:t>Kuhn C, Hayibor KM, Acheampong AT, Pires LSA, Costa-Ribeiro MCV, Burrone MS, et al. How studies on zoonotic risks in wildlife implement the one health approach - A systematic review. One Health. 2024 Dec;19:100929. doi:10.1016/j.onehlt.2024.100929 PubMed PMID: 39585343; PubMed Central PMCID: PMC11582546.</w:t>
      </w:r>
    </w:p>
    <w:p w14:paraId="592EC459"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27.</w:t>
      </w:r>
      <w:r w:rsidRPr="003D52FE">
        <w:rPr>
          <w:rFonts w:ascii="Times New Roman" w:hAnsi="Times New Roman" w:cs="Times New Roman"/>
          <w:sz w:val="24"/>
        </w:rPr>
        <w:tab/>
        <w:t>Stewart CP, Arnold CD, Williams AM, Arnold BF, Pickering AJ, Dentz H, et al. Social Desirability Bias in a Randomized Controlled Trial That Included Breastfeeding Promotion in Western Kenya. Curr Dev Nutr. 2024 Sep 23;9(Suppl 1):103779. doi:10.1016/j.cdnut.2024.103779 PubMed PMID: 40454163; PubMed Central PMCID: PMC12125686.</w:t>
      </w:r>
    </w:p>
    <w:p w14:paraId="722F7D0B" w14:textId="77777777" w:rsidR="003D52FE" w:rsidRPr="003D52FE" w:rsidRDefault="003D52FE" w:rsidP="004403F7">
      <w:pPr>
        <w:pStyle w:val="Bibliography"/>
        <w:ind w:left="720" w:hanging="720"/>
        <w:rPr>
          <w:rFonts w:ascii="Times New Roman" w:hAnsi="Times New Roman" w:cs="Times New Roman"/>
          <w:sz w:val="24"/>
        </w:rPr>
      </w:pPr>
      <w:r w:rsidRPr="003D52FE">
        <w:rPr>
          <w:rFonts w:ascii="Times New Roman" w:hAnsi="Times New Roman" w:cs="Times New Roman"/>
          <w:sz w:val="24"/>
        </w:rPr>
        <w:t>28.</w:t>
      </w:r>
      <w:r w:rsidRPr="003D52FE">
        <w:rPr>
          <w:rFonts w:ascii="Times New Roman" w:hAnsi="Times New Roman" w:cs="Times New Roman"/>
          <w:sz w:val="24"/>
        </w:rPr>
        <w:tab/>
        <w:t>Polit DF, Beck CT. Generalization in quantitative and qualitative research: myths and strategies. Int J Nurs Stud. 2010 Nov;47(11):1451–8. doi:10.1016/j.ijnurstu.2010.06.004 PubMed PMID: 20598692.</w:t>
      </w:r>
    </w:p>
    <w:p w14:paraId="0000007B" w14:textId="16240346" w:rsidR="00B27914" w:rsidRPr="00180B50" w:rsidRDefault="003D52FE" w:rsidP="004403F7">
      <w:pPr>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end"/>
      </w:r>
    </w:p>
    <w:sectPr w:rsidR="00B27914" w:rsidRPr="00180B50" w:rsidSect="00715BF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embedRegular r:id="rId1" w:fontKey="{8FBBE569-9E05-418E-9E97-9DD4E763E5EA}"/>
  </w:font>
  <w:font w:name="Calibri">
    <w:panose1 w:val="020F0502020204030204"/>
    <w:charset w:val="00"/>
    <w:family w:val="swiss"/>
    <w:pitch w:val="variable"/>
    <w:sig w:usb0="E4002EFF" w:usb1="C200247B" w:usb2="00000009" w:usb3="00000000" w:csb0="000001FF" w:csb1="00000000"/>
    <w:embedRegular r:id="rId2" w:fontKey="{F39D3C3D-4DE0-488C-B304-05C65ADD7ECA}"/>
  </w:font>
  <w:font w:name="Cambria">
    <w:panose1 w:val="02040503050406030204"/>
    <w:charset w:val="00"/>
    <w:family w:val="roman"/>
    <w:pitch w:val="variable"/>
    <w:sig w:usb0="E00006FF" w:usb1="420024FF" w:usb2="02000000" w:usb3="00000000" w:csb0="0000019F" w:csb1="00000000"/>
    <w:embedRegular r:id="rId3" w:fontKey="{B8BACF16-629B-4915-B7CD-9C235ACF2E51}"/>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0F67872"/>
    <w:multiLevelType w:val="hybridMultilevel"/>
    <w:tmpl w:val="FEA46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914"/>
    <w:rsid w:val="00023B0C"/>
    <w:rsid w:val="00024765"/>
    <w:rsid w:val="000315DD"/>
    <w:rsid w:val="000643ED"/>
    <w:rsid w:val="000826FE"/>
    <w:rsid w:val="00090B7A"/>
    <w:rsid w:val="000B36BF"/>
    <w:rsid w:val="000C69A7"/>
    <w:rsid w:val="000C6DA4"/>
    <w:rsid w:val="00102A2E"/>
    <w:rsid w:val="0013231F"/>
    <w:rsid w:val="00162982"/>
    <w:rsid w:val="00177261"/>
    <w:rsid w:val="00180B50"/>
    <w:rsid w:val="00183A3E"/>
    <w:rsid w:val="00186286"/>
    <w:rsid w:val="00192A53"/>
    <w:rsid w:val="00197E20"/>
    <w:rsid w:val="001A5144"/>
    <w:rsid w:val="001C20E2"/>
    <w:rsid w:val="001C5AFE"/>
    <w:rsid w:val="00220156"/>
    <w:rsid w:val="0022085E"/>
    <w:rsid w:val="00225934"/>
    <w:rsid w:val="00275BC1"/>
    <w:rsid w:val="00281062"/>
    <w:rsid w:val="00284AD5"/>
    <w:rsid w:val="002911EC"/>
    <w:rsid w:val="002A3D0A"/>
    <w:rsid w:val="002B5CFD"/>
    <w:rsid w:val="002C633D"/>
    <w:rsid w:val="002C7931"/>
    <w:rsid w:val="002E13E4"/>
    <w:rsid w:val="002E2937"/>
    <w:rsid w:val="002F5454"/>
    <w:rsid w:val="0031477A"/>
    <w:rsid w:val="0031662A"/>
    <w:rsid w:val="00335F6F"/>
    <w:rsid w:val="003622A1"/>
    <w:rsid w:val="0036496E"/>
    <w:rsid w:val="00375058"/>
    <w:rsid w:val="00386088"/>
    <w:rsid w:val="00387670"/>
    <w:rsid w:val="003A7C3B"/>
    <w:rsid w:val="003A7FEC"/>
    <w:rsid w:val="003C0078"/>
    <w:rsid w:val="003C2EF8"/>
    <w:rsid w:val="003C3C1C"/>
    <w:rsid w:val="003C46B3"/>
    <w:rsid w:val="003D1D99"/>
    <w:rsid w:val="003D2996"/>
    <w:rsid w:val="003D52FE"/>
    <w:rsid w:val="004042DA"/>
    <w:rsid w:val="00407DB0"/>
    <w:rsid w:val="00416AF7"/>
    <w:rsid w:val="004403F7"/>
    <w:rsid w:val="00486836"/>
    <w:rsid w:val="004922BD"/>
    <w:rsid w:val="00495D09"/>
    <w:rsid w:val="004B0EB6"/>
    <w:rsid w:val="004C3DAB"/>
    <w:rsid w:val="004D7424"/>
    <w:rsid w:val="004E1560"/>
    <w:rsid w:val="004F2225"/>
    <w:rsid w:val="00565955"/>
    <w:rsid w:val="00573A53"/>
    <w:rsid w:val="005823FF"/>
    <w:rsid w:val="005919ED"/>
    <w:rsid w:val="005A3E52"/>
    <w:rsid w:val="005B3C00"/>
    <w:rsid w:val="005B456E"/>
    <w:rsid w:val="00602660"/>
    <w:rsid w:val="00603967"/>
    <w:rsid w:val="00636521"/>
    <w:rsid w:val="00646488"/>
    <w:rsid w:val="006504ED"/>
    <w:rsid w:val="006540A3"/>
    <w:rsid w:val="00681DFD"/>
    <w:rsid w:val="006A36F6"/>
    <w:rsid w:val="006B3F4E"/>
    <w:rsid w:val="006C0436"/>
    <w:rsid w:val="006D2E63"/>
    <w:rsid w:val="00704C3C"/>
    <w:rsid w:val="00714831"/>
    <w:rsid w:val="00715BF5"/>
    <w:rsid w:val="00723F7E"/>
    <w:rsid w:val="00770F9E"/>
    <w:rsid w:val="00793BDB"/>
    <w:rsid w:val="007A4BF9"/>
    <w:rsid w:val="007A7D4E"/>
    <w:rsid w:val="007E13CC"/>
    <w:rsid w:val="007F4BC4"/>
    <w:rsid w:val="007F4CC1"/>
    <w:rsid w:val="00802D15"/>
    <w:rsid w:val="008460D1"/>
    <w:rsid w:val="00874077"/>
    <w:rsid w:val="008A59CA"/>
    <w:rsid w:val="008C78DA"/>
    <w:rsid w:val="008D11E9"/>
    <w:rsid w:val="008D3E82"/>
    <w:rsid w:val="009111A2"/>
    <w:rsid w:val="00940668"/>
    <w:rsid w:val="00965966"/>
    <w:rsid w:val="00977C61"/>
    <w:rsid w:val="0098688E"/>
    <w:rsid w:val="00990450"/>
    <w:rsid w:val="009A21E9"/>
    <w:rsid w:val="009A70A3"/>
    <w:rsid w:val="009B10FC"/>
    <w:rsid w:val="009B46D2"/>
    <w:rsid w:val="009C3844"/>
    <w:rsid w:val="009E25A8"/>
    <w:rsid w:val="00A038A6"/>
    <w:rsid w:val="00A12350"/>
    <w:rsid w:val="00A20624"/>
    <w:rsid w:val="00A52025"/>
    <w:rsid w:val="00A77AA3"/>
    <w:rsid w:val="00A80B16"/>
    <w:rsid w:val="00A931BA"/>
    <w:rsid w:val="00AA585C"/>
    <w:rsid w:val="00AB281A"/>
    <w:rsid w:val="00AF4EE9"/>
    <w:rsid w:val="00B02466"/>
    <w:rsid w:val="00B12599"/>
    <w:rsid w:val="00B278DB"/>
    <w:rsid w:val="00B27914"/>
    <w:rsid w:val="00B51FF1"/>
    <w:rsid w:val="00B72736"/>
    <w:rsid w:val="00B82F5E"/>
    <w:rsid w:val="00BA6FA6"/>
    <w:rsid w:val="00BC3A8F"/>
    <w:rsid w:val="00BD1065"/>
    <w:rsid w:val="00BD636B"/>
    <w:rsid w:val="00C15C90"/>
    <w:rsid w:val="00C63944"/>
    <w:rsid w:val="00C95049"/>
    <w:rsid w:val="00CA0390"/>
    <w:rsid w:val="00CB683F"/>
    <w:rsid w:val="00CD095D"/>
    <w:rsid w:val="00D178D9"/>
    <w:rsid w:val="00D2336E"/>
    <w:rsid w:val="00D30A13"/>
    <w:rsid w:val="00D45B36"/>
    <w:rsid w:val="00D9123D"/>
    <w:rsid w:val="00D97547"/>
    <w:rsid w:val="00DA60A1"/>
    <w:rsid w:val="00E22C5D"/>
    <w:rsid w:val="00E25C27"/>
    <w:rsid w:val="00E2774C"/>
    <w:rsid w:val="00E329BA"/>
    <w:rsid w:val="00E43CA1"/>
    <w:rsid w:val="00E503DB"/>
    <w:rsid w:val="00E54C82"/>
    <w:rsid w:val="00E8050B"/>
    <w:rsid w:val="00E877CD"/>
    <w:rsid w:val="00E93E24"/>
    <w:rsid w:val="00E96B44"/>
    <w:rsid w:val="00EB0468"/>
    <w:rsid w:val="00ED4CF3"/>
    <w:rsid w:val="00F74205"/>
    <w:rsid w:val="00F82528"/>
    <w:rsid w:val="00F86FC2"/>
    <w:rsid w:val="00F87EE9"/>
    <w:rsid w:val="00FB16E7"/>
    <w:rsid w:val="00FB47DF"/>
    <w:rsid w:val="00FF15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3FFDC"/>
  <w15:docId w15:val="{8D155DC5-BC8D-4D91-83F7-AC9AD29B5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ListParagraph">
    <w:name w:val="List Paragraph"/>
    <w:basedOn w:val="Normal"/>
    <w:uiPriority w:val="34"/>
    <w:qFormat/>
    <w:rsid w:val="00AA585C"/>
    <w:pPr>
      <w:ind w:left="720"/>
      <w:contextualSpacing/>
    </w:pPr>
  </w:style>
  <w:style w:type="paragraph" w:customStyle="1" w:styleId="Default">
    <w:name w:val="Default"/>
    <w:rsid w:val="00A20624"/>
    <w:pPr>
      <w:autoSpaceDE w:val="0"/>
      <w:autoSpaceDN w:val="0"/>
      <w:adjustRightInd w:val="0"/>
      <w:spacing w:line="240" w:lineRule="auto"/>
    </w:pPr>
    <w:rPr>
      <w:color w:val="000000"/>
      <w:sz w:val="24"/>
      <w:szCs w:val="24"/>
    </w:rPr>
  </w:style>
  <w:style w:type="table" w:styleId="TableGrid">
    <w:name w:val="Table Grid"/>
    <w:basedOn w:val="TableNormal"/>
    <w:uiPriority w:val="39"/>
    <w:rsid w:val="000826F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D2336E"/>
  </w:style>
  <w:style w:type="character" w:styleId="Hyperlink">
    <w:name w:val="Hyperlink"/>
    <w:basedOn w:val="DefaultParagraphFont"/>
    <w:uiPriority w:val="99"/>
    <w:unhideWhenUsed/>
    <w:rsid w:val="002F5454"/>
    <w:rPr>
      <w:color w:val="0000FF" w:themeColor="hyperlink"/>
      <w:u w:val="single"/>
    </w:rPr>
  </w:style>
  <w:style w:type="paragraph" w:styleId="NormalWeb">
    <w:name w:val="Normal (Web)"/>
    <w:basedOn w:val="Normal"/>
    <w:uiPriority w:val="99"/>
    <w:unhideWhenUsed/>
    <w:rsid w:val="002F5454"/>
    <w:pPr>
      <w:spacing w:before="100" w:beforeAutospacing="1" w:after="100" w:afterAutospacing="1" w:line="240" w:lineRule="auto"/>
    </w:pPr>
    <w:rPr>
      <w:rFonts w:ascii="Times New Roman" w:eastAsia="Times New Roman" w:hAnsi="Times New Roman" w:cs="Times New Roman"/>
      <w:sz w:val="24"/>
      <w:szCs w:val="24"/>
    </w:rPr>
  </w:style>
  <w:style w:type="paragraph" w:styleId="PlainText">
    <w:name w:val="Plain Text"/>
    <w:basedOn w:val="Normal"/>
    <w:link w:val="PlainTextChar"/>
    <w:uiPriority w:val="99"/>
    <w:unhideWhenUsed/>
    <w:rsid w:val="00C63944"/>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rsid w:val="00C63944"/>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0479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50.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hyperlink" Target="mailto:dineroselinedzekem@gmail.com" TargetMode="External"/><Relationship Id="rId11"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chart" Target="charts/chart6.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wnloads\FGD%20Attendence%20lis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wnloads\FGD%20Attendence%20lis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FGD%20Attendence%20list%20(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FGD%20Attendence%20list%20(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IDI%20baseline.xlsx" TargetMode="External"/><Relationship Id="rId2" Type="http://schemas.microsoft.com/office/2011/relationships/chartColorStyle" Target="colors5.xml"/><Relationship Id="rId1" Type="http://schemas.microsoft.com/office/2011/relationships/chartStyle" Target="style5.xml"/></Relationships>
</file>

<file path=word/charts/_rels/chart50.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IDI%20baseline.xlsx" TargetMode="External"/><Relationship Id="rId2" Type="http://schemas.microsoft.com/office/2011/relationships/chartColorStyle" Target="colors50.xml"/><Relationship Id="rId1" Type="http://schemas.microsoft.com/office/2011/relationships/chartStyle" Target="style50.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IDI%20baselin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IDI%20baseline.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Documents\UNICEF%202025\3%20years%20project\Research\Phase%201%20analysis\IDI%20baseline.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[FGD Attendence list.xlsx]Chart Of Sex!PivotTable25</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Figure</a:t>
            </a:r>
            <a:r>
              <a:rPr lang="en-US" b="1" baseline="0"/>
              <a:t> 1</a:t>
            </a:r>
            <a:r>
              <a:rPr lang="en-US" b="1"/>
              <a:t>: Sex</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42.66%</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57.34%</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42.66%</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57.34%</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42.66%</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57.34%</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'Chart Of Sex'!$B$3</c:f>
              <c:strCache>
                <c:ptCount val="1"/>
                <c:pt idx="0">
                  <c:v>Total</c:v>
                </c:pt>
              </c:strCache>
            </c:strRef>
          </c:tx>
          <c:spPr>
            <a:solidFill>
              <a:schemeClr val="accent1"/>
            </a:solidFill>
            <a:ln>
              <a:noFill/>
            </a:ln>
            <a:effectLst/>
          </c:spPr>
          <c:invertIfNegative val="0"/>
          <c:dPt>
            <c:idx val="0"/>
            <c:invertIfNegative val="0"/>
            <c:bubble3D val="0"/>
            <c:extLst>
              <c:ext xmlns:c16="http://schemas.microsoft.com/office/drawing/2014/chart" uri="{C3380CC4-5D6E-409C-BE32-E72D297353CC}">
                <c16:uniqueId val="{00000000-DBAA-4610-9293-978AE1A4B775}"/>
              </c:ext>
            </c:extLst>
          </c:dPt>
          <c:dPt>
            <c:idx val="1"/>
            <c:invertIfNegative val="0"/>
            <c:bubble3D val="0"/>
            <c:extLst>
              <c:ext xmlns:c16="http://schemas.microsoft.com/office/drawing/2014/chart" uri="{C3380CC4-5D6E-409C-BE32-E72D297353CC}">
                <c16:uniqueId val="{00000001-DBAA-4610-9293-978AE1A4B775}"/>
              </c:ext>
            </c:extLst>
          </c:dPt>
          <c:dLbls>
            <c:dLbl>
              <c:idx val="0"/>
              <c:tx>
                <c:rich>
                  <a:bodyPr/>
                  <a:lstStyle/>
                  <a:p>
                    <a:r>
                      <a:rPr lang="en-US"/>
                      <a:t>42.66%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BAA-4610-9293-978AE1A4B775}"/>
                </c:ext>
              </c:extLst>
            </c:dLbl>
            <c:dLbl>
              <c:idx val="1"/>
              <c:tx>
                <c:rich>
                  <a:bodyPr/>
                  <a:lstStyle/>
                  <a:p>
                    <a:r>
                      <a:rPr lang="en-US"/>
                      <a:t>57.34%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BAA-4610-9293-978AE1A4B775}"/>
                </c:ext>
              </c:extLst>
            </c:dLbl>
            <c:spPr>
              <a:noFill/>
              <a:ln>
                <a:noFill/>
              </a:ln>
              <a:effectLst/>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Of Sex'!$A$4:$A$5</c:f>
              <c:strCache>
                <c:ptCount val="2"/>
                <c:pt idx="0">
                  <c:v>F</c:v>
                </c:pt>
                <c:pt idx="1">
                  <c:v>M</c:v>
                </c:pt>
              </c:strCache>
            </c:strRef>
          </c:cat>
          <c:val>
            <c:numRef>
              <c:f>'Chart Of Sex'!$B$4:$B$5</c:f>
              <c:numCache>
                <c:formatCode>General</c:formatCode>
                <c:ptCount val="2"/>
                <c:pt idx="0">
                  <c:v>61</c:v>
                </c:pt>
                <c:pt idx="1">
                  <c:v>82</c:v>
                </c:pt>
              </c:numCache>
            </c:numRef>
          </c:val>
          <c:extLst>
            <c:ext xmlns:c16="http://schemas.microsoft.com/office/drawing/2014/chart" uri="{C3380CC4-5D6E-409C-BE32-E72D297353CC}">
              <c16:uniqueId val="{00000002-DBAA-4610-9293-978AE1A4B775}"/>
            </c:ext>
          </c:extLst>
        </c:ser>
        <c:dLbls>
          <c:dLblPos val="outEnd"/>
          <c:showLegendKey val="0"/>
          <c:showVal val="1"/>
          <c:showCatName val="0"/>
          <c:showSerName val="0"/>
          <c:showPercent val="0"/>
          <c:showBubbleSize val="0"/>
        </c:dLbls>
        <c:gapWidth val="219"/>
        <c:overlap val="-27"/>
        <c:axId val="1913358352"/>
        <c:axId val="1913343792"/>
      </c:barChart>
      <c:catAx>
        <c:axId val="1913358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3343792"/>
        <c:crosses val="autoZero"/>
        <c:auto val="1"/>
        <c:lblAlgn val="ctr"/>
        <c:lblOffset val="100"/>
        <c:noMultiLvlLbl val="0"/>
      </c:catAx>
      <c:valAx>
        <c:axId val="1913343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3358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[FGD Attendence list.xlsx]Chart Of Age!PivotTable5</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Figure</a:t>
            </a:r>
            <a:r>
              <a:rPr lang="en-US" b="1" baseline="0"/>
              <a:t> 2: </a:t>
            </a:r>
            <a:r>
              <a:rPr lang="en-US" b="1"/>
              <a:t> 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11.19%</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43.36%</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25.17%</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16.78%</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3.50%</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11.19%</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43.36%</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25.17%</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16.78%</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3.50%</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11.19%</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43.36%</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25.17%</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16.78%</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3.50%</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'Chart Of Age'!$B$3</c:f>
              <c:strCache>
                <c:ptCount val="1"/>
                <c:pt idx="0">
                  <c:v>Total</c:v>
                </c:pt>
              </c:strCache>
            </c:strRef>
          </c:tx>
          <c:spPr>
            <a:solidFill>
              <a:schemeClr val="accent1"/>
            </a:solidFill>
            <a:ln>
              <a:noFill/>
            </a:ln>
            <a:effectLst/>
          </c:spPr>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2D82-42FA-A834-E7B21AFF2CE1}"/>
              </c:ext>
            </c:extLst>
          </c:dPt>
          <c:dPt>
            <c:idx val="1"/>
            <c:invertIfNegative val="0"/>
            <c:bubble3D val="0"/>
            <c:spPr>
              <a:solidFill>
                <a:schemeClr val="accent1"/>
              </a:solidFill>
              <a:ln>
                <a:noFill/>
              </a:ln>
              <a:effectLst/>
            </c:spPr>
            <c:extLst>
              <c:ext xmlns:c16="http://schemas.microsoft.com/office/drawing/2014/chart" uri="{C3380CC4-5D6E-409C-BE32-E72D297353CC}">
                <c16:uniqueId val="{00000003-2D82-42FA-A834-E7B21AFF2CE1}"/>
              </c:ext>
            </c:extLst>
          </c:dPt>
          <c:dPt>
            <c:idx val="2"/>
            <c:invertIfNegative val="0"/>
            <c:bubble3D val="0"/>
            <c:spPr>
              <a:solidFill>
                <a:schemeClr val="accent1"/>
              </a:solidFill>
              <a:ln>
                <a:noFill/>
              </a:ln>
              <a:effectLst/>
            </c:spPr>
            <c:extLst>
              <c:ext xmlns:c16="http://schemas.microsoft.com/office/drawing/2014/chart" uri="{C3380CC4-5D6E-409C-BE32-E72D297353CC}">
                <c16:uniqueId val="{00000005-2D82-42FA-A834-E7B21AFF2CE1}"/>
              </c:ext>
            </c:extLst>
          </c:dPt>
          <c:dPt>
            <c:idx val="3"/>
            <c:invertIfNegative val="0"/>
            <c:bubble3D val="0"/>
            <c:spPr>
              <a:solidFill>
                <a:schemeClr val="accent1"/>
              </a:solidFill>
              <a:ln>
                <a:noFill/>
              </a:ln>
              <a:effectLst/>
            </c:spPr>
            <c:extLst>
              <c:ext xmlns:c16="http://schemas.microsoft.com/office/drawing/2014/chart" uri="{C3380CC4-5D6E-409C-BE32-E72D297353CC}">
                <c16:uniqueId val="{00000007-2D82-42FA-A834-E7B21AFF2CE1}"/>
              </c:ext>
            </c:extLst>
          </c:dPt>
          <c:dPt>
            <c:idx val="4"/>
            <c:invertIfNegative val="0"/>
            <c:bubble3D val="0"/>
            <c:spPr>
              <a:solidFill>
                <a:schemeClr val="accent1"/>
              </a:solidFill>
              <a:ln>
                <a:noFill/>
              </a:ln>
              <a:effectLst/>
            </c:spPr>
            <c:extLst>
              <c:ext xmlns:c16="http://schemas.microsoft.com/office/drawing/2014/chart" uri="{C3380CC4-5D6E-409C-BE32-E72D297353CC}">
                <c16:uniqueId val="{00000009-2D82-42FA-A834-E7B21AFF2CE1}"/>
              </c:ext>
            </c:extLst>
          </c:dPt>
          <c:dLbls>
            <c:dLbl>
              <c:idx val="0"/>
              <c:tx>
                <c:rich>
                  <a:bodyPr/>
                  <a:lstStyle/>
                  <a:p>
                    <a:r>
                      <a:rPr lang="en-US"/>
                      <a:t>11.19%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D82-42FA-A834-E7B21AFF2CE1}"/>
                </c:ext>
              </c:extLst>
            </c:dLbl>
            <c:dLbl>
              <c:idx val="1"/>
              <c:tx>
                <c:rich>
                  <a:bodyPr/>
                  <a:lstStyle/>
                  <a:p>
                    <a:r>
                      <a:rPr lang="en-US"/>
                      <a:t>43.36%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D82-42FA-A834-E7B21AFF2CE1}"/>
                </c:ext>
              </c:extLst>
            </c:dLbl>
            <c:dLbl>
              <c:idx val="2"/>
              <c:tx>
                <c:rich>
                  <a:bodyPr/>
                  <a:lstStyle/>
                  <a:p>
                    <a:r>
                      <a:rPr lang="en-US"/>
                      <a:t>25.17%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D82-42FA-A834-E7B21AFF2CE1}"/>
                </c:ext>
              </c:extLst>
            </c:dLbl>
            <c:dLbl>
              <c:idx val="3"/>
              <c:tx>
                <c:rich>
                  <a:bodyPr/>
                  <a:lstStyle/>
                  <a:p>
                    <a:r>
                      <a:rPr lang="en-US"/>
                      <a:t>16.78%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D82-42FA-A834-E7B21AFF2CE1}"/>
                </c:ext>
              </c:extLst>
            </c:dLbl>
            <c:dLbl>
              <c:idx val="4"/>
              <c:tx>
                <c:rich>
                  <a:bodyPr/>
                  <a:lstStyle/>
                  <a:p>
                    <a:r>
                      <a:rPr lang="en-US"/>
                      <a:t>3.50%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D82-42FA-A834-E7B21AFF2CE1}"/>
                </c:ext>
              </c:extLst>
            </c:dLbl>
            <c:spPr>
              <a:noFill/>
              <a:ln>
                <a:noFill/>
              </a:ln>
              <a:effectLst/>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Of Age'!$A$4:$A$8</c:f>
              <c:strCache>
                <c:ptCount val="5"/>
                <c:pt idx="0">
                  <c:v>21-30</c:v>
                </c:pt>
                <c:pt idx="1">
                  <c:v>31-40</c:v>
                </c:pt>
                <c:pt idx="2">
                  <c:v>41-50</c:v>
                </c:pt>
                <c:pt idx="3">
                  <c:v>51-60</c:v>
                </c:pt>
                <c:pt idx="4">
                  <c:v>61-70</c:v>
                </c:pt>
              </c:strCache>
            </c:strRef>
          </c:cat>
          <c:val>
            <c:numRef>
              <c:f>'Chart Of Age'!$B$4:$B$8</c:f>
              <c:numCache>
                <c:formatCode>General</c:formatCode>
                <c:ptCount val="5"/>
                <c:pt idx="0">
                  <c:v>16</c:v>
                </c:pt>
                <c:pt idx="1">
                  <c:v>62</c:v>
                </c:pt>
                <c:pt idx="2">
                  <c:v>36</c:v>
                </c:pt>
                <c:pt idx="3">
                  <c:v>24</c:v>
                </c:pt>
                <c:pt idx="4">
                  <c:v>5</c:v>
                </c:pt>
              </c:numCache>
            </c:numRef>
          </c:val>
          <c:extLst>
            <c:ext xmlns:c16="http://schemas.microsoft.com/office/drawing/2014/chart" uri="{C3380CC4-5D6E-409C-BE32-E72D297353CC}">
              <c16:uniqueId val="{0000000A-2D82-42FA-A834-E7B21AFF2CE1}"/>
            </c:ext>
          </c:extLst>
        </c:ser>
        <c:dLbls>
          <c:showLegendKey val="0"/>
          <c:showVal val="1"/>
          <c:showCatName val="0"/>
          <c:showSerName val="0"/>
          <c:showPercent val="0"/>
          <c:showBubbleSize val="0"/>
        </c:dLbls>
        <c:gapWidth val="219"/>
        <c:overlap val="-27"/>
        <c:axId val="1187294032"/>
        <c:axId val="1187289456"/>
      </c:barChart>
      <c:catAx>
        <c:axId val="1187294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7289456"/>
        <c:crosses val="autoZero"/>
        <c:auto val="1"/>
        <c:lblAlgn val="ctr"/>
        <c:lblOffset val="100"/>
        <c:noMultiLvlLbl val="0"/>
      </c:catAx>
      <c:valAx>
        <c:axId val="1187289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7294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Figure 3: Level</a:t>
            </a:r>
            <a:r>
              <a:rPr lang="en-US" baseline="0"/>
              <a:t> of Education</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A62-4019-960C-1591E2D5A9C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A62-4019-960C-1591E2D5A9C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A62-4019-960C-1591E2D5A9C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6A62-4019-960C-1591E2D5A9CC}"/>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6A62-4019-960C-1591E2D5A9CC}"/>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6A62-4019-960C-1591E2D5A9C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6A62-4019-960C-1591E2D5A9CC}"/>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6A62-4019-960C-1591E2D5A9CC}"/>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6A62-4019-960C-1591E2D5A9CC}"/>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3-6A62-4019-960C-1591E2D5A9CC}"/>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5-6A62-4019-960C-1591E2D5A9CC}"/>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7-6A62-4019-960C-1591E2D5A9CC}"/>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9-6A62-4019-960C-1591E2D5A9CC}"/>
              </c:ext>
            </c:extLst>
          </c:dPt>
          <c:dLbls>
            <c:dLbl>
              <c:idx val="4"/>
              <c:layout>
                <c:manualLayout>
                  <c:x val="7.7570232742989118E-2"/>
                  <c:y val="-0.1073729454618158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A62-4019-960C-1591E2D5A9CC}"/>
                </c:ext>
              </c:extLst>
            </c:dLbl>
            <c:dLbl>
              <c:idx val="5"/>
              <c:layout>
                <c:manualLayout>
                  <c:x val="0.10595792245212247"/>
                  <c:y val="-0.1186747223546177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6A62-4019-960C-1591E2D5A9CC}"/>
                </c:ext>
              </c:extLst>
            </c:dLbl>
            <c:dLbl>
              <c:idx val="7"/>
              <c:layout>
                <c:manualLayout>
                  <c:x val="8.6401301572319233E-2"/>
                  <c:y val="8.2959727067525607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6A62-4019-960C-1591E2D5A9CC}"/>
                </c:ext>
              </c:extLst>
            </c:dLbl>
            <c:dLbl>
              <c:idx val="10"/>
              <c:layout>
                <c:manualLayout>
                  <c:x val="4.5057626866042373E-2"/>
                  <c:y val="0.11951315358265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5-6A62-4019-960C-1591E2D5A9CC}"/>
                </c:ext>
              </c:extLst>
            </c:dLbl>
            <c:dLbl>
              <c:idx val="12"/>
              <c:layout>
                <c:manualLayout>
                  <c:x val="7.1520653766859585E-3"/>
                  <c:y val="0.12056553221560629"/>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9-6A62-4019-960C-1591E2D5A9CC}"/>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'Education '!$B$3:$B$15</c:f>
              <c:strCache>
                <c:ptCount val="13"/>
                <c:pt idx="0">
                  <c:v>A0</c:v>
                </c:pt>
                <c:pt idx="1">
                  <c:v>A1</c:v>
                </c:pt>
                <c:pt idx="2">
                  <c:v>A2</c:v>
                </c:pt>
                <c:pt idx="3">
                  <c:v>MSc</c:v>
                </c:pt>
                <c:pt idx="4">
                  <c:v>Primary 4</c:v>
                </c:pt>
                <c:pt idx="5">
                  <c:v>Primary 5</c:v>
                </c:pt>
                <c:pt idx="6">
                  <c:v>Primary 6</c:v>
                </c:pt>
                <c:pt idx="7">
                  <c:v>Senior 1</c:v>
                </c:pt>
                <c:pt idx="8">
                  <c:v>Senior 2</c:v>
                </c:pt>
                <c:pt idx="9">
                  <c:v>Senior 3</c:v>
                </c:pt>
                <c:pt idx="10">
                  <c:v>Senior 4</c:v>
                </c:pt>
                <c:pt idx="11">
                  <c:v>Senior 5</c:v>
                </c:pt>
                <c:pt idx="12">
                  <c:v>Senior 6</c:v>
                </c:pt>
              </c:strCache>
            </c:strRef>
          </c:cat>
          <c:val>
            <c:numRef>
              <c:f>'Education '!$C$3:$C$15</c:f>
              <c:numCache>
                <c:formatCode>General</c:formatCode>
                <c:ptCount val="13"/>
                <c:pt idx="0">
                  <c:v>64</c:v>
                </c:pt>
                <c:pt idx="1">
                  <c:v>6</c:v>
                </c:pt>
                <c:pt idx="2">
                  <c:v>26</c:v>
                </c:pt>
                <c:pt idx="3">
                  <c:v>4</c:v>
                </c:pt>
                <c:pt idx="4">
                  <c:v>2</c:v>
                </c:pt>
                <c:pt idx="5">
                  <c:v>1</c:v>
                </c:pt>
                <c:pt idx="6">
                  <c:v>18</c:v>
                </c:pt>
                <c:pt idx="7">
                  <c:v>2</c:v>
                </c:pt>
                <c:pt idx="8">
                  <c:v>5</c:v>
                </c:pt>
                <c:pt idx="9">
                  <c:v>6</c:v>
                </c:pt>
                <c:pt idx="10">
                  <c:v>2</c:v>
                </c:pt>
                <c:pt idx="11">
                  <c:v>4</c:v>
                </c:pt>
                <c:pt idx="12">
                  <c:v>3</c:v>
                </c:pt>
              </c:numCache>
            </c:numRef>
          </c:val>
          <c:extLst>
            <c:ext xmlns:c16="http://schemas.microsoft.com/office/drawing/2014/chart" uri="{C3380CC4-5D6E-409C-BE32-E72D297353CC}">
              <c16:uniqueId val="{0000001A-6A62-4019-960C-1591E2D5A9C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Figure 4: Occupation</a:t>
            </a:r>
          </a:p>
        </c:rich>
      </c:tx>
      <c:layout>
        <c:manualLayout>
          <c:xMode val="edge"/>
          <c:yMode val="edge"/>
          <c:x val="0.47343456799851413"/>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BA3-4B15-8B42-4E437AEE6F85}"/>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BA3-4B15-8B42-4E437AEE6F85}"/>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BA3-4B15-8B42-4E437AEE6F85}"/>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BA3-4B15-8B42-4E437AEE6F85}"/>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BBA3-4B15-8B42-4E437AEE6F85}"/>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BBA3-4B15-8B42-4E437AEE6F8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BBA3-4B15-8B42-4E437AEE6F85}"/>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BBA3-4B15-8B42-4E437AEE6F85}"/>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BBA3-4B15-8B42-4E437AEE6F85}"/>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3-BBA3-4B15-8B42-4E437AEE6F85}"/>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5-BBA3-4B15-8B42-4E437AEE6F85}"/>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7-BBA3-4B15-8B42-4E437AEE6F85}"/>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9-BBA3-4B15-8B42-4E437AEE6F85}"/>
              </c:ext>
            </c:extLst>
          </c:dPt>
          <c:dPt>
            <c:idx val="13"/>
            <c:bubble3D val="0"/>
            <c:spPr>
              <a:solidFill>
                <a:schemeClr val="accent2">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B-BBA3-4B15-8B42-4E437AEE6F85}"/>
              </c:ext>
            </c:extLst>
          </c:dPt>
          <c:dPt>
            <c:idx val="14"/>
            <c:bubble3D val="0"/>
            <c:spPr>
              <a:solidFill>
                <a:schemeClr val="accent3">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D-BBA3-4B15-8B42-4E437AEE6F85}"/>
              </c:ext>
            </c:extLst>
          </c:dPt>
          <c:dPt>
            <c:idx val="15"/>
            <c:bubble3D val="0"/>
            <c:spPr>
              <a:solidFill>
                <a:schemeClr val="accent4">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F-BBA3-4B15-8B42-4E437AEE6F85}"/>
              </c:ext>
            </c:extLst>
          </c:dPt>
          <c:dPt>
            <c:idx val="16"/>
            <c:bubble3D val="0"/>
            <c:spPr>
              <a:solidFill>
                <a:schemeClr val="accent5">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1-BBA3-4B15-8B42-4E437AEE6F85}"/>
              </c:ext>
            </c:extLst>
          </c:dPt>
          <c:dPt>
            <c:idx val="17"/>
            <c:bubble3D val="0"/>
            <c:spPr>
              <a:solidFill>
                <a:schemeClr val="accent6">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3-BBA3-4B15-8B42-4E437AEE6F85}"/>
              </c:ext>
            </c:extLst>
          </c:dPt>
          <c:dPt>
            <c:idx val="18"/>
            <c:bubble3D val="0"/>
            <c:spPr>
              <a:solidFill>
                <a:schemeClr val="accent1">
                  <a:lumMod val="8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5-BBA3-4B15-8B42-4E437AEE6F85}"/>
              </c:ext>
            </c:extLst>
          </c:dPt>
          <c:dPt>
            <c:idx val="19"/>
            <c:bubble3D val="0"/>
            <c:spPr>
              <a:solidFill>
                <a:schemeClr val="accent2">
                  <a:lumMod val="8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7-BBA3-4B15-8B42-4E437AEE6F85}"/>
              </c:ext>
            </c:extLst>
          </c:dPt>
          <c:dPt>
            <c:idx val="20"/>
            <c:bubble3D val="0"/>
            <c:spPr>
              <a:solidFill>
                <a:schemeClr val="accent3">
                  <a:lumMod val="8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9-BBA3-4B15-8B42-4E437AEE6F85}"/>
              </c:ext>
            </c:extLst>
          </c:dPt>
          <c:dPt>
            <c:idx val="21"/>
            <c:bubble3D val="0"/>
            <c:spPr>
              <a:solidFill>
                <a:schemeClr val="accent4">
                  <a:lumMod val="8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B-BBA3-4B15-8B42-4E437AEE6F85}"/>
              </c:ext>
            </c:extLst>
          </c:dPt>
          <c:dPt>
            <c:idx val="22"/>
            <c:bubble3D val="0"/>
            <c:spPr>
              <a:solidFill>
                <a:schemeClr val="accent5">
                  <a:lumMod val="8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D-BBA3-4B15-8B42-4E437AEE6F85}"/>
              </c:ext>
            </c:extLst>
          </c:dPt>
          <c:dPt>
            <c:idx val="23"/>
            <c:bubble3D val="0"/>
            <c:spPr>
              <a:solidFill>
                <a:schemeClr val="accent6">
                  <a:lumMod val="8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F-BBA3-4B15-8B42-4E437AEE6F85}"/>
              </c:ext>
            </c:extLst>
          </c:dPt>
          <c:dPt>
            <c:idx val="24"/>
            <c:bubble3D val="0"/>
            <c:spPr>
              <a:solidFill>
                <a:schemeClr val="accent1">
                  <a:lumMod val="60000"/>
                  <a:lumOff val="4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31-BBA3-4B15-8B42-4E437AEE6F85}"/>
              </c:ext>
            </c:extLst>
          </c:dPt>
          <c:dLbls>
            <c:dLbl>
              <c:idx val="4"/>
              <c:tx>
                <c:rich>
                  <a:bodyPr/>
                  <a:lstStyle/>
                  <a:p>
                    <a:fld id="{A738F214-2D6D-4AC5-98EC-6E54E659CA9D}" type="PERCENTAGE">
                      <a:rPr lang="en-US"/>
                      <a:pPr/>
                      <a:t>[PERCENTAGE]</a:t>
                    </a:fld>
                    <a:endParaRPr lang="en-US"/>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BBA3-4B15-8B42-4E437AEE6F85}"/>
                </c:ext>
              </c:extLst>
            </c:dLbl>
            <c:dLbl>
              <c:idx val="14"/>
              <c:layout>
                <c:manualLayout>
                  <c:x val="5.2177905194736501E-2"/>
                  <c:y val="-0.14544521808859409"/>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3.0805369127516777E-2"/>
                      <c:h val="4.8541233602184618E-2"/>
                    </c:manualLayout>
                  </c15:layout>
                </c:ext>
                <c:ext xmlns:c16="http://schemas.microsoft.com/office/drawing/2014/chart" uri="{C3380CC4-5D6E-409C-BE32-E72D297353CC}">
                  <c16:uniqueId val="{0000001D-BBA3-4B15-8B42-4E437AEE6F85}"/>
                </c:ext>
              </c:extLst>
            </c:dLbl>
            <c:dLbl>
              <c:idx val="15"/>
              <c:layout>
                <c:manualLayout>
                  <c:x val="6.9189874755588437E-2"/>
                  <c:y val="-0.180656381820996"/>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3.7516778523489933E-2"/>
                      <c:h val="4.8774693408385278E-2"/>
                    </c:manualLayout>
                  </c15:layout>
                </c:ext>
                <c:ext xmlns:c16="http://schemas.microsoft.com/office/drawing/2014/chart" uri="{C3380CC4-5D6E-409C-BE32-E72D297353CC}">
                  <c16:uniqueId val="{0000001F-BBA3-4B15-8B42-4E437AEE6F85}"/>
                </c:ext>
              </c:extLst>
            </c:dLbl>
            <c:dLbl>
              <c:idx val="16"/>
              <c:layout>
                <c:manualLayout>
                  <c:x val="0.12350856101041061"/>
                  <c:y val="-0.1430356255751026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21-BBA3-4B15-8B42-4E437AEE6F85}"/>
                </c:ext>
              </c:extLst>
            </c:dLbl>
            <c:dLbl>
              <c:idx val="17"/>
              <c:layout>
                <c:manualLayout>
                  <c:x val="0.10918141943666437"/>
                  <c:y val="-0.1665847435901026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23-BBA3-4B15-8B42-4E437AEE6F85}"/>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Occupation!$B$3:$B$27</c:f>
              <c:strCache>
                <c:ptCount val="25"/>
                <c:pt idx="0">
                  <c:v>Community Animal Health Worker </c:v>
                </c:pt>
                <c:pt idx="1">
                  <c:v>Community Environmental Health Officer</c:v>
                </c:pt>
                <c:pt idx="2">
                  <c:v>Community Health Supervisor</c:v>
                </c:pt>
                <c:pt idx="3">
                  <c:v>Community Health Worker </c:v>
                </c:pt>
                <c:pt idx="4">
                  <c:v>Community member</c:v>
                </c:pt>
                <c:pt idx="5">
                  <c:v>District Administration Security Support Organ</c:v>
                </c:pt>
                <c:pt idx="6">
                  <c:v>Environmental Health Officer </c:v>
                </c:pt>
                <c:pt idx="7">
                  <c:v>Friends of the Family-volunteer </c:v>
                </c:pt>
                <c:pt idx="8">
                  <c:v>Health Center manager </c:v>
                </c:pt>
                <c:pt idx="9">
                  <c:v>Hygiene and Sanitation Officer</c:v>
                </c:pt>
                <c:pt idx="10">
                  <c:v>National women's council </c:v>
                </c:pt>
                <c:pt idx="11">
                  <c:v>People living with disability representative </c:v>
                </c:pt>
                <c:pt idx="12">
                  <c:v>Pharmacy Representative</c:v>
                </c:pt>
                <c:pt idx="13">
                  <c:v>Public Relation Officer </c:v>
                </c:pt>
                <c:pt idx="14">
                  <c:v>Religious leaders representative</c:v>
                </c:pt>
                <c:pt idx="15">
                  <c:v>Representative of people living with disability</c:v>
                </c:pt>
                <c:pt idx="16">
                  <c:v>Sector Animal Resources Officer</c:v>
                </c:pt>
                <c:pt idx="17">
                  <c:v>Social affairs </c:v>
                </c:pt>
                <c:pt idx="18">
                  <c:v>Social and Economic Development Officer </c:v>
                </c:pt>
                <c:pt idx="19">
                  <c:v>Teacher</c:v>
                </c:pt>
                <c:pt idx="20">
                  <c:v>Traditional healer representative</c:v>
                </c:pt>
                <c:pt idx="21">
                  <c:v>Veterinary Sector </c:v>
                </c:pt>
                <c:pt idx="22">
                  <c:v>Village Communication Focal Person</c:v>
                </c:pt>
                <c:pt idx="23">
                  <c:v>Village leader</c:v>
                </c:pt>
                <c:pt idx="24">
                  <c:v>Youth representative </c:v>
                </c:pt>
              </c:strCache>
            </c:strRef>
          </c:cat>
          <c:val>
            <c:numRef>
              <c:f>Occupation!$C$3:$C$27</c:f>
              <c:numCache>
                <c:formatCode>General</c:formatCode>
                <c:ptCount val="25"/>
                <c:pt idx="0">
                  <c:v>7</c:v>
                </c:pt>
                <c:pt idx="1">
                  <c:v>6</c:v>
                </c:pt>
                <c:pt idx="2">
                  <c:v>7</c:v>
                </c:pt>
                <c:pt idx="3">
                  <c:v>6</c:v>
                </c:pt>
                <c:pt idx="4">
                  <c:v>9</c:v>
                </c:pt>
                <c:pt idx="5">
                  <c:v>6</c:v>
                </c:pt>
                <c:pt idx="6">
                  <c:v>6</c:v>
                </c:pt>
                <c:pt idx="7">
                  <c:v>4</c:v>
                </c:pt>
                <c:pt idx="8">
                  <c:v>5</c:v>
                </c:pt>
                <c:pt idx="9">
                  <c:v>6</c:v>
                </c:pt>
                <c:pt idx="10">
                  <c:v>5</c:v>
                </c:pt>
                <c:pt idx="11">
                  <c:v>3</c:v>
                </c:pt>
                <c:pt idx="12">
                  <c:v>5</c:v>
                </c:pt>
                <c:pt idx="13">
                  <c:v>5</c:v>
                </c:pt>
                <c:pt idx="14">
                  <c:v>5</c:v>
                </c:pt>
                <c:pt idx="15">
                  <c:v>2</c:v>
                </c:pt>
                <c:pt idx="16">
                  <c:v>2</c:v>
                </c:pt>
                <c:pt idx="17">
                  <c:v>6</c:v>
                </c:pt>
                <c:pt idx="18">
                  <c:v>8</c:v>
                </c:pt>
                <c:pt idx="19">
                  <c:v>7</c:v>
                </c:pt>
                <c:pt idx="20">
                  <c:v>5</c:v>
                </c:pt>
                <c:pt idx="21">
                  <c:v>10</c:v>
                </c:pt>
                <c:pt idx="22">
                  <c:v>5</c:v>
                </c:pt>
                <c:pt idx="23">
                  <c:v>7</c:v>
                </c:pt>
                <c:pt idx="24">
                  <c:v>6</c:v>
                </c:pt>
              </c:numCache>
            </c:numRef>
          </c:val>
          <c:extLst>
            <c:ext xmlns:c16="http://schemas.microsoft.com/office/drawing/2014/chart" uri="{C3380CC4-5D6E-409C-BE32-E72D297353CC}">
              <c16:uniqueId val="{00000032-BBA3-4B15-8B42-4E437AEE6F8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Table 8: Level</a:t>
            </a:r>
            <a:r>
              <a:rPr lang="en-US" baseline="0"/>
              <a:t> of Education </a:t>
            </a:r>
            <a:endParaRPr lang="en-US"/>
          </a:p>
        </c:rich>
      </c:tx>
      <c:layout>
        <c:manualLayout>
          <c:xMode val="edge"/>
          <c:yMode val="edge"/>
          <c:x val="0.43000678040244972"/>
          <c:y val="3.703703703703703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C99-444B-9509-E776F5D18CC0}"/>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C99-444B-9509-E776F5D18CC0}"/>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2C99-444B-9509-E776F5D18CC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Education!$B$4:$B$6</c:f>
              <c:strCache>
                <c:ptCount val="3"/>
                <c:pt idx="0">
                  <c:v>A0</c:v>
                </c:pt>
                <c:pt idx="1">
                  <c:v>A2 </c:v>
                </c:pt>
                <c:pt idx="2">
                  <c:v>MSc</c:v>
                </c:pt>
              </c:strCache>
            </c:strRef>
          </c:cat>
          <c:val>
            <c:numRef>
              <c:f>Education!$C$4:$C$6</c:f>
              <c:numCache>
                <c:formatCode>General</c:formatCode>
                <c:ptCount val="3"/>
                <c:pt idx="0">
                  <c:v>23</c:v>
                </c:pt>
                <c:pt idx="1">
                  <c:v>2</c:v>
                </c:pt>
                <c:pt idx="2">
                  <c:v>11</c:v>
                </c:pt>
              </c:numCache>
            </c:numRef>
          </c:val>
          <c:extLst>
            <c:ext xmlns:c16="http://schemas.microsoft.com/office/drawing/2014/chart" uri="{C3380CC4-5D6E-409C-BE32-E72D297353CC}">
              <c16:uniqueId val="{00000006-2C99-444B-9509-E776F5D18CC0}"/>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Table 8: Level</a:t>
            </a:r>
            <a:r>
              <a:rPr lang="en-US" baseline="0"/>
              <a:t> of Education </a:t>
            </a:r>
            <a:endParaRPr lang="en-US"/>
          </a:p>
        </c:rich>
      </c:tx>
      <c:layout>
        <c:manualLayout>
          <c:xMode val="edge"/>
          <c:yMode val="edge"/>
          <c:x val="0.43000678040244972"/>
          <c:y val="3.703703703703703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C99-444B-9509-E776F5D18CC0}"/>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C99-444B-9509-E776F5D18CC0}"/>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2C99-444B-9509-E776F5D18CC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Education!$B$4:$B$6</c:f>
              <c:strCache>
                <c:ptCount val="3"/>
                <c:pt idx="0">
                  <c:v>A0</c:v>
                </c:pt>
                <c:pt idx="1">
                  <c:v>A2 </c:v>
                </c:pt>
                <c:pt idx="2">
                  <c:v>MSc</c:v>
                </c:pt>
              </c:strCache>
            </c:strRef>
          </c:cat>
          <c:val>
            <c:numRef>
              <c:f>Education!$C$4:$C$6</c:f>
              <c:numCache>
                <c:formatCode>General</c:formatCode>
                <c:ptCount val="3"/>
                <c:pt idx="0">
                  <c:v>23</c:v>
                </c:pt>
                <c:pt idx="1">
                  <c:v>2</c:v>
                </c:pt>
                <c:pt idx="2">
                  <c:v>11</c:v>
                </c:pt>
              </c:numCache>
            </c:numRef>
          </c:val>
          <c:extLst>
            <c:ext xmlns:c16="http://schemas.microsoft.com/office/drawing/2014/chart" uri="{C3380CC4-5D6E-409C-BE32-E72D297353CC}">
              <c16:uniqueId val="{00000006-2C99-444B-9509-E776F5D18CC0}"/>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[IDI baseline.xlsx]Chart of sex!PivotTable10</c:name>
    <c:fmtId val="-1"/>
  </c:pivotSource>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 Figure 5: Gender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ivotFmts>
      <c:pivotFmt>
        <c:idx val="0"/>
      </c:pivotFmt>
      <c:pivotFmt>
        <c:idx val="1"/>
        <c:spPr>
          <a:solidFill>
            <a:schemeClr val="accent1"/>
          </a:solidFill>
          <a:ln>
            <a:noFill/>
          </a:ln>
          <a:effectLst>
            <a:outerShdw blurRad="254000" sx="102000" sy="102000" algn="ctr" rotWithShape="0">
              <a:prstClr val="black">
                <a:alpha val="20000"/>
              </a:prstClr>
            </a:outerShdw>
          </a:effectLst>
        </c:spPr>
        <c:marker>
          <c:symbol val="none"/>
        </c:marker>
        <c:dLbl>
          <c:idx val="0"/>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extLst>
            <c:ext xmlns:c15="http://schemas.microsoft.com/office/drawing/2012/chart" uri="{CE6537A1-D6FC-4f65-9D91-7224C49458BB}"/>
          </c:extLst>
        </c:dLbl>
      </c:pivotFmt>
      <c:pivotFmt>
        <c:idx val="2"/>
        <c:spPr>
          <a:solidFill>
            <a:schemeClr val="accent1"/>
          </a:solidFill>
          <a:ln>
            <a:noFill/>
          </a:ln>
          <a:effectLst>
            <a:outerShdw blurRad="254000" sx="102000" sy="102000" algn="ctr" rotWithShape="0">
              <a:prstClr val="black">
                <a:alpha val="20000"/>
              </a:prstClr>
            </a:outerShdw>
          </a:effectLst>
        </c:spPr>
      </c:pivotFmt>
      <c:pivotFmt>
        <c:idx val="3"/>
        <c:spPr>
          <a:solidFill>
            <a:schemeClr val="accent1"/>
          </a:solidFill>
          <a:ln>
            <a:noFill/>
          </a:ln>
          <a:effectLst>
            <a:outerShdw blurRad="254000" sx="102000" sy="102000" algn="ctr" rotWithShape="0">
              <a:prstClr val="black">
                <a:alpha val="20000"/>
              </a:prstClr>
            </a:outerShdw>
          </a:effectLst>
        </c:spPr>
      </c:pivotFmt>
      <c:pivotFmt>
        <c:idx val="4"/>
        <c:spPr>
          <a:solidFill>
            <a:schemeClr val="accent1"/>
          </a:solidFill>
          <a:ln>
            <a:noFill/>
          </a:ln>
          <a:effectLst>
            <a:outerShdw blurRad="254000" sx="102000" sy="102000" algn="ctr" rotWithShape="0">
              <a:prstClr val="black">
                <a:alpha val="20000"/>
              </a:prstClr>
            </a:outerShdw>
          </a:effectLst>
        </c:spPr>
        <c:marker>
          <c:symbol val="none"/>
        </c:marker>
        <c:dLbl>
          <c:idx val="0"/>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extLst>
            <c:ext xmlns:c15="http://schemas.microsoft.com/office/drawing/2012/chart" uri="{CE6537A1-D6FC-4f65-9D91-7224C49458BB}"/>
          </c:extLst>
        </c:dLbl>
      </c:pivotFmt>
      <c:pivotFmt>
        <c:idx val="5"/>
        <c:spPr>
          <a:solidFill>
            <a:schemeClr val="accent1"/>
          </a:solidFill>
          <a:ln>
            <a:noFill/>
          </a:ln>
          <a:effectLst>
            <a:outerShdw blurRad="254000" sx="102000" sy="102000" algn="ctr" rotWithShape="0">
              <a:prstClr val="black">
                <a:alpha val="20000"/>
              </a:prstClr>
            </a:outerShdw>
          </a:effectLst>
        </c:spPr>
      </c:pivotFmt>
      <c:pivotFmt>
        <c:idx val="6"/>
        <c:spPr>
          <a:solidFill>
            <a:schemeClr val="accent1"/>
          </a:solidFill>
          <a:ln>
            <a:noFill/>
          </a:ln>
          <a:effectLst>
            <a:outerShdw blurRad="254000" sx="102000" sy="102000" algn="ctr" rotWithShape="0">
              <a:prstClr val="black">
                <a:alpha val="20000"/>
              </a:prstClr>
            </a:outerShdw>
          </a:effectLst>
        </c:spPr>
      </c:pivotFmt>
      <c:pivotFmt>
        <c:idx val="7"/>
        <c:spPr>
          <a:solidFill>
            <a:schemeClr val="accent1"/>
          </a:solidFill>
          <a:ln>
            <a:noFill/>
          </a:ln>
          <a:effectLst>
            <a:outerShdw blurRad="254000" sx="102000" sy="102000" algn="ctr" rotWithShape="0">
              <a:prstClr val="black">
                <a:alpha val="20000"/>
              </a:prstClr>
            </a:outerShdw>
          </a:effectLst>
        </c:spPr>
        <c:marker>
          <c:symbol val="none"/>
        </c:marker>
        <c:dLbl>
          <c:idx val="0"/>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extLst>
            <c:ext xmlns:c15="http://schemas.microsoft.com/office/drawing/2012/chart" uri="{CE6537A1-D6FC-4f65-9D91-7224C49458BB}"/>
          </c:extLst>
        </c:dLbl>
      </c:pivotFmt>
      <c:pivotFmt>
        <c:idx val="8"/>
        <c:spPr>
          <a:solidFill>
            <a:schemeClr val="accent1"/>
          </a:solidFill>
          <a:ln>
            <a:noFill/>
          </a:ln>
          <a:effectLst>
            <a:outerShdw blurRad="254000" sx="102000" sy="102000" algn="ctr" rotWithShape="0">
              <a:prstClr val="black">
                <a:alpha val="20000"/>
              </a:prstClr>
            </a:outerShdw>
          </a:effectLst>
        </c:spPr>
      </c:pivotFmt>
      <c:pivotFmt>
        <c:idx val="9"/>
        <c:spPr>
          <a:solidFill>
            <a:schemeClr val="accent1"/>
          </a:solidFill>
          <a:ln>
            <a:noFill/>
          </a:ln>
          <a:effectLst>
            <a:outerShdw blurRad="254000" sx="102000" sy="102000" algn="ctr" rotWithShape="0">
              <a:prstClr val="black">
                <a:alpha val="20000"/>
              </a:prstClr>
            </a:outerShdw>
          </a:effectLst>
        </c:spPr>
      </c:pivotFmt>
    </c:pivotFmts>
    <c:plotArea>
      <c:layout/>
      <c:pieChart>
        <c:varyColors val="1"/>
        <c:ser>
          <c:idx val="0"/>
          <c:order val="0"/>
          <c:tx>
            <c:strRef>
              <c:f>'Chart of sex'!$B$3</c:f>
              <c:strCache>
                <c:ptCount val="1"/>
                <c:pt idx="0">
                  <c:v>Total</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3C6-4ABE-A10B-8F771C682E1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3C6-4ABE-A10B-8F771C682E1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'Chart of sex'!$A$4:$A$5</c:f>
              <c:strCache>
                <c:ptCount val="2"/>
                <c:pt idx="0">
                  <c:v>F</c:v>
                </c:pt>
                <c:pt idx="1">
                  <c:v>M</c:v>
                </c:pt>
              </c:strCache>
            </c:strRef>
          </c:cat>
          <c:val>
            <c:numRef>
              <c:f>'Chart of sex'!$B$4:$B$5</c:f>
              <c:numCache>
                <c:formatCode>General</c:formatCode>
                <c:ptCount val="2"/>
                <c:pt idx="0">
                  <c:v>9</c:v>
                </c:pt>
                <c:pt idx="1">
                  <c:v>27</c:v>
                </c:pt>
              </c:numCache>
            </c:numRef>
          </c:val>
          <c:extLst>
            <c:ext xmlns:c16="http://schemas.microsoft.com/office/drawing/2014/chart" uri="{C3380CC4-5D6E-409C-BE32-E72D297353CC}">
              <c16:uniqueId val="{00000004-23C6-4ABE-A10B-8F771C682E1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Figure 6: 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'Chart of Age'!$K$15</c:f>
              <c:strCache>
                <c:ptCount val="1"/>
                <c:pt idx="0">
                  <c:v>Counts</c:v>
                </c:pt>
              </c:strCache>
            </c:strRef>
          </c:tx>
          <c:spPr>
            <a:solidFill>
              <a:schemeClr val="accent1"/>
            </a:solidFill>
            <a:ln>
              <a:noFill/>
            </a:ln>
            <a:effectLst/>
          </c:spPr>
          <c:invertIfNegative val="0"/>
          <c:dLbls>
            <c:dLbl>
              <c:idx val="0"/>
              <c:tx>
                <c:rich>
                  <a:bodyPr/>
                  <a:lstStyle/>
                  <a:p>
                    <a:r>
                      <a:rPr lang="en-US"/>
                      <a:t>8.33%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431-4D1F-8417-298B12F900CB}"/>
                </c:ext>
              </c:extLst>
            </c:dLbl>
            <c:dLbl>
              <c:idx val="1"/>
              <c:tx>
                <c:rich>
                  <a:bodyPr/>
                  <a:lstStyle/>
                  <a:p>
                    <a:r>
                      <a:rPr lang="en-US"/>
                      <a:t>41.67%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31-4D1F-8417-298B12F900CB}"/>
                </c:ext>
              </c:extLst>
            </c:dLbl>
            <c:dLbl>
              <c:idx val="2"/>
              <c:tx>
                <c:rich>
                  <a:bodyPr/>
                  <a:lstStyle/>
                  <a:p>
                    <a:r>
                      <a:rPr lang="en-US"/>
                      <a:t>33.33%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31-4D1F-8417-298B12F900CB}"/>
                </c:ext>
              </c:extLst>
            </c:dLbl>
            <c:dLbl>
              <c:idx val="3"/>
              <c:tx>
                <c:rich>
                  <a:bodyPr/>
                  <a:lstStyle/>
                  <a:p>
                    <a:r>
                      <a:rPr lang="en-US"/>
                      <a:t>13.89%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31-4D1F-8417-298B12F900CB}"/>
                </c:ext>
              </c:extLst>
            </c:dLbl>
            <c:dLbl>
              <c:idx val="4"/>
              <c:tx>
                <c:rich>
                  <a:bodyPr/>
                  <a:lstStyle/>
                  <a:p>
                    <a:r>
                      <a:rPr lang="en-US"/>
                      <a:t>2.78%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431-4D1F-8417-298B12F900C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of Age'!$J$16:$J$20</c:f>
              <c:strCache>
                <c:ptCount val="5"/>
                <c:pt idx="0">
                  <c:v>21-30</c:v>
                </c:pt>
                <c:pt idx="1">
                  <c:v>31-40</c:v>
                </c:pt>
                <c:pt idx="2">
                  <c:v>41-50</c:v>
                </c:pt>
                <c:pt idx="3">
                  <c:v>51-60</c:v>
                </c:pt>
                <c:pt idx="4">
                  <c:v>61-70</c:v>
                </c:pt>
              </c:strCache>
            </c:strRef>
          </c:cat>
          <c:val>
            <c:numRef>
              <c:f>'Chart of Age'!$K$16:$K$20</c:f>
              <c:numCache>
                <c:formatCode>General</c:formatCode>
                <c:ptCount val="5"/>
                <c:pt idx="0">
                  <c:v>3</c:v>
                </c:pt>
                <c:pt idx="1">
                  <c:v>15</c:v>
                </c:pt>
                <c:pt idx="2">
                  <c:v>12</c:v>
                </c:pt>
                <c:pt idx="3">
                  <c:v>5</c:v>
                </c:pt>
                <c:pt idx="4">
                  <c:v>1</c:v>
                </c:pt>
              </c:numCache>
            </c:numRef>
          </c:val>
          <c:extLst>
            <c:ext xmlns:c16="http://schemas.microsoft.com/office/drawing/2014/chart" uri="{C3380CC4-5D6E-409C-BE32-E72D297353CC}">
              <c16:uniqueId val="{00000005-5431-4D1F-8417-298B12F900CB}"/>
            </c:ext>
          </c:extLst>
        </c:ser>
        <c:dLbls>
          <c:dLblPos val="outEnd"/>
          <c:showLegendKey val="0"/>
          <c:showVal val="1"/>
          <c:showCatName val="0"/>
          <c:showSerName val="0"/>
          <c:showPercent val="0"/>
          <c:showBubbleSize val="0"/>
        </c:dLbls>
        <c:gapWidth val="219"/>
        <c:overlap val="-27"/>
        <c:axId val="1588146880"/>
        <c:axId val="1588146048"/>
      </c:barChart>
      <c:catAx>
        <c:axId val="1588146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8146048"/>
        <c:crosses val="autoZero"/>
        <c:auto val="1"/>
        <c:lblAlgn val="ctr"/>
        <c:lblOffset val="100"/>
        <c:noMultiLvlLbl val="0"/>
      </c:catAx>
      <c:valAx>
        <c:axId val="1588146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8146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Figure 7: Occupation</a:t>
            </a:r>
          </a:p>
        </c:rich>
      </c:tx>
      <c:layout>
        <c:manualLayout>
          <c:xMode val="edge"/>
          <c:yMode val="edge"/>
          <c:x val="0.31412489063867016"/>
          <c:y val="5.555555555555555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4E0-4EA4-A4F1-392DB532F8EB}"/>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4E0-4EA4-A4F1-392DB532F8EB}"/>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44E0-4EA4-A4F1-392DB532F8EB}"/>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44E0-4EA4-A4F1-392DB532F8EB}"/>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44E0-4EA4-A4F1-392DB532F8EB}"/>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44E0-4EA4-A4F1-392DB532F8E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44E0-4EA4-A4F1-392DB532F8EB}"/>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44E0-4EA4-A4F1-392DB532F8EB}"/>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44E0-4EA4-A4F1-392DB532F8EB}"/>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3-44E0-4EA4-A4F1-392DB532F8EB}"/>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5-44E0-4EA4-A4F1-392DB532F8EB}"/>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7-44E0-4EA4-A4F1-392DB532F8EB}"/>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9-44E0-4EA4-A4F1-392DB532F8E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Occupation!$B$3:$B$15</c:f>
              <c:strCache>
                <c:ptCount val="13"/>
                <c:pt idx="0">
                  <c:v>Acting District Agriculture and Natural Resources Officer </c:v>
                </c:pt>
                <c:pt idx="1">
                  <c:v>cash crop officer </c:v>
                </c:pt>
                <c:pt idx="2">
                  <c:v>Director ANR </c:v>
                </c:pt>
                <c:pt idx="3">
                  <c:v>Director Of Education  </c:v>
                </c:pt>
                <c:pt idx="4">
                  <c:v>Director of Health </c:v>
                </c:pt>
                <c:pt idx="5">
                  <c:v>District Agriculture and Natural Resources Officer</c:v>
                </c:pt>
                <c:pt idx="6">
                  <c:v>Education Officer </c:v>
                </c:pt>
                <c:pt idx="7">
                  <c:v>Environmental officer </c:v>
                </c:pt>
                <c:pt idx="8">
                  <c:v>Head master </c:v>
                </c:pt>
                <c:pt idx="9">
                  <c:v>Health promotion </c:v>
                </c:pt>
                <c:pt idx="10">
                  <c:v>Integrated Disease Surveillance and Response</c:v>
                </c:pt>
                <c:pt idx="11">
                  <c:v>Private Sector Federation </c:v>
                </c:pt>
                <c:pt idx="12">
                  <c:v>Veterinary </c:v>
                </c:pt>
              </c:strCache>
            </c:strRef>
          </c:cat>
          <c:val>
            <c:numRef>
              <c:f>Occupation!$C$3:$C$15</c:f>
              <c:numCache>
                <c:formatCode>General</c:formatCode>
                <c:ptCount val="13"/>
                <c:pt idx="0">
                  <c:v>1</c:v>
                </c:pt>
                <c:pt idx="1">
                  <c:v>1</c:v>
                </c:pt>
                <c:pt idx="2">
                  <c:v>1</c:v>
                </c:pt>
                <c:pt idx="3">
                  <c:v>3</c:v>
                </c:pt>
                <c:pt idx="4">
                  <c:v>1</c:v>
                </c:pt>
                <c:pt idx="5">
                  <c:v>2</c:v>
                </c:pt>
                <c:pt idx="6">
                  <c:v>2</c:v>
                </c:pt>
                <c:pt idx="7">
                  <c:v>6</c:v>
                </c:pt>
                <c:pt idx="8">
                  <c:v>1</c:v>
                </c:pt>
                <c:pt idx="9">
                  <c:v>5</c:v>
                </c:pt>
                <c:pt idx="10">
                  <c:v>6</c:v>
                </c:pt>
                <c:pt idx="11">
                  <c:v>6</c:v>
                </c:pt>
                <c:pt idx="12">
                  <c:v>1</c:v>
                </c:pt>
              </c:numCache>
            </c:numRef>
          </c:val>
          <c:extLst>
            <c:ext xmlns:c16="http://schemas.microsoft.com/office/drawing/2014/chart" uri="{C3380CC4-5D6E-409C-BE32-E72D297353CC}">
              <c16:uniqueId val="{0000001A-44E0-4EA4-A4F1-392DB532F8E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B9DB29-BBD8-4939-8002-FFE143A5AE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25</Pages>
  <Words>20593</Words>
  <Characters>117381</Characters>
  <Application>Microsoft Office Word</Application>
  <DocSecurity>0</DocSecurity>
  <Lines>978</Lines>
  <Paragraphs>275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 Roseline Dzekem</dc:creator>
  <cp:keywords/>
  <dc:description/>
  <cp:lastModifiedBy>user</cp:lastModifiedBy>
  <cp:revision>6</cp:revision>
  <dcterms:created xsi:type="dcterms:W3CDTF">2026-04-20T06:47:00Z</dcterms:created>
  <dcterms:modified xsi:type="dcterms:W3CDTF">2026-04-20T20:34:00Z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af4e29ae-77cd-4023-95b1-c2942f4c0ddd</vt:lpwstr>
  </property>
  <property fmtid="{D5CDD505-2E9C-101B-9397-08002B2CF9AE}" pid="3" name="ZOTERO_PREF_1">
    <vt:lpwstr>&lt;data data-version="3" zotero-version="7.0.32"&gt;&lt;session id="CRDSgnyK"/&gt;&lt;style id="http://www.zotero.org/styles/nlm-citation-sequence" locale="en-GB" hasBibliography="1" bibliographyStyleHasBeenSet="1"/&gt;&lt;prefs&gt;&lt;pref name="fieldType" value="Field"/&gt;&lt;pref na</vt:lpwstr>
  </property>
  <property fmtid="{D5CDD505-2E9C-101B-9397-08002B2CF9AE}" pid="4" name="ZOTERO_PREF_2">
    <vt:lpwstr>me="automaticJournalAbbreviations" value="true"/&gt;&lt;/prefs&gt;&lt;/data&gt;</vt:lpwstr>
  </property>
</Properties>
</file>