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both"/>
        <w:rPr>
          <w:rStyle w:val="13"/>
          <w:rFonts w:hint="default" w:ascii="Times New Roman" w:hAnsi="Times New Roman" w:cs="Times New Roman"/>
          <w:b/>
          <w:i w:val="0"/>
          <w:sz w:val="24"/>
          <w:szCs w:val="24"/>
        </w:rPr>
      </w:pPr>
    </w:p>
    <w:p>
      <w:pPr>
        <w:jc w:val="center"/>
        <w:rPr>
          <w:rStyle w:val="13"/>
          <w:rFonts w:hint="default" w:ascii="Times New Roman" w:hAnsi="Times New Roman" w:cs="Times New Roman"/>
          <w:b/>
          <w:i w:val="0"/>
          <w:sz w:val="24"/>
          <w:szCs w:val="24"/>
        </w:rPr>
      </w:pPr>
    </w:p>
    <w:p>
      <w:pPr>
        <w:jc w:val="center"/>
        <w:rPr>
          <w:rStyle w:val="13"/>
          <w:rFonts w:hint="default" w:ascii="Times New Roman" w:hAnsi="Times New Roman" w:cs="Times New Roman"/>
          <w:b/>
          <w:i w:val="0"/>
          <w:sz w:val="24"/>
          <w:szCs w:val="24"/>
        </w:rPr>
      </w:pPr>
    </w:p>
    <w:p>
      <w:pPr>
        <w:jc w:val="center"/>
        <w:rPr>
          <w:rStyle w:val="13"/>
          <w:rFonts w:hint="default" w:ascii="Times New Roman" w:hAnsi="Times New Roman" w:cs="Times New Roman"/>
          <w:b/>
          <w:bCs/>
          <w:i w:val="0"/>
          <w:sz w:val="24"/>
          <w:szCs w:val="24"/>
        </w:rPr>
      </w:pPr>
      <w:r>
        <w:rPr>
          <w:rFonts w:ascii="Times New Roman" w:hAnsi="Times New Roman" w:eastAsia="Times New Roman"/>
          <w:b/>
          <w:bCs/>
          <w:sz w:val="24"/>
        </w:rPr>
        <w:t xml:space="preserve">HEAVY METAL CONCENTRATION AND DRINKING WATER SURVEILLANCE IN DEVELOPING COUNTRIES: A PUBLIC HEALTH PERSPECTIVE </w:t>
      </w:r>
    </w:p>
    <w:p>
      <w:pPr>
        <w:tabs>
          <w:tab w:val="left" w:pos="1800"/>
        </w:tabs>
        <w:spacing w:line="480" w:lineRule="auto"/>
        <w:ind w:firstLine="1084" w:firstLineChars="450"/>
        <w:jc w:val="both"/>
        <w:rPr>
          <w:rStyle w:val="13"/>
          <w:rFonts w:hint="default" w:ascii="Times New Roman" w:hAnsi="Times New Roman" w:cs="Times New Roman"/>
          <w:b/>
          <w:i w:val="0"/>
          <w:sz w:val="24"/>
          <w:szCs w:val="24"/>
          <w:lang w:val="en-US"/>
        </w:rPr>
      </w:pPr>
    </w:p>
    <w:p>
      <w:pPr>
        <w:tabs>
          <w:tab w:val="left" w:pos="1800"/>
        </w:tabs>
        <w:spacing w:line="480" w:lineRule="auto"/>
        <w:rPr>
          <w:rStyle w:val="13"/>
          <w:rFonts w:hint="default" w:ascii="Times New Roman" w:hAnsi="Times New Roman" w:cs="Times New Roman"/>
          <w:b/>
          <w:i w:val="0"/>
          <w:sz w:val="24"/>
          <w:szCs w:val="24"/>
        </w:rPr>
      </w:pPr>
    </w:p>
    <w:p>
      <w:pPr>
        <w:tabs>
          <w:tab w:val="left" w:pos="1800"/>
        </w:tabs>
        <w:spacing w:line="480" w:lineRule="auto"/>
        <w:jc w:val="center"/>
        <w:rPr>
          <w:rStyle w:val="13"/>
          <w:rFonts w:hint="default" w:ascii="Times New Roman" w:hAnsi="Times New Roman" w:cs="Times New Roman"/>
          <w:b/>
          <w:i w:val="0"/>
          <w:sz w:val="24"/>
          <w:szCs w:val="24"/>
        </w:rPr>
      </w:pPr>
    </w:p>
    <w:p>
      <w:pPr>
        <w:tabs>
          <w:tab w:val="left" w:pos="1800"/>
        </w:tabs>
        <w:spacing w:line="480" w:lineRule="auto"/>
        <w:jc w:val="center"/>
        <w:rPr>
          <w:rStyle w:val="13"/>
          <w:rFonts w:hint="default" w:ascii="Times New Roman" w:hAnsi="Times New Roman" w:cs="Times New Roman"/>
          <w:b/>
          <w:i w:val="0"/>
          <w:sz w:val="24"/>
          <w:szCs w:val="24"/>
        </w:rPr>
      </w:pPr>
    </w:p>
    <w:p>
      <w:pPr>
        <w:spacing w:after="0" w:line="480" w:lineRule="auto"/>
        <w:jc w:val="both"/>
        <w:rPr>
          <w:rFonts w:hint="default" w:ascii="Times New Roman" w:hAnsi="Times New Roman" w:eastAsia="Times New Roman" w:cs="Times New Roman"/>
          <w:sz w:val="24"/>
          <w:szCs w:val="24"/>
        </w:rPr>
      </w:pPr>
    </w:p>
    <w:p>
      <w:pPr>
        <w:rPr>
          <w:rFonts w:hint="default" w:ascii="Times New Roman" w:hAnsi="Times New Roman" w:eastAsia="Times New Roman" w:cs="Times New Roman"/>
          <w:sz w:val="24"/>
          <w:szCs w:val="24"/>
        </w:rPr>
      </w:pPr>
    </w:p>
    <w:p>
      <w:pPr>
        <w:rPr>
          <w:rFonts w:hint="default" w:ascii="Times New Roman" w:hAnsi="Times New Roman" w:eastAsia="Times New Roman" w:cs="Times New Roman"/>
          <w:sz w:val="24"/>
          <w:szCs w:val="24"/>
        </w:rPr>
      </w:pPr>
    </w:p>
    <w:p>
      <w:pPr>
        <w:rPr>
          <w:rFonts w:hint="default" w:ascii="Times New Roman" w:hAnsi="Times New Roman" w:eastAsia="Times New Roman" w:cs="Times New Roman"/>
          <w:sz w:val="24"/>
          <w:szCs w:val="24"/>
        </w:rPr>
      </w:pPr>
    </w:p>
    <w:p>
      <w:pPr>
        <w:rPr>
          <w:rFonts w:hint="default" w:ascii="Times New Roman" w:hAnsi="Times New Roman" w:eastAsia="Times New Roman" w:cs="Times New Roman"/>
          <w:sz w:val="24"/>
          <w:szCs w:val="24"/>
        </w:rPr>
      </w:pPr>
    </w:p>
    <w:p>
      <w:pPr>
        <w:rPr>
          <w:rFonts w:hint="default" w:ascii="Times New Roman" w:hAnsi="Times New Roman" w:eastAsia="Times New Roman" w:cs="Times New Roman"/>
          <w:sz w:val="24"/>
          <w:szCs w:val="24"/>
        </w:rPr>
      </w:pPr>
    </w:p>
    <w:p>
      <w:pPr>
        <w:rPr>
          <w:rFonts w:hint="default" w:ascii="Times New Roman" w:hAnsi="Times New Roman" w:eastAsia="Times New Roman" w:cs="Times New Roman"/>
          <w:sz w:val="24"/>
          <w:szCs w:val="24"/>
        </w:rPr>
      </w:pPr>
    </w:p>
    <w:p>
      <w:pPr>
        <w:rPr>
          <w:rFonts w:hint="default" w:ascii="Times New Roman" w:hAnsi="Times New Roman" w:eastAsia="Times New Roman" w:cs="Times New Roman"/>
          <w:sz w:val="24"/>
          <w:szCs w:val="24"/>
        </w:rPr>
      </w:pPr>
    </w:p>
    <w:p>
      <w:pPr>
        <w:rPr>
          <w:rFonts w:hint="default" w:ascii="Times New Roman" w:hAnsi="Times New Roman" w:eastAsia="Times New Roman" w:cs="Times New Roman"/>
          <w:sz w:val="24"/>
          <w:szCs w:val="24"/>
        </w:rPr>
      </w:pPr>
    </w:p>
    <w:p>
      <w:pPr>
        <w:rPr>
          <w:rFonts w:hint="default" w:ascii="Times New Roman" w:hAnsi="Times New Roman" w:eastAsia="Times New Roman" w:cs="Times New Roman"/>
          <w:sz w:val="24"/>
          <w:szCs w:val="24"/>
        </w:rPr>
      </w:pPr>
    </w:p>
    <w:p>
      <w:pPr>
        <w:jc w:val="center"/>
        <w:rPr>
          <w:rStyle w:val="13"/>
          <w:rFonts w:hint="default" w:ascii="Times New Roman" w:hAnsi="Times New Roman" w:cs="Times New Roman"/>
          <w:b/>
          <w:i w:val="0"/>
          <w:sz w:val="24"/>
          <w:szCs w:val="24"/>
        </w:rPr>
      </w:pPr>
    </w:p>
    <w:p>
      <w:pPr>
        <w:jc w:val="center"/>
        <w:rPr>
          <w:rStyle w:val="13"/>
          <w:rFonts w:hint="default" w:ascii="Times New Roman" w:hAnsi="Times New Roman" w:cs="Times New Roman"/>
          <w:b/>
          <w:i w:val="0"/>
          <w:sz w:val="24"/>
          <w:szCs w:val="24"/>
        </w:rPr>
      </w:pPr>
    </w:p>
    <w:p>
      <w:pPr>
        <w:jc w:val="center"/>
        <w:rPr>
          <w:rStyle w:val="13"/>
          <w:rFonts w:hint="default" w:ascii="Times New Roman" w:hAnsi="Times New Roman" w:cs="Times New Roman"/>
          <w:b/>
          <w:i w:val="0"/>
          <w:sz w:val="24"/>
          <w:szCs w:val="24"/>
          <w:lang w:val="en-US"/>
        </w:rPr>
      </w:pPr>
    </w:p>
    <w:p>
      <w:pPr>
        <w:jc w:val="center"/>
        <w:rPr>
          <w:rFonts w:ascii="Times New Roman" w:hAnsi="Times New Roman" w:eastAsia="Times New Roman"/>
          <w:b/>
          <w:bCs/>
          <w:sz w:val="24"/>
        </w:rPr>
      </w:pPr>
    </w:p>
    <w:p>
      <w:pPr>
        <w:jc w:val="center"/>
        <w:rPr>
          <w:rFonts w:ascii="Times New Roman" w:hAnsi="Times New Roman" w:eastAsia="Times New Roman"/>
          <w:b/>
          <w:bCs/>
          <w:sz w:val="24"/>
        </w:rPr>
      </w:pPr>
    </w:p>
    <w:p>
      <w:pPr>
        <w:jc w:val="center"/>
        <w:rPr>
          <w:rFonts w:ascii="Times New Roman" w:hAnsi="Times New Roman" w:eastAsia="Times New Roman"/>
          <w:b/>
          <w:bCs/>
          <w:sz w:val="24"/>
        </w:rPr>
      </w:pPr>
    </w:p>
    <w:p>
      <w:pPr>
        <w:jc w:val="left"/>
        <w:rPr>
          <w:rStyle w:val="13"/>
          <w:rFonts w:hint="default" w:ascii="Times New Roman" w:hAnsi="Times New Roman" w:cs="Times New Roman"/>
          <w:b/>
          <w:i w:val="0"/>
          <w:sz w:val="24"/>
          <w:szCs w:val="24"/>
          <w:lang w:val="en-US"/>
        </w:rPr>
      </w:pPr>
      <w:r>
        <w:rPr>
          <w:rFonts w:ascii="Times New Roman" w:hAnsi="Times New Roman" w:eastAsia="Times New Roman"/>
          <w:b/>
          <w:bCs/>
          <w:sz w:val="24"/>
        </w:rPr>
        <w:t>ABSTRACT</w:t>
      </w:r>
    </w:p>
    <w:p>
      <w:pPr>
        <w:jc w:val="both"/>
        <w:rPr>
          <w:rStyle w:val="13"/>
          <w:rFonts w:hint="default" w:ascii="Times New Roman" w:hAnsi="Times New Roman" w:cs="Times New Roman"/>
          <w:b w:val="0"/>
          <w:bCs/>
          <w:i w:val="0"/>
          <w:sz w:val="24"/>
          <w:szCs w:val="24"/>
          <w:lang w:val="en-US"/>
        </w:rPr>
      </w:pPr>
      <w:r>
        <w:rPr>
          <w:rFonts w:ascii="Times New Roman" w:hAnsi="Times New Roman" w:eastAsia="Times New Roman"/>
          <w:sz w:val="24"/>
        </w:rPr>
        <w:t>Heavy metal contamination in drinking water poses a significant public health risk in developing countries where access to safe and clean water is limited due to inadequate infrastructure, poor surveillance systems and environmental negligence.</w:t>
      </w:r>
    </w:p>
    <w:p>
      <w:pPr>
        <w:jc w:val="both"/>
        <w:rPr>
          <w:rStyle w:val="13"/>
          <w:rFonts w:hint="default" w:ascii="Times New Roman" w:hAnsi="Times New Roman" w:cs="Times New Roman"/>
          <w:b w:val="0"/>
          <w:bCs/>
          <w:i w:val="0"/>
          <w:sz w:val="24"/>
          <w:szCs w:val="24"/>
          <w:lang w:val="en-US"/>
        </w:rPr>
      </w:pPr>
      <w:r>
        <w:rPr>
          <w:rFonts w:ascii="Times New Roman" w:hAnsi="Times New Roman" w:eastAsia="Times New Roman"/>
          <w:sz w:val="24"/>
        </w:rPr>
        <w:t>This review explores the sources of heavy metals contamination (lead,arsenic, cadmium,mercury, chromium,iron and copper) in water supplies across developing countries. Industrial waste, agricultural runoff, mining and poor waste management practices are identified as primary contributors to elevated metal concentrations in water bodies. Prolonged exposure to these metals even at low levels is associated with severe health conditions including neurological damage, kidney disease and cancers.</w:t>
      </w:r>
    </w:p>
    <w:p>
      <w:pPr>
        <w:jc w:val="both"/>
        <w:rPr>
          <w:rStyle w:val="13"/>
          <w:rFonts w:hint="default" w:ascii="Times New Roman" w:hAnsi="Times New Roman" w:cs="Times New Roman"/>
          <w:b w:val="0"/>
          <w:bCs/>
          <w:i w:val="0"/>
          <w:sz w:val="24"/>
          <w:szCs w:val="24"/>
          <w:lang w:val="en-US"/>
        </w:rPr>
      </w:pPr>
      <w:r>
        <w:rPr>
          <w:rFonts w:ascii="Times New Roman" w:hAnsi="Times New Roman" w:eastAsia="Times New Roman"/>
          <w:sz w:val="24"/>
        </w:rPr>
        <w:t xml:space="preserve"> It also evaluates the existing drinking water surveillance programs in countries such as Ghana, Nigeria, Kenya, India and Brazil and the challenges faced by these countries in monitoring and mitigating water contamination, including limited technical capacity, insufficient funding and weak regulatory enforcement. </w:t>
      </w:r>
    </w:p>
    <w:p>
      <w:pPr>
        <w:jc w:val="both"/>
        <w:rPr>
          <w:rStyle w:val="13"/>
          <w:rFonts w:hint="default" w:ascii="Times New Roman" w:hAnsi="Times New Roman" w:cs="Times New Roman"/>
          <w:b w:val="0"/>
          <w:bCs/>
          <w:i w:val="0"/>
          <w:sz w:val="24"/>
          <w:szCs w:val="24"/>
          <w:lang w:val="en-US"/>
        </w:rPr>
      </w:pPr>
      <w:r>
        <w:rPr>
          <w:rFonts w:ascii="Times New Roman" w:hAnsi="Times New Roman" w:eastAsia="Times New Roman"/>
          <w:sz w:val="24"/>
        </w:rPr>
        <w:t xml:space="preserve">While some progress has been made through national initiatives and international support, many systems remain underdeveloped and fragmented. This review emphasizes the urgent need for integrated strategies to improve water quality. It also highlights the role of international organizations in supporting local efforts through funding, technical assistance and advocacy. </w:t>
      </w:r>
    </w:p>
    <w:p>
      <w:pPr>
        <w:jc w:val="both"/>
        <w:rPr>
          <w:rFonts w:ascii="Times New Roman" w:hAnsi="Times New Roman" w:eastAsia="Times New Roman"/>
          <w:sz w:val="24"/>
        </w:rPr>
      </w:pPr>
      <w:r>
        <w:rPr>
          <w:rFonts w:ascii="Times New Roman" w:hAnsi="Times New Roman" w:eastAsia="Times New Roman"/>
          <w:sz w:val="24"/>
        </w:rPr>
        <w:t>Ultimately, protecting drinking water from heavy metal contamination requires coordinated efforts among governments, communities and global partners to ensure universal access to safe and clean water.</w:t>
      </w:r>
    </w:p>
    <w:p>
      <w:pPr>
        <w:jc w:val="both"/>
        <w:rPr>
          <w:rFonts w:hint="default" w:ascii="Times New Roman" w:hAnsi="Times New Roman" w:eastAsia="Times New Roman"/>
          <w:sz w:val="24"/>
          <w:lang w:val="en-US"/>
        </w:rPr>
      </w:pPr>
    </w:p>
    <w:p>
      <w:pPr>
        <w:jc w:val="both"/>
        <w:rPr>
          <w:rFonts w:hint="default" w:ascii="Times New Roman" w:hAnsi="Times New Roman" w:eastAsia="Times New Roman"/>
          <w:sz w:val="24"/>
          <w:lang w:val="en-US"/>
        </w:rPr>
      </w:pPr>
    </w:p>
    <w:p>
      <w:pPr>
        <w:pStyle w:val="10"/>
        <w:widowControl/>
        <w:spacing w:beforeAutospacing="0" w:after="150" w:afterAutospacing="0" w:line="21" w:lineRule="atLeast"/>
        <w:ind w:left="0" w:right="0" w:firstLine="0"/>
        <w:jc w:val="both"/>
        <w:rPr>
          <w:rFonts w:ascii="-webkit-standard" w:hAnsi="-webkit-standard" w:eastAsia="-webkit-standard" w:cs="-webkit-standard"/>
          <w:i w:val="0"/>
          <w:caps w:val="0"/>
          <w:color w:val="000000"/>
          <w:spacing w:val="0"/>
          <w:sz w:val="24"/>
          <w:szCs w:val="24"/>
          <w:u w:val="none"/>
        </w:rPr>
      </w:pPr>
      <w:r>
        <w:rPr>
          <w:rFonts w:hint="default" w:ascii="Times New Roman" w:hAnsi="Times New Roman" w:eastAsia="Times New Roman"/>
          <w:b/>
          <w:bCs/>
          <w:sz w:val="24"/>
          <w:lang w:val="en-US"/>
        </w:rPr>
        <w:t>Keywords</w:t>
      </w:r>
      <w:r>
        <w:rPr>
          <w:rFonts w:hint="default" w:ascii="Times New Roman" w:hAnsi="Times New Roman" w:eastAsia="Times New Roman"/>
          <w:sz w:val="24"/>
          <w:lang w:val="en-US"/>
        </w:rPr>
        <w:t xml:space="preserve">: </w:t>
      </w:r>
      <w:r>
        <w:rPr>
          <w:rFonts w:hint="default" w:ascii="Times New Roman" w:hAnsi="Times New Roman" w:eastAsia="-webkit-standard" w:cs="Times New Roman"/>
          <w:b w:val="0"/>
          <w:i w:val="0"/>
          <w:caps w:val="0"/>
          <w:color w:val="000000"/>
          <w:spacing w:val="0"/>
          <w:sz w:val="24"/>
          <w:szCs w:val="24"/>
          <w:u w:val="none"/>
        </w:rPr>
        <w:t>Contamination, Concentration, Heavy metals, Developing countries, Water supply.</w:t>
      </w:r>
      <w:r>
        <w:rPr>
          <w:rFonts w:hint="default" w:ascii="Times New Roman" w:hAnsi="Times New Roman" w:eastAsia="-webkit-standard" w:cs="Times New Roman"/>
          <w:b w:val="0"/>
          <w:i w:val="0"/>
          <w:caps w:val="0"/>
          <w:color w:val="000000"/>
          <w:spacing w:val="0"/>
          <w:sz w:val="24"/>
          <w:szCs w:val="24"/>
          <w:u w:val="none"/>
        </w:rPr>
        <w:t> </w:t>
      </w:r>
    </w:p>
    <w:p>
      <w:pPr>
        <w:pStyle w:val="10"/>
        <w:widowControl/>
        <w:spacing w:beforeAutospacing="0" w:after="150" w:afterAutospacing="0" w:line="21" w:lineRule="atLeast"/>
        <w:ind w:left="0" w:right="0" w:firstLine="0"/>
        <w:jc w:val="center"/>
        <w:rPr>
          <w:rFonts w:hint="default" w:ascii="-webkit-standard" w:hAnsi="-webkit-standard" w:eastAsia="-webkit-standard" w:cs="-webkit-standard"/>
          <w:i w:val="0"/>
          <w:caps w:val="0"/>
          <w:color w:val="000000"/>
          <w:spacing w:val="0"/>
          <w:sz w:val="27"/>
          <w:szCs w:val="27"/>
          <w:u w:val="none"/>
        </w:rPr>
      </w:pPr>
      <w:r>
        <w:rPr>
          <w:rFonts w:hint="default" w:ascii="-webkit-standard" w:hAnsi="-webkit-standard" w:eastAsia="-webkit-standard" w:cs="-webkit-standard"/>
          <w:i w:val="0"/>
          <w:caps w:val="0"/>
          <w:color w:val="000000"/>
          <w:spacing w:val="0"/>
          <w:sz w:val="24"/>
          <w:szCs w:val="24"/>
          <w:u w:val="none"/>
        </w:rPr>
        <w:t> </w:t>
      </w:r>
    </w:p>
    <w:p>
      <w:pPr>
        <w:widowControl/>
        <w:jc w:val="left"/>
      </w:pPr>
    </w:p>
    <w:p>
      <w:pPr>
        <w:jc w:val="both"/>
        <w:rPr>
          <w:rFonts w:hint="default" w:ascii="Times New Roman" w:hAnsi="Times New Roman" w:eastAsia="Times New Roman"/>
          <w:sz w:val="24"/>
          <w:lang w:val="en-US"/>
        </w:rPr>
      </w:pPr>
    </w:p>
    <w:p>
      <w:pPr>
        <w:jc w:val="both"/>
        <w:rPr>
          <w:rStyle w:val="13"/>
          <w:rFonts w:hint="default" w:ascii="Times New Roman" w:hAnsi="Times New Roman" w:cs="Times New Roman"/>
          <w:b/>
          <w:i w:val="0"/>
          <w:sz w:val="24"/>
          <w:szCs w:val="24"/>
          <w:lang w:val="en-US"/>
        </w:rPr>
      </w:pPr>
    </w:p>
    <w:p>
      <w:pPr>
        <w:jc w:val="both"/>
        <w:rPr>
          <w:rStyle w:val="13"/>
          <w:rFonts w:hint="default" w:ascii="Times New Roman" w:hAnsi="Times New Roman" w:cs="Times New Roman"/>
          <w:b/>
          <w:i w:val="0"/>
          <w:sz w:val="24"/>
          <w:szCs w:val="24"/>
          <w:lang w:val="en-US"/>
        </w:rPr>
      </w:pPr>
    </w:p>
    <w:p>
      <w:pPr>
        <w:jc w:val="center"/>
        <w:rPr>
          <w:rStyle w:val="13"/>
          <w:rFonts w:hint="default" w:ascii="Times New Roman" w:hAnsi="Times New Roman" w:cs="Times New Roman"/>
          <w:b/>
          <w:i w:val="0"/>
          <w:sz w:val="24"/>
          <w:szCs w:val="24"/>
        </w:rPr>
      </w:pPr>
    </w:p>
    <w:p>
      <w:pPr>
        <w:jc w:val="center"/>
        <w:rPr>
          <w:rStyle w:val="13"/>
          <w:rFonts w:hint="default" w:ascii="Times New Roman" w:hAnsi="Times New Roman" w:cs="Times New Roman"/>
          <w:b/>
          <w:i w:val="0"/>
          <w:sz w:val="24"/>
          <w:szCs w:val="24"/>
        </w:rPr>
      </w:pPr>
    </w:p>
    <w:p>
      <w:pPr>
        <w:jc w:val="both"/>
        <w:rPr>
          <w:rStyle w:val="13"/>
          <w:rFonts w:hint="default" w:ascii="Times New Roman" w:hAnsi="Times New Roman" w:cs="Times New Roman"/>
          <w:b/>
          <w:i w:val="0"/>
          <w:sz w:val="24"/>
          <w:szCs w:val="24"/>
        </w:rPr>
      </w:pPr>
    </w:p>
    <w:p>
      <w:pPr>
        <w:jc w:val="both"/>
        <w:rPr>
          <w:rStyle w:val="13"/>
          <w:rFonts w:hint="default" w:ascii="Times New Roman" w:hAnsi="Times New Roman" w:cs="Times New Roman"/>
          <w:b/>
          <w:i w:val="0"/>
          <w:sz w:val="24"/>
          <w:szCs w:val="24"/>
        </w:rPr>
      </w:pPr>
    </w:p>
    <w:p>
      <w:pPr>
        <w:jc w:val="both"/>
        <w:rPr>
          <w:rStyle w:val="13"/>
          <w:rFonts w:hint="default" w:ascii="Times New Roman" w:hAnsi="Times New Roman" w:cs="Times New Roman"/>
          <w:b/>
          <w:i w:val="0"/>
          <w:sz w:val="24"/>
          <w:szCs w:val="24"/>
        </w:rPr>
      </w:pPr>
      <w:r>
        <w:rPr>
          <w:rFonts w:ascii="Times New Roman" w:hAnsi="Times New Roman" w:eastAsia="Times New Roman"/>
          <w:b/>
          <w:bCs/>
          <w:sz w:val="24"/>
        </w:rPr>
        <w:t>INTRODUCTION</w:t>
      </w:r>
    </w:p>
    <w:p>
      <w:pPr>
        <w:pStyle w:val="10"/>
        <w:spacing w:beforeAutospacing="0" w:after="150" w:afterAutospacing="0" w:line="360" w:lineRule="auto"/>
        <w:jc w:val="both"/>
        <w:rPr>
          <w:rFonts w:hint="default" w:ascii="Times New Roman" w:hAnsi="Times New Roman" w:eastAsia="Times New Roman" w:cs="Times New Roman"/>
          <w:color w:val="000000"/>
          <w:sz w:val="24"/>
          <w:szCs w:val="24"/>
        </w:rPr>
      </w:pPr>
      <w:r>
        <w:rPr>
          <w:rFonts w:ascii="Times New Roman" w:hAnsi="Times New Roman" w:eastAsia="Times New Roman"/>
          <w:sz w:val="24"/>
        </w:rPr>
        <w:t>Water is a vital resource for human life and a crucial component of any society's growth. However many developing nations struggle to give their citizens access to clean and safe water. Most importantly, drinking water which is necessary for preserving health [1]. Unfortunately, many developing nations lack the infrastructure and resources required to guarantee the safety of their drinking water, putting their populations at risk of coming in contact with dangerous contaminants like heavy metals.</w:t>
      </w:r>
    </w:p>
    <w:p>
      <w:pPr>
        <w:pStyle w:val="10"/>
        <w:spacing w:beforeAutospacing="0" w:after="150" w:afterAutospacing="0" w:line="300" w:lineRule="auto"/>
        <w:jc w:val="both"/>
        <w:rPr>
          <w:rFonts w:hint="default" w:ascii="Times New Roman" w:hAnsi="Times New Roman" w:eastAsia="Times New Roman" w:cs="Times New Roman"/>
          <w:color w:val="000000"/>
          <w:sz w:val="24"/>
          <w:szCs w:val="24"/>
        </w:rPr>
      </w:pPr>
      <w:r>
        <w:rPr>
          <w:rFonts w:ascii="Times New Roman" w:hAnsi="Times New Roman" w:eastAsia="Times New Roman"/>
          <w:sz w:val="24"/>
        </w:rPr>
        <w:t>Aluminum, arsenic, cadmium, lead, and mercury are the heavy metals which people are frequently exposed to [2]. They are elements that occur naturally and are frequently used in many different industries, including mining and smelting. They can also be found in drinking water sources as a result of natural erosion or as a byproduct of human activity due to increasing industrialization and urbanization [3]. Increased concentrations of heavy metals in water may also be indirectly caused by socioeconomic factors like poverty and poor waste management. When present in high concentrations, heavy metals can have serious health effects, including neurological and developmental problems, cancer, and organ damage [4].</w:t>
      </w:r>
    </w:p>
    <w:p>
      <w:pPr>
        <w:pStyle w:val="10"/>
        <w:spacing w:beforeAutospacing="0" w:after="150" w:afterAutospacing="0"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 xml:space="preserve">Heavy metal poisoning of drinking water is a serious public health concern in many poor nations, yet it is frequently not appropriately addressed [5]. This is caused in part, by a lack of infrastructure and resources for water treatment and monitoring, as well as a lack of knowledge regarding the hazardous effects of exposure to heavy metals. </w:t>
      </w:r>
    </w:p>
    <w:p>
      <w:pPr>
        <w:pStyle w:val="10"/>
        <w:spacing w:beforeAutospacing="0" w:after="150" w:afterAutospacing="0" w:line="360" w:lineRule="auto"/>
        <w:jc w:val="both"/>
        <w:rPr>
          <w:rFonts w:hint="default" w:ascii="Times New Roman" w:hAnsi="Times New Roman" w:eastAsia="Times New Roman" w:cs="Times New Roman"/>
          <w:color w:val="000000"/>
          <w:sz w:val="24"/>
          <w:szCs w:val="24"/>
        </w:rPr>
      </w:pPr>
      <w:r>
        <w:rPr>
          <w:rFonts w:ascii="Times New Roman" w:hAnsi="Times New Roman" w:eastAsia="Times New Roman"/>
          <w:sz w:val="24"/>
        </w:rPr>
        <w:t>Monitoring the levels of heavy metals in drinking water sources is very important. To detect and prevent heavy metal contamination, it is vital to create efficient surveillance systems, put in place suitable treatment methods, and also promote public awareness. In addition, effective treatment methods for removing heavy metals from drinking water must be developed and made available to communities. This may include the use of technologies such as reverse osmosis, activated carbon filtration, adsorption and ion exchange [3]. However, these technologies can be costly and may not be feasible in all settings. Improving water supply infrastructure, such as replacing aging pipes and implementing better water management practices, can also help to reduce heavy metal concentrations in drinking water.</w:t>
      </w:r>
    </w:p>
    <w:p>
      <w:pPr>
        <w:pStyle w:val="10"/>
        <w:spacing w:beforeAutospacing="0" w:after="150" w:afterAutospacing="0" w:line="360" w:lineRule="auto"/>
        <w:jc w:val="both"/>
        <w:rPr>
          <w:rFonts w:hint="default" w:ascii="Times New Roman" w:hAnsi="Times New Roman" w:eastAsia="Times New Roman" w:cs="Times New Roman"/>
          <w:color w:val="000000"/>
          <w:sz w:val="24"/>
          <w:szCs w:val="24"/>
        </w:rPr>
      </w:pPr>
      <w:r>
        <w:rPr>
          <w:rFonts w:ascii="Times New Roman" w:hAnsi="Times New Roman" w:eastAsia="Times New Roman"/>
          <w:sz w:val="24"/>
        </w:rPr>
        <w:t>This paper will review the current state of heavy metal contamination in drinking water in developing countries from a public health perspective and also examine the challenges and limitations of existing surveillance systems. It will also discuss potential strategies for improving water quality and protecting public health.</w:t>
      </w:r>
    </w:p>
    <w:p>
      <w:pPr>
        <w:pStyle w:val="10"/>
        <w:spacing w:beforeAutospacing="0" w:after="150" w:afterAutospacing="0" w:line="360" w:lineRule="auto"/>
        <w:jc w:val="both"/>
        <w:rPr>
          <w:rFonts w:hint="default" w:ascii="Times New Roman" w:hAnsi="Times New Roman" w:eastAsia="Times New Roman" w:cs="Times New Roman"/>
          <w:color w:val="36363D"/>
          <w:sz w:val="24"/>
          <w:szCs w:val="24"/>
        </w:rPr>
      </w:pPr>
      <w:r>
        <w:rPr>
          <w:rFonts w:ascii="Times New Roman" w:hAnsi="Times New Roman" w:eastAsia="Times New Roman"/>
          <w:sz w:val="24"/>
        </w:rPr>
        <w:t xml:space="preserve">  </w:t>
      </w:r>
    </w:p>
    <w:p>
      <w:pPr>
        <w:pStyle w:val="10"/>
        <w:spacing w:beforeAutospacing="0" w:after="150" w:afterAutospacing="0"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WATER SUPPLY IN DEVELOPING COUNTRIES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In many developing countries, access to safe and reliable water supply is limited, leading to health and sanitation challenges. Water supply in developing countries can be classified into:</w:t>
      </w:r>
    </w:p>
    <w:p>
      <w:pPr>
        <w:spacing w:line="360" w:lineRule="auto"/>
        <w:jc w:val="both"/>
        <w:rPr>
          <w:rStyle w:val="13"/>
          <w:rFonts w:hint="default" w:ascii="Times New Roman" w:hAnsi="Times New Roman" w:cs="Times New Roman"/>
          <w:i w:val="0"/>
          <w:sz w:val="24"/>
          <w:szCs w:val="24"/>
          <w:lang w:val="en-US"/>
        </w:rPr>
      </w:pPr>
      <w:r>
        <w:rPr>
          <w:rFonts w:ascii="Times New Roman" w:hAnsi="Times New Roman" w:eastAsia="Times New Roman"/>
          <w:sz w:val="24"/>
        </w:rPr>
        <w:t>Improved Water Sources: These sources provide access to clean drinking water and are considered safe for human consumption. These include piped water supply systems, public taps or standpipes, boreholes.</w:t>
      </w:r>
    </w:p>
    <w:p>
      <w:pPr>
        <w:spacing w:line="360" w:lineRule="auto"/>
        <w:jc w:val="both"/>
        <w:rPr>
          <w:rStyle w:val="13"/>
          <w:rFonts w:hint="default" w:ascii="Times New Roman" w:hAnsi="Times New Roman" w:cs="Times New Roman"/>
          <w:i w:val="0"/>
          <w:sz w:val="24"/>
          <w:szCs w:val="24"/>
          <w:lang w:val="en-US"/>
        </w:rPr>
      </w:pPr>
      <w:r>
        <w:rPr>
          <w:rFonts w:ascii="Times New Roman" w:hAnsi="Times New Roman" w:eastAsia="Times New Roman"/>
          <w:sz w:val="24"/>
        </w:rPr>
        <w:t>Unimproved Water Sources: These sources do not provide safe drinking water and can pose health risks to the users. These include unprotected dug wells, surface water sources such as rivers and lakes, rainwater and vendors who sell water from tankers or other unregulated sources [6].</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SOCIAL EPIDEMIOLOGY OF WATER SUPPLY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The social epidemiology of water supply in developing countries is a complex issue that is influenced by a range of factors such as poverty, political instability, population growth, urbanization, and environmental degradation. Access to clean water remains a major challenge in developing countries, particularly for marginalized populations.</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Inadequate access to clean water can lead to the spread of waterborne diseases, such as cholera, typhoid fever, and diarrhea, which can cause significant morbidity and mortality. The burden of these diseases is disproportionately borne by poor and marginalized populations, who often lack access to basic sanitation facilities and safe drinking water. Also heavy metal contaminated water can also have harmful effects on health [7].</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 xml:space="preserve">Patterns of water supply and distribution are significantly influenced by the social determinants of health, including gender, social class, income, and education. Poor urban homes, for instance, might not have access to piped water and instead rely on unsafe sources of water. </w:t>
      </w:r>
    </w:p>
    <w:p>
      <w:pPr>
        <w:spacing w:line="360" w:lineRule="auto"/>
        <w:jc w:val="both"/>
        <w:rPr>
          <w:rStyle w:val="13"/>
          <w:rFonts w:hint="default" w:ascii="Times New Roman" w:hAnsi="Times New Roman" w:cs="Times New Roman"/>
          <w:i w:val="0"/>
          <w:sz w:val="24"/>
          <w:szCs w:val="24"/>
        </w:rPr>
      </w:pP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COMMON HEAVY METAL CONTAMINANTS AND THEIR SOURCES</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 xml:space="preserve">There are 35 metals that, after exposure, could be dangerous to people's health. 23 of these are categorized as heavy metals and they include antimony, arsenic, bismuth, cadmium, cerium, chromium, cobalt, copper, gallium, gold, iron, lead, manganese, mercury, nickel, platinum, silver, tellurium, thallium, tin, uranium, vanadium, and zinc [8]. Heavy metals are naturally occurring and can be found in the environment and food. Based on their biological roles, they can be divided into essential and non-essential categories.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Iron, zinc, copper, chromium, cobalt, and manganese are essential heavy metals that are needed for human health at concentrations that may be advantageous to the body's metabolism but can be dangerous at high concentrations [9]. Non-essential heavy metals, such as cadmium, lead, nickel, and mercury, are known to be present in drinking water. However, the water may become harmful to the body's organs and tissues if the concentration of these metals exceeds the threshold limit that is considered safe for drinking water, as established by Standard Organization of Nigeria (SON) and World Health Organization (WHO) [5].</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COMMON HEAVY METAL CONTAMINANTS</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Lead</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 xml:space="preserve">Lead (Pb) in drinking water has a safe standard set by WHO and SON at 0.01 mg/L, but even small amounts can be dangerous. This bluish-gray metal is a trace element in the earth's crust and enters the environment through sources such as combustion of fossil fuel  [10], mining, manufacturing industries like paint and leaded gasoline, tyre wear, lubricating oil, grease, batteries production, and ceramics [5]. Household plumbing is the most common source of lead in drinking water. When water is corrosive, it may cause metals to leach from pipes or joints and contaminate drinking water. The water's pH, temperature, and mineral content are important factors that can affect corrosion. </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Copper</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Copper (CU) is both a necessary nutrient and pollutant in drinking water</w:t>
      </w:r>
      <w:r>
        <w:rPr>
          <w:rFonts w:ascii="Times New Roman" w:hAnsi="Times New Roman" w:eastAsia="Times New Roman"/>
          <w:sz w:val="24"/>
          <w:lang w:val="en-US"/>
        </w:rPr>
        <w:t xml:space="preserve"> [15]</w:t>
      </w:r>
      <w:r>
        <w:rPr>
          <w:rFonts w:ascii="Times New Roman" w:hAnsi="Times New Roman" w:eastAsia="Times New Roman"/>
          <w:sz w:val="24"/>
        </w:rPr>
        <w:t>. According to different standards, its allowed limits might range from 1 mg/L, as recommended by the SON, to 2 mg/L, as permitted by the EU and WHO [5]. Copper can affect human health negatively and add a taste to water if it is present at high concentrations in drinking water. Natural deposits and corrosion in home plumbing systems are the main sources of copper in drinking water. The neurological system, digestive system, liver, and the kidneys may all experience acute and long-term severe health impacts as a result of exposure to excessive amounts of copper in drinking water [11].</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Mercury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Mercury (Hg) is a harmful metal that has no use in water and should not be present. The World Health Organization (WHO) and Standards Organization of Nigeria (SON) have set a standard limit of 0.001mg/L for mercury concentration in drinking water [5]. This toxic substance has no known function in human biochemistry or physiology [4].</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The effects of mercury poisoning, also known as acrodynia or pink disease, can be severe due to its highly toxic nature. Various industries involved in the production of drugs, paper and pulp preservatives, chlorine and caustic soda, release mercury into the environment. Hospitals disposal of mercury thermometers also contributes to mercury pollution. Mercury has the ability to combine with other elements and form both organic and inorganic compounds, which can cause damage to the brain, kidneys, and developing fetus if exposure to high concentration occurs [8].</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Arsenic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The 12th most frequent element in nature is arsenic (AS), which is extremely hazardous. It is known as the "king of poison" and comes in three allotropic colors: black, yellow, and grey. Its permissible value of concentration in drinking water was set at 10 g/L by the World Health Organization (WHO), which ranked it as a top priority in its 2001 hazardous substances and disease registry [12]. Arsenite, As (III), and arsenate, As(V), both of which are highly poisonous inorganic compounds, are continuously released into water as a result of natural weathering processes[13]. Additionally, human activities like mining and the burning of fossil fuels exacerbate the issue. Arsenic can be consumed directly through drinking water and is one of the most dangerous and cancer causing natural groundwater contaminants [14]. Skin lesions including hyper- and hypo-pigmentation, peripheral neuropathy, skin cancer, bladder and lung cancer, and peripheral vascular disease are all indicators of long-term exposure to arsenic.</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Iron</w:t>
      </w:r>
    </w:p>
    <w:p>
      <w:pPr>
        <w:spacing w:line="360" w:lineRule="auto"/>
        <w:jc w:val="both"/>
        <w:rPr>
          <w:rStyle w:val="13"/>
          <w:rFonts w:hint="default" w:ascii="Times New Roman" w:hAnsi="Times New Roman" w:cs="Times New Roman"/>
          <w:i w:val="0"/>
          <w:sz w:val="24"/>
          <w:szCs w:val="24"/>
          <w:lang w:val="en-US"/>
        </w:rPr>
      </w:pPr>
      <w:r>
        <w:rPr>
          <w:rFonts w:ascii="Times New Roman" w:hAnsi="Times New Roman" w:eastAsia="Times New Roman"/>
          <w:sz w:val="24"/>
        </w:rPr>
        <w:t>Iron (Fe) is abundant in the crust of the Earth and is present in natural water sources at low amounts. Iron may also be found in drinking water if iron coagulants are used or if cast iron and steel pipes corrode during water distribution [15]. According to the World Health Organization (WHO) and SON, Iron levels should not exceed 0.3 mg/L.  Iron is a crucial nutrient for human health, especially when in the iron (II) oxidation state. The minimal daily requirement for iron varies depending on age, sex, physiological state, and iron bioavailability, with estimations ranging from 10 to 50 mg/day [5].</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Cadmium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Cadmium (Cd) occurs naturally in ores together with zinc, lead, and copper [16]. Cadmium and its compounds have been classified as Group 1 carcinogens in humans by the International Agency for Research on Cancer. Cadmium enters the environment and water through natural processes such as volcanic eruptions, weathering, and river transport, as well as human activities such as mining, smelting, municipal garbage incineration, and fertilizer manufacturing. Cadmium and its derivatives are extremely water-soluble and easily accessible as compared to other metals, resulting in bioaccumulation  [8].</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Chronic renal failure has been related to Cd-contaminated drinking water [17], and long-term exposure to cadmium can induce anemia, anosmia (loss of sense of smell), cardiovascular diseases, renal difficulties, osteoporosis, and cancer [18].</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Chromium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One of the naturally existing elements in the earth's crust is Chromium (Cr), which can exist in valences ranging from +2 to +6 [15]. Chromium (VI) is a highly toxic and carcinogenic form of Chromium, while Chromium (III) is an essential nutritional supplement for both animals and humans, playing a vital role in glucose metabolism [8]. For drinking water, WHO set the maximum allowable concentration of Chromium at 0.05 mg/L [5].</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Chromium enters the environment through both natural and anthropogenic sources. Natural sources include volcanic eruptions and geological weathering of rocks, soils, and sediments. On the other hand, anthropogenic sources include the extensive use of chromium compounds in various industrial applications such as plastic manufacturing, electroplating of metals, and leather and tannery industries, which has led to the discharge of significant amounts of wastewater containing toxic chromium species into water bodies[11].</w:t>
      </w:r>
    </w:p>
    <w:p>
      <w:pPr>
        <w:spacing w:line="360" w:lineRule="auto"/>
        <w:jc w:val="both"/>
        <w:rPr>
          <w:rStyle w:val="13"/>
          <w:rFonts w:hint="default" w:ascii="Times New Roman" w:hAnsi="Times New Roman" w:cs="Times New Roman"/>
          <w:i w:val="0"/>
          <w:sz w:val="24"/>
          <w:szCs w:val="24"/>
        </w:rPr>
      </w:pP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SOURCES OF HEAVY METAL</w:t>
      </w:r>
      <w:r>
        <w:rPr>
          <w:rFonts w:ascii="Times New Roman" w:hAnsi="Times New Roman" w:eastAsia="Times New Roman"/>
          <w:sz w:val="24"/>
        </w:rPr>
        <w:t xml:space="preserve">S </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szCs w:val="24"/>
        </w:rPr>
        <w:t>Natural sources</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Heavy metals are naturally occurring elements present in the Earth's crust, soil, and rocks. Weathering and erosion of rocks and minerals, volcanic activity, and atmospheric deposition are natural sources of heavy metal contamination in water [19].</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Mining activities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Heavy metal pollution of water sources is mostly caused by mining and smelting activities. Heavy metal toxicity from mining, milling, and smelting enterprises can have negative and even lethal effects on human health [20]. These activities generate four types of waste: (i) mine waste (low-grade ore, overburden, and barren rocks), (ii) tailings, (iii) dump heap leach, and (iv) acid mine water. These wastes are disposed off in an environmentally unsound manner in the surrounding land and water [21].</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Agricultural runoff</w:t>
      </w:r>
    </w:p>
    <w:p>
      <w:pPr>
        <w:spacing w:line="360" w:lineRule="auto"/>
        <w:jc w:val="both"/>
        <w:rPr>
          <w:rStyle w:val="13"/>
          <w:rFonts w:hint="default" w:ascii="Times New Roman" w:hAnsi="Times New Roman" w:cs="Times New Roman"/>
          <w:i w:val="0"/>
          <w:sz w:val="24"/>
          <w:szCs w:val="24"/>
          <w:lang w:val="en-US"/>
        </w:rPr>
      </w:pPr>
      <w:r>
        <w:rPr>
          <w:rFonts w:ascii="Times New Roman" w:hAnsi="Times New Roman" w:eastAsia="Times New Roman"/>
          <w:sz w:val="24"/>
        </w:rPr>
        <w:t>Due to agricultural runoff, developing countries may experience considerable heavy metal contamination in their drinking water. Fertilizers and pesticides, which frequently contain heavy metals like cadmium, copper, and zinc, can leach into water sources via agricultural runoff. The overuse of these compounds to increase production in response to a rapidly rising population poses a serious hazard to both groundwater and surface water [22].</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Industrial waste disposal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Industrial waste disposal can also be a major contributor to heavy metal contamination of drinking water in developing countries. Industries often release wastewater containing heavy metals into nearby water bodies, which can contaminate the water sources used for drinking and irrigation [23]. These industries include paint and leather industries, textile industry, oil refineries and electronics industry.</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Municipal solid waste</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In numerous developing countries, urban areas face a significant challenge in managing municipal solid waste (MSW), mainly due to swift population growth, unsatisfactory urbanization, and undesirable economic expansion. Consequently, the pressing issue of open dumping and unsanitary waste landfills arises [24].</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 xml:space="preserve">The primary location for the disposal of solid waste is a landfill, which has led to severe environmental pollution and the spread of diseases.The leaching of heavy metals from open dumping sites is a significant contributor to the increased concentration of these metals in surface and groundwater [25]. </w:t>
      </w: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HEALTH IMPLICATIONS OF HEAVY METAL CONCENTRATION IN DRINKING WATER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Heavy metal concentration in drinking water can have significant public health impacts, exposure to these toxins carry carcinogenic and non carcinogenic risks [26]. In low-income communities, particularly those with limited resources, the consequences of heavy metal exposure can be severe. Various diseases like cancer, cardiovascular disease, diabetes, atherosclerosis, neurological disorders, chronic inflammation, and more have been linked to high concentrations of heavy metals [27].</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 xml:space="preserve"> Drinking water contaminated with arsenic can lead to poisoning of the blood, central nervous system,and lung.It can also cause skin cancer, breathing problems, vomiting and nausea [11]. </w:t>
      </w:r>
    </w:p>
    <w:p>
      <w:pPr>
        <w:spacing w:line="360" w:lineRule="auto"/>
        <w:jc w:val="both"/>
        <w:rPr>
          <w:rStyle w:val="13"/>
          <w:rFonts w:hint="default" w:ascii="Times New Roman" w:hAnsi="Times New Roman" w:cs="Times New Roman"/>
          <w:i w:val="0"/>
          <w:sz w:val="24"/>
          <w:szCs w:val="24"/>
          <w:lang w:val="en-US"/>
        </w:rPr>
      </w:pPr>
      <w:r>
        <w:rPr>
          <w:rFonts w:ascii="Times New Roman" w:hAnsi="Times New Roman" w:eastAsia="Times New Roman"/>
          <w:sz w:val="24"/>
        </w:rPr>
        <w:t>lead exposure causes a significant burden of disease. The Institute for Health Metrics and Evaluation (IHME) estimates that more than 1.5 million deaths globally were attributed to lead exposure in 2021, primarily due to cardiovascular effects. Additionally, lead exposure was estimated to account for more than 33 million years lost to disability (disability-adjusted life years, or DALYs) worldwide in 2021[28].</w:t>
      </w:r>
    </w:p>
    <w:p>
      <w:pPr>
        <w:spacing w:line="360" w:lineRule="auto"/>
        <w:jc w:val="both"/>
        <w:rPr>
          <w:rStyle w:val="13"/>
          <w:rFonts w:hint="default" w:ascii="Times New Roman" w:hAnsi="Times New Roman" w:cs="Times New Roman"/>
          <w:i w:val="0"/>
          <w:sz w:val="24"/>
          <w:szCs w:val="24"/>
          <w:lang w:val="en-US"/>
        </w:rPr>
      </w:pPr>
      <w:r>
        <w:rPr>
          <w:rFonts w:ascii="Times New Roman" w:hAnsi="Times New Roman" w:eastAsia="Times New Roman"/>
          <w:sz w:val="24"/>
        </w:rPr>
        <w:t>In children, lead poisoning can cause hallucinations, delusions, poor memory, irritability, decreased mental ability, learning difficulties, reduced growth, blood anemia, muscle weakness, brain damage [29] and preterm delivery in pregnant women [30].</w:t>
      </w:r>
    </w:p>
    <w:p>
      <w:pPr>
        <w:spacing w:line="360" w:lineRule="auto"/>
        <w:jc w:val="both"/>
        <w:rPr>
          <w:rStyle w:val="13"/>
          <w:rFonts w:hint="default" w:ascii="Times New Roman" w:hAnsi="Times New Roman" w:cs="Times New Roman"/>
          <w:i w:val="0"/>
          <w:sz w:val="24"/>
          <w:szCs w:val="24"/>
          <w:lang w:val="en-US"/>
        </w:rPr>
      </w:pPr>
      <w:r>
        <w:rPr>
          <w:rFonts w:ascii="Times New Roman" w:hAnsi="Times New Roman" w:eastAsia="Times New Roman"/>
          <w:sz w:val="24"/>
        </w:rPr>
        <w:t>While low concentrations of iron are necessary for the human body, high concentrations above the permissible limit can cause adverse health problems, such as gastrointestinal irritation [31],genetic and metabolic diseases, conjunctivitis, choroiditis and retinitis [5].</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The concern about cadmium's role and toxicity in the environment is growing due to its potential to be extremely toxic to humans at low levels. Cadmium can cause renal dysfunction, lung cancer, osteomalacia, and high blood pressure [11].</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 xml:space="preserve">Mercury is a highly toxic element, particularly in its organic form, and was responsible for the Minamata disease outbreak in Japan. Short-term exposure to mercury can lead to lung damage, while long-term exposure can cause neurological and psychological symptoms such as tremors, changes in personality, restlessness, anxiety, sleep disturbance, and depression [11]. </w:t>
      </w:r>
    </w:p>
    <w:p>
      <w:pPr>
        <w:spacing w:line="360" w:lineRule="auto"/>
        <w:jc w:val="both"/>
        <w:rPr>
          <w:rStyle w:val="13"/>
          <w:rFonts w:hint="default" w:ascii="Times New Roman" w:hAnsi="Times New Roman" w:cs="Times New Roman"/>
          <w:i w:val="0"/>
          <w:sz w:val="24"/>
          <w:szCs w:val="24"/>
        </w:rPr>
      </w:pPr>
      <w:r>
        <w:rPr>
          <w:rFonts w:ascii="Times New Roman" w:hAnsi="Times New Roman" w:eastAsia="Times New Roman"/>
          <w:sz w:val="24"/>
        </w:rPr>
        <w:t>Chromium (VI) causes allergic reactions including skin rash, nose irritations and bleeds, stomach upset, ulcers, respiratory disorders, lower immune system, kidney, lung and liver disorders [5].</w:t>
      </w:r>
    </w:p>
    <w:p>
      <w:pPr>
        <w:spacing w:line="360" w:lineRule="auto"/>
        <w:jc w:val="both"/>
        <w:rPr>
          <w:rFonts w:hint="default" w:ascii="Times New Roman" w:hAnsi="Times New Roman" w:eastAsia="Times New Roman" w:cs="Times New Roman"/>
          <w:b/>
          <w:bCs/>
          <w:color w:val="36363D"/>
          <w:sz w:val="24"/>
          <w:szCs w:val="24"/>
        </w:rPr>
      </w:pPr>
      <w:r>
        <w:rPr>
          <w:rFonts w:ascii="Times New Roman" w:hAnsi="Times New Roman" w:eastAsia="Times New Roman"/>
          <w:sz w:val="24"/>
        </w:rPr>
        <w:t>Several studies have suggested that long-term exposure to high levels of copper in drinking water may increase the risk of health problems, including liver damage, kidney disease, and neurological disorders [3]. Children and infants are particularly susceptible to the health effects of copper, as their bodies are not able to regulate copper levels as effectively as adults. High levels of copper in drinking water have been linked to developmental delays, learning difficulties, and behavioral problems in children [32].</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b/>
          <w:bCs/>
          <w:sz w:val="24"/>
        </w:rPr>
        <w:t xml:space="preserve"> OVERVIEW OF DRINKING WATER SURVEILLANCE IN DEVELOPING COUNTRIES </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Drinking water surveillance is the continuous and vigilant public health assessment and review of the safety and quality of drinking water supplies [33]. The primary objective of drinking water surveillance programs is to ensure that drinking water is free from harmful contaminants that can pose a risk to human health. Surveillance of drinking water includes monitoring the quality of drinking water at different stages of the water supply system which includes the source, treatment, distribution, and storage. The monitoring includes testing for the presence of microbiological and chemical contaminants that can pose a risk to human health. The WHO has developed guidelines for drinking water quality, which includes the recommended limits for microbiological and chemical contaminants in drinking water and recommends that surveillance systems should be integrated, proactive, and involve regular water quality testing, data analysis, and information dissemination to the public [34]. However, the implementation of such programs in developing countries has been limited due to inadequate infrastructure, insufficient resources, and a lack of technical expertise [15]. Nevertheless, many developing countries have recognized the need for water quality monitoring in ensuring the safety of drinking water and have established their own surveillance systems with the support of international organizations and aid agencies [35]. The authorities responsible for drinking water surveillance in most developing countries is usually the public health ministry in collaboration with other agencies. Kenya's water surveillance program is an initiative aimed at ensuring the quality and safety of water for consumption and other uses. The program was implemented by the Ministry of Health which works in collaboration with other government agencies such as the Water Services Regulatory Board (WASREB) [36] and the Kenya Bureau of Standards (KEBS), as well as non-governmental organizations (NGOs) and development partners. Water Service Providers (WSPs) are primarily responsible for monitoring drinking water quality with the use of guidelines established by the national Water Services Regulatory Board (WASREB). However, many WSPs lack water safety plans. Also the frequency and sampling protocols vary significantly [37]. Furthermore, the current surveillance system is not comprehensive enough to detect all the contaminants that may be present in drinking water [38].</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The Ministry of Water Resources Works and Housing (MWRWH) oversees policy, planning, coordination, monitoring, and evaluation of water supply and resources in Ghana. The MWRWH's Water Directorate (WD) and agencies including the Water Resource Commission (WRC), Ghana Water Company Limited (GWCL), and Community Water and Sanitation Agency (CWSA) manage water resources and drinking water programs. The National Drinking Water Quality Management Framework was introduced in 2015 to monitor drinking water, and it's implementation required collaboration among sector organizations such as the Environmental Protection Agency, Food and Drug authority, Ghana Health Service, Ghana standards authority and Local Government Authorities [39]. According to a study conducted by the Ghana Health Service, water quality in Ghana has improved due to increased investment in water infrastructure and surveillance systems [40]. However, challenges remain in ensuring universal access to safe drinking water, particularly in rural areas.</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 xml:space="preserve">Drinking water quality testing, monitoring, and surveillance in India is overseen by the Jal Jeevan Mission (JJM). JJM is a program that was launched in 2019 with the goal of providing piped water supply to all rural households by 2024. As part of the program, JJM developed a framework for water quality monitoring and surveillance in 2021 that includes testing for physical, chemical, and microbiological parameters. The program aims to ensure that drinking water is free from harmful contaminants and meets national standards for safe drinking water. JJM also provides training to local communities on water quality testing and monitoring to encourage local participation in ensuring safe drinking water [41]. The program is a key initiative in improving access to safe drinking water in rural areas of India. However, the health burden of poor water quality is still enormous in India. </w:t>
      </w:r>
    </w:p>
    <w:p>
      <w:pPr>
        <w:spacing w:line="360" w:lineRule="auto"/>
        <w:jc w:val="both"/>
        <w:rPr>
          <w:rFonts w:hint="default" w:ascii="Times New Roman" w:hAnsi="Times New Roman" w:eastAsia="Times New Roman" w:cs="Times New Roman"/>
          <w:sz w:val="24"/>
          <w:szCs w:val="24"/>
          <w:lang w:val="en-US"/>
        </w:rPr>
      </w:pPr>
      <w:r>
        <w:rPr>
          <w:rFonts w:ascii="Times New Roman" w:hAnsi="Times New Roman" w:eastAsia="Times New Roman"/>
          <w:sz w:val="24"/>
        </w:rPr>
        <w:t>In Brazil, the ministry of health is in charge of drinking water quality surveillance. In 2000, the Ministry of Health implemented VIGIAGUA, the National Program for the Surveillance of Drinking Water Quality [42] which consists of continuous actions taken by the public health authorities to ensure the drinking water quality and the compliance to standards established in the current legislation. SISAGUA (The Surveillance of the Drinking Water Quality Information System) was established in 2007 and gathers information on various water sources to identify vulnerable areas for waterborne diseases and inform decision-making for health managers. The system also carries out interventions with public and private water companies to improve treatment and identify sources of contamination. SISAGUA collects data on the location, hydrological characteristics, system classification, and physical, chemical and microbiological parameters of safe drinking water [43].</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b/>
          <w:bCs/>
          <w:sz w:val="24"/>
        </w:rPr>
        <w:t xml:space="preserve">OVERVIEW OF DRINKING WATER SURVEILLANCE IN NIGERIA </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Nigeria, the largest black nation in the world has been dealing with water contamination since its founding in 1960. Although the quality of water supply in urban areas has improved, rural areas continue to have poor water quality [44,45]. About 66.3 million Nigerians lack access to safe drinking water.  As a result of faulty management, contamination at the water sources, and other factors, the quality of water is significantly decreased by the time it reaches the site of consumption.</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The Nigerian Standard for Water Quality (NSDWQ), which is accepted by law in Nigeria, is listed in Table 1. According to this, some water contaminants must not exceed accepted limits before being deemed safe for consumption [46]. In order to identify unpleasant changes in water quality, water quality surveillance is essential.</w:t>
      </w:r>
    </w:p>
    <w:p>
      <w:pPr>
        <w:spacing w:line="360" w:lineRule="auto"/>
        <w:jc w:val="both"/>
        <w:rPr>
          <w:rFonts w:hint="default" w:ascii="Times New Roman" w:hAnsi="Times New Roman" w:eastAsia="Times New Roman" w:cs="Times New Roman"/>
          <w:sz w:val="24"/>
          <w:szCs w:val="24"/>
        </w:rPr>
      </w:pPr>
    </w:p>
    <w:p>
      <w:pPr>
        <w:spacing w:line="360" w:lineRule="auto"/>
        <w:jc w:val="both"/>
        <w:rPr>
          <w:rFonts w:hint="default" w:ascii="Times New Roman" w:hAnsi="Times New Roman" w:eastAsia="Times New Roman" w:cs="Times New Roman"/>
          <w:sz w:val="24"/>
          <w:szCs w:val="24"/>
        </w:rPr>
      </w:pPr>
    </w:p>
    <w:p>
      <w:pPr>
        <w:spacing w:line="360" w:lineRule="auto"/>
        <w:jc w:val="both"/>
        <w:rPr>
          <w:rFonts w:hint="default" w:ascii="Times New Roman" w:hAnsi="Times New Roman" w:eastAsia="Times New Roman" w:cs="Times New Roman"/>
          <w:sz w:val="24"/>
          <w:szCs w:val="24"/>
        </w:rPr>
      </w:pPr>
    </w:p>
    <w:p>
      <w:pPr>
        <w:spacing w:line="360" w:lineRule="auto"/>
        <w:jc w:val="both"/>
        <w:rPr>
          <w:rFonts w:hint="default" w:ascii="Times New Roman" w:hAnsi="Times New Roman" w:eastAsia="Times New Roman" w:cs="Times New Roman"/>
          <w:sz w:val="24"/>
          <w:szCs w:val="24"/>
        </w:rPr>
      </w:pPr>
    </w:p>
    <w:p>
      <w:pPr>
        <w:spacing w:line="360" w:lineRule="auto"/>
        <w:jc w:val="both"/>
        <w:rPr>
          <w:rFonts w:hint="default" w:ascii="Times New Roman" w:hAnsi="Times New Roman" w:eastAsia="Times New Roman" w:cs="Times New Roman"/>
          <w:sz w:val="24"/>
          <w:szCs w:val="24"/>
        </w:rPr>
      </w:pPr>
    </w:p>
    <w:p>
      <w:pPr>
        <w:spacing w:line="360" w:lineRule="auto"/>
        <w:jc w:val="both"/>
        <w:rPr>
          <w:rFonts w:hint="default" w:ascii="Times New Roman" w:hAnsi="Times New Roman" w:eastAsia="Times New Roman" w:cs="Times New Roman"/>
          <w:sz w:val="24"/>
          <w:szCs w:val="24"/>
        </w:rPr>
      </w:pPr>
    </w:p>
    <w:p>
      <w:pPr>
        <w:spacing w:line="360" w:lineRule="auto"/>
        <w:jc w:val="both"/>
        <w:rPr>
          <w:rFonts w:hint="default" w:ascii="Times New Roman" w:hAnsi="Times New Roman" w:eastAsia="Times New Roman" w:cs="Times New Roman"/>
          <w:sz w:val="24"/>
          <w:szCs w:val="24"/>
          <w:lang w:val="en-US"/>
        </w:rPr>
      </w:pPr>
      <w:r>
        <w:rPr>
          <w:rFonts w:ascii="Times New Roman" w:hAnsi="Times New Roman" w:eastAsia="Times New Roman"/>
          <w:sz w:val="24"/>
        </w:rPr>
        <w:t>Table 1. Standards for drinking water quality by The Nigerian Standard for Water Quality  and  WHO [46]</w:t>
      </w:r>
    </w:p>
    <w:tbl>
      <w:tblPr>
        <w:tblStyle w:val="16"/>
        <w:tblW w:w="0" w:type="auto"/>
        <w:tblInd w:w="100" w:type="dxa"/>
        <w:tblLayout w:type="fixed"/>
        <w:tblCellMar>
          <w:top w:w="15" w:type="dxa"/>
          <w:left w:w="15" w:type="dxa"/>
          <w:bottom w:w="15" w:type="dxa"/>
          <w:right w:w="15" w:type="dxa"/>
        </w:tblCellMar>
      </w:tblPr>
      <w:tblGrid>
        <w:gridCol w:w="3726"/>
        <w:gridCol w:w="694"/>
        <w:gridCol w:w="1947"/>
        <w:gridCol w:w="1227"/>
      </w:tblGrid>
      <w:tr>
        <w:tblPrEx>
          <w:tblLayout w:type="fixed"/>
        </w:tblPrEx>
        <w:trPr>
          <w:trHeight w:val="575" w:hRule="atLeast"/>
        </w:trPr>
        <w:tc>
          <w:tcPr>
            <w:tcW w:w="3726" w:type="dxa"/>
            <w:tcBorders>
              <w:top w:val="single" w:color="000000" w:sz="6" w:space="0"/>
              <w:bottom w:val="single" w:color="000000" w:sz="6" w:space="0"/>
            </w:tcBorders>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Parameter</w:t>
            </w:r>
          </w:p>
        </w:tc>
        <w:tc>
          <w:tcPr>
            <w:tcW w:w="694" w:type="dxa"/>
            <w:tcBorders>
              <w:top w:val="single" w:color="000000" w:sz="6" w:space="0"/>
              <w:bottom w:val="single" w:color="000000" w:sz="6" w:space="0"/>
            </w:tcBorders>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Unit</w:t>
            </w:r>
          </w:p>
        </w:tc>
        <w:tc>
          <w:tcPr>
            <w:tcW w:w="1947" w:type="dxa"/>
            <w:tcBorders>
              <w:top w:val="single" w:color="000000" w:sz="6" w:space="0"/>
              <w:bottom w:val="single" w:color="000000" w:sz="6" w:space="0"/>
            </w:tcBorders>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NSDWQ</w:t>
            </w:r>
          </w:p>
        </w:tc>
        <w:tc>
          <w:tcPr>
            <w:tcW w:w="1227" w:type="dxa"/>
            <w:tcBorders>
              <w:top w:val="single" w:color="000000" w:sz="6" w:space="0"/>
              <w:bottom w:val="single" w:color="000000" w:sz="6" w:space="0"/>
            </w:tcBorders>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WHO</w:t>
            </w:r>
          </w:p>
        </w:tc>
      </w:tr>
      <w:tr>
        <w:tblPrEx>
          <w:tblLayout w:type="fixed"/>
        </w:tblPrEx>
        <w:trPr>
          <w:trHeight w:val="515" w:hRule="atLeast"/>
        </w:trPr>
        <w:tc>
          <w:tcPr>
            <w:tcW w:w="3726" w:type="dxa"/>
            <w:tcBorders>
              <w:top w:val="single" w:color="000000" w:sz="6" w:space="0"/>
            </w:tcBorders>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Heavy metals</w:t>
            </w:r>
          </w:p>
        </w:tc>
        <w:tc>
          <w:tcPr>
            <w:tcW w:w="694" w:type="dxa"/>
            <w:tcBorders>
              <w:top w:val="single" w:color="000000" w:sz="6" w:space="0"/>
            </w:tcBorders>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p>
        </w:tc>
        <w:tc>
          <w:tcPr>
            <w:tcW w:w="1947" w:type="dxa"/>
            <w:tcBorders>
              <w:top w:val="single" w:color="000000" w:sz="6" w:space="0"/>
            </w:tcBorders>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p>
        </w:tc>
        <w:tc>
          <w:tcPr>
            <w:tcW w:w="1227" w:type="dxa"/>
            <w:tcBorders>
              <w:top w:val="single" w:color="000000" w:sz="6" w:space="0"/>
            </w:tcBorders>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Iron (Fe)</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val="en-US" w:eastAsia="en-US"/>
              </w:rPr>
            </w:pPr>
            <w:r>
              <w:rPr>
                <w:rFonts w:ascii="Times New Roman" w:hAnsi="Times New Roman" w:eastAsia="Times New Roman"/>
                <w:sz w:val="24"/>
              </w:rPr>
              <w:t>0.5</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0.5</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Lead (Pb)</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0.01</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0.01</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Zinc (Zn)</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3</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0.01</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Copper (Cu)</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1</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2</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Chromium (Cr) (trivalent)</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0.05</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0.05</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Manganese (Mn)</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0.2</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0.4</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Cobalt (Co)</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 NS</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Arsenic (As)</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0.01</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0.01</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Cadmium (Cd)</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0.003</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0.003</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Mercury (Hg)</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0.006</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Nickel (Ni)</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0.02</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0.07</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Sodium (Na)</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200</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200</w:t>
            </w:r>
          </w:p>
        </w:tc>
      </w:tr>
      <w:tr>
        <w:tblPrEx>
          <w:tblLayout w:type="fixed"/>
        </w:tblPrEx>
        <w:trPr>
          <w:trHeight w:val="515"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Physical parameters</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pH</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e</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6.50e-8.50</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6.50e-8.50</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Dissolved oxygen (DO)</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7.5</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Biochemical oxygen demand (BOD)</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r>
      <w:tr>
        <w:tblPrEx>
          <w:tblLayout w:type="fixed"/>
        </w:tblPrEx>
        <w:trPr>
          <w:trHeight w:val="515"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Chemical oxygen demand (COD)</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Total dissolved solids (TDS)</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500</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500</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Total hardness (TH)</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150</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100</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Total alkalinity (TA)</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Temperature</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Oc</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30</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Turbidity</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NTU</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5</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5</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Electrical conductivity (EC)</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ds/m</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1</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0.9</w:t>
            </w:r>
          </w:p>
        </w:tc>
      </w:tr>
      <w:tr>
        <w:tblPrEx>
          <w:tblLayout w:type="fixed"/>
        </w:tblPrEx>
        <w:trPr>
          <w:trHeight w:val="515"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Other cations and anions</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Nitrate  (NO3—)</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50</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50</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Nitrite  (NO—2)</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3</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3</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Total Calcium (Ca)</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75</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75</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Chloride (Cl—)</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250</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Fluoride (F—)</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 xml:space="preserve"> NS</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1.5</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Phosphate  (PO—4)</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 NS</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NS</w:t>
            </w:r>
          </w:p>
        </w:tc>
      </w:tr>
      <w:tr>
        <w:tblPrEx>
          <w:tblLayout w:type="fixed"/>
        </w:tblPrEx>
        <w:trPr>
          <w:trHeight w:val="500" w:hRule="atLeast"/>
        </w:trPr>
        <w:tc>
          <w:tcPr>
            <w:tcW w:w="3726"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Sulphate (SO2—)</w:t>
            </w:r>
          </w:p>
        </w:tc>
        <w:tc>
          <w:tcPr>
            <w:tcW w:w="694"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100</w:t>
            </w:r>
          </w:p>
        </w:tc>
        <w:tc>
          <w:tcPr>
            <w:tcW w:w="1227" w:type="dxa"/>
            <w:shd w:val="clear" w:color="auto" w:fill="D9D9D9"/>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100</w:t>
            </w:r>
          </w:p>
        </w:tc>
      </w:tr>
      <w:tr>
        <w:tblPrEx>
          <w:tblLayout w:type="fixed"/>
        </w:tblPrEx>
        <w:trPr>
          <w:trHeight w:val="500" w:hRule="atLeast"/>
        </w:trPr>
        <w:tc>
          <w:tcPr>
            <w:tcW w:w="3726"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Ammonia  (NHþ4)</w:t>
            </w:r>
          </w:p>
        </w:tc>
        <w:tc>
          <w:tcPr>
            <w:tcW w:w="694"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mg/L</w:t>
            </w:r>
          </w:p>
        </w:tc>
        <w:tc>
          <w:tcPr>
            <w:tcW w:w="194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5</w:t>
            </w:r>
          </w:p>
        </w:tc>
        <w:tc>
          <w:tcPr>
            <w:tcW w:w="1227" w:type="dxa"/>
            <w:tcMar>
              <w:top w:w="100" w:type="dxa"/>
              <w:left w:w="100" w:type="dxa"/>
              <w:bottom w:w="100" w:type="dxa"/>
              <w:right w:w="100" w:type="dxa"/>
            </w:tcMar>
          </w:tcPr>
          <w:p>
            <w:pPr>
              <w:spacing w:after="0" w:line="360" w:lineRule="auto"/>
              <w:jc w:val="both"/>
              <w:rPr>
                <w:rFonts w:hint="default" w:ascii="Times New Roman" w:hAnsi="Times New Roman" w:eastAsia="Times New Roman" w:cs="Times New Roman"/>
                <w:sz w:val="24"/>
                <w:szCs w:val="24"/>
                <w:lang w:eastAsia="en-US"/>
              </w:rPr>
            </w:pPr>
            <w:r>
              <w:rPr>
                <w:rFonts w:ascii="Times New Roman" w:hAnsi="Times New Roman" w:eastAsia="Times New Roman"/>
                <w:sz w:val="24"/>
              </w:rPr>
              <w:t>0.5</w:t>
            </w:r>
          </w:p>
        </w:tc>
      </w:tr>
    </w:tbl>
    <w:p>
      <w:pPr>
        <w:spacing w:line="360" w:lineRule="auto"/>
        <w:jc w:val="both"/>
        <w:rPr>
          <w:rFonts w:hint="default" w:ascii="Times New Roman" w:hAnsi="Times New Roman" w:eastAsia="Times New Roman" w:cs="Times New Roman"/>
          <w:sz w:val="24"/>
          <w:szCs w:val="24"/>
          <w:lang w:val="en-US"/>
        </w:rPr>
      </w:pPr>
      <w:r>
        <w:rPr>
          <w:rFonts w:ascii="Times New Roman" w:hAnsi="Times New Roman" w:eastAsia="Times New Roman"/>
          <w:sz w:val="24"/>
        </w:rPr>
        <w:t>ns: not stated</w:t>
      </w: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sz w:val="24"/>
          <w:szCs w:val="24"/>
          <w:lang w:val="en-US"/>
        </w:rPr>
      </w:pPr>
    </w:p>
    <w:p>
      <w:pPr>
        <w:spacing w:line="360" w:lineRule="auto"/>
        <w:jc w:val="both"/>
        <w:rPr>
          <w:rFonts w:hint="default" w:ascii="Times New Roman" w:hAnsi="Times New Roman" w:eastAsia="Times New Roman" w:cs="Times New Roman"/>
          <w:b/>
          <w:bCs/>
          <w:sz w:val="24"/>
          <w:szCs w:val="24"/>
          <w:lang w:val="en-US"/>
        </w:rPr>
      </w:pPr>
      <w:r>
        <w:rPr>
          <w:rFonts w:ascii="Times New Roman" w:hAnsi="Times New Roman" w:eastAsia="Times New Roman"/>
          <w:sz w:val="24"/>
        </w:rPr>
        <w:t>Surveillance of drinking water in Nigeria is carried out by various governmental and non-governmental organizations to ensure the quality of water is safe for human consumption.  The Federal Ministry of Water Resources (FMWR) in Nigeria is in charge of ensuring the quality and quantity of the country's water resources through policy and program development.  They also offer financial and technical assistance to state governments in the planning, execution, and surveillance of water supply initiatives [47]. Most states in Nigeria have separate urban and rural water supply and sanitation agencies, overseen by a State Ministry responsible for water resources. This ministry ensures that Federal procedures are implemented and supervises the development and enforcement of Water Safety Plans by water service providers (including state water agencies).  State water agencies submit annual water quality reports to the State Ministry, which then forwards them to the Federal Ministry of Water Resources [47]. However, in rural communities where more than 70% of households lack access to improved water supply, water surveillance is restricted. These communities depend solely on self-sourced water from free sources such as rivers, perennial streams, water ponds, and unprotected wells that are vulnerable to contamination [48].</w:t>
      </w:r>
    </w:p>
    <w:p>
      <w:pPr>
        <w:spacing w:line="360" w:lineRule="auto"/>
        <w:jc w:val="left"/>
        <w:rPr>
          <w:rFonts w:hint="default" w:ascii="Times New Roman" w:hAnsi="Times New Roman" w:eastAsia="Times New Roman" w:cs="Times New Roman"/>
          <w:sz w:val="24"/>
          <w:szCs w:val="24"/>
        </w:rPr>
      </w:pPr>
      <w:r>
        <w:rPr>
          <w:rFonts w:ascii="Times New Roman" w:hAnsi="Times New Roman" w:eastAsia="Times New Roman"/>
          <w:b/>
          <w:bCs/>
          <w:sz w:val="24"/>
        </w:rPr>
        <w:t>CHALLENGES FACED BY DEVELOPING COUNTRIES IN IMPLEMENTING DRINKING WATER SURVEILLANCE PROGRAMS</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Developing countries face numerous challenges in implementing drinking water surveillance programs to ensure the availability of safe drinking water for their population. The key challenges include inadequate infrastructure, limited resources, insufficient technical capacity, and weak institutional frameworks.</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Inadequate infrastructure is a major challenge faced by developing countries as many lack the necessary water treatment plants and distribution systems required to provide safe drinking water. Furthermore, maintaining and upgrading existing infrastructure can be costly and challenging, leading to continued reliance on unsafe water sources [49]. Limited resources also pose a challenge for developing countries in implementing drinking water surveillance programs. Developing countries may not have adequate funds to support the necessary equipment, staff, and laboratory facilities. Additionally, the cost of monitoring and analyzing water samples is often high, making it difficult for them to afford regular testing.</w:t>
      </w:r>
    </w:p>
    <w:p>
      <w:pPr>
        <w:spacing w:line="360" w:lineRule="auto"/>
        <w:jc w:val="both"/>
        <w:rPr>
          <w:rFonts w:hint="default" w:ascii="Times New Roman" w:hAnsi="Times New Roman" w:eastAsia="Times New Roman" w:cs="Times New Roman"/>
          <w:sz w:val="24"/>
          <w:szCs w:val="24"/>
          <w:lang w:val="en-US"/>
        </w:rPr>
      </w:pPr>
      <w:r>
        <w:rPr>
          <w:rFonts w:ascii="Times New Roman" w:hAnsi="Times New Roman" w:eastAsia="Times New Roman"/>
          <w:sz w:val="24"/>
        </w:rPr>
        <w:t>Insufficient technical capacity is another critical determinant for the implementation of water surveillance programs in developing countries. The lack of trained personnel and inadequate monitoring and testing equipment hinders the ability of these countries to ensure the safety of their drinking water [49]. Finally, insufficient institutional frameworks also adds to the difficulties developing nations encounter when putting drinking water surveillance systems into place. It can be challenging to maintain compliance with water quality requirements when there are unclear legislative frameworks and governance structures [6]</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To overcome these challenges, developing countries must prioritize investment in water infrastructure, staff training, and laboratory facilities. Governments should allocate sufficient funds to support drinking water surveillance programs and raise public awareness of the importance of safe drinking water. Additionally, partnerships between governments, NGOs, and international organizations can help provide technical assistance and resources to support water surveillance programs in developing countries.</w:t>
      </w:r>
    </w:p>
    <w:p>
      <w:pPr>
        <w:spacing w:line="360" w:lineRule="auto"/>
        <w:jc w:val="left"/>
        <w:rPr>
          <w:rFonts w:hint="default" w:ascii="Times New Roman" w:hAnsi="Times New Roman" w:eastAsia="Times New Roman" w:cs="Times New Roman"/>
          <w:b/>
          <w:bCs/>
          <w:sz w:val="24"/>
          <w:szCs w:val="24"/>
        </w:rPr>
      </w:pPr>
      <w:r>
        <w:rPr>
          <w:rFonts w:ascii="Times New Roman" w:hAnsi="Times New Roman" w:eastAsia="Times New Roman"/>
          <w:b/>
          <w:bCs/>
          <w:sz w:val="24"/>
        </w:rPr>
        <w:t>IMPORTANCE OF INTERNATIONAL ORGANIZATIONS IN IMPLEMENTING EFFECTIVE DRINKING WATER SURVEILLANCE PROGRAMS</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 xml:space="preserve">Some international organizations are already involved in providing assistance to developing countries in developing and implementing surveillance programs. This includes World Health Organization (WHO), United Nations Children's Fund (UNICEF): UNICEF, World Bank, United States Agency for International Development (USAID).  </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However, there are still some gaps that still needs to be filled by international organizations in order to effectively implement drinking water surveillance programs in developing countries. They can help establish and maintain effective drinking water surveillance programs by providing technical assistance, funding, and other resources. This can also include providing training for water quality, monitoring and management, and establishing partnerships between local and international organizations.</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In addition, international collaboration can contribute to fostering political support and creating an enabling environment for drinking water surveillance programs. This may entail advocacy campaigns aimed at increasing awareness of the significance of safe drinking water and encouraging the adoption of policies and regulations that facilitate water quality management.</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 xml:space="preserve">Finally, international cooperation can help to address the root causes of water contamination, such as poverty, environmental degradation, and lack of infrastructure. This may involve supporting sustainable development initiatives that promote economic growth, environmental protection, and social equity. </w:t>
      </w:r>
    </w:p>
    <w:p>
      <w:pPr>
        <w:spacing w:line="360" w:lineRule="auto"/>
        <w:jc w:val="both"/>
        <w:rPr>
          <w:rFonts w:hint="default" w:ascii="Times New Roman" w:hAnsi="Times New Roman" w:eastAsia="Times New Roman" w:cs="Times New Roman"/>
          <w:b/>
          <w:bCs/>
          <w:color w:val="36363D"/>
          <w:sz w:val="24"/>
          <w:szCs w:val="24"/>
          <w:lang w:val="en-US"/>
        </w:rPr>
      </w:pPr>
      <w:r>
        <w:rPr>
          <w:rFonts w:ascii="Times New Roman" w:hAnsi="Times New Roman" w:eastAsia="Times New Roman"/>
          <w:sz w:val="24"/>
        </w:rPr>
        <w:t>In conclusion, by working together with Government agencies, it is possible for every individual to have access to safe drinking water, which is essential for health, well-being, and sustainable development</w:t>
      </w:r>
    </w:p>
    <w:p>
      <w:pPr>
        <w:spacing w:line="360" w:lineRule="auto"/>
        <w:jc w:val="both"/>
        <w:rPr>
          <w:rStyle w:val="13"/>
          <w:rFonts w:hint="default" w:ascii="Times New Roman" w:hAnsi="Times New Roman" w:cs="Times New Roman"/>
          <w:b/>
          <w:i w:val="0"/>
          <w:sz w:val="24"/>
          <w:szCs w:val="24"/>
          <w:lang w:val="en-US"/>
        </w:rPr>
      </w:pPr>
    </w:p>
    <w:p>
      <w:pPr>
        <w:spacing w:line="360" w:lineRule="auto"/>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 CONCLUSION </w:t>
      </w:r>
      <w:r>
        <w:rPr>
          <w:rFonts w:ascii="Times New Roman" w:hAnsi="Times New Roman" w:eastAsia="Times New Roman"/>
          <w:sz w:val="24"/>
        </w:rPr>
        <w:t xml:space="preserve">                              </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The issue of heavy metal concentration in drinking water is a major public health concern in developing countries. The findings of this essay indicate that heavy metal contamination in drinking water is a serious threat to human health, as it has been linked to various health problems, including cancer, neurological disorders, and developmental problems. Furthermore, the lack of proper surveillance systems in many developing countries means that many people are exposed to high levels of heavy metals without even knowing it.</w:t>
      </w:r>
    </w:p>
    <w:p>
      <w:pPr>
        <w:spacing w:line="360" w:lineRule="auto"/>
        <w:jc w:val="both"/>
        <w:rPr>
          <w:rFonts w:hint="default" w:ascii="Times New Roman" w:hAnsi="Times New Roman" w:eastAsia="Times New Roman" w:cs="Times New Roman"/>
          <w:sz w:val="24"/>
          <w:szCs w:val="24"/>
        </w:rPr>
      </w:pPr>
      <w:r>
        <w:rPr>
          <w:rFonts w:ascii="Times New Roman" w:hAnsi="Times New Roman" w:eastAsia="Times New Roman"/>
          <w:sz w:val="24"/>
        </w:rPr>
        <w:t>In conclusion, it is essential that developing countries take urgent and concerted actions to address heavy metal contamination in drinking water. This requires a multidisciplinary approach that involves government, academia, civil society, and the private sector. With proper measures in place, it is possible to reduce the health risks associated with heavy metal exposure and to ensure that everyone has access to clean and safe drinking water.</w:t>
      </w:r>
    </w:p>
    <w:p>
      <w:pPr>
        <w:spacing w:line="360" w:lineRule="auto"/>
        <w:rPr>
          <w:rFonts w:hint="default" w:ascii="Times New Roman" w:hAnsi="Times New Roman" w:eastAsia="Times New Roman" w:cs="Times New Roman"/>
          <w:b/>
          <w:bCs/>
          <w:color w:val="36363D"/>
          <w:sz w:val="24"/>
          <w:szCs w:val="24"/>
        </w:rPr>
      </w:pPr>
    </w:p>
    <w:p>
      <w:pPr>
        <w:numPr>
          <w:ilvl w:val="0"/>
          <w:numId w:val="0"/>
        </w:numPr>
        <w:spacing w:line="360" w:lineRule="auto"/>
        <w:ind w:leftChars="0"/>
        <w:jc w:val="both"/>
        <w:rPr>
          <w:rStyle w:val="13"/>
          <w:rFonts w:hint="default" w:ascii="Times New Roman" w:hAnsi="Times New Roman" w:cs="Times New Roman"/>
          <w:b/>
          <w:i w:val="0"/>
          <w:sz w:val="24"/>
          <w:szCs w:val="24"/>
        </w:rPr>
      </w:pPr>
      <w:r>
        <w:rPr>
          <w:rFonts w:ascii="Times New Roman" w:hAnsi="Times New Roman" w:eastAsia="Times New Roman"/>
          <w:b/>
          <w:bCs/>
          <w:sz w:val="24"/>
        </w:rPr>
        <w:t xml:space="preserve">RECOMMENDATIONS </w:t>
      </w:r>
    </w:p>
    <w:p>
      <w:pPr>
        <w:numPr>
          <w:ilvl w:val="0"/>
          <w:numId w:val="0"/>
        </w:numPr>
        <w:spacing w:line="360" w:lineRule="auto"/>
        <w:ind w:leftChars="0"/>
        <w:jc w:val="both"/>
        <w:rPr>
          <w:rFonts w:hint="default" w:ascii="Times New Roman" w:hAnsi="Times New Roman" w:eastAsia="Times New Roman" w:cs="Times New Roman"/>
          <w:sz w:val="24"/>
          <w:szCs w:val="24"/>
        </w:rPr>
      </w:pPr>
      <w:r>
        <w:rPr>
          <w:rFonts w:ascii="Times New Roman" w:hAnsi="Times New Roman" w:eastAsia="Times New Roman"/>
          <w:sz w:val="24"/>
        </w:rPr>
        <w:t>Developing countries should implement proper drinking water surveillance systems that test for heavy metal concentrations. These systems should be designed to provide regular and timely information on the quality of drinking water, and to provide recommendations on ways to reduce exposure to heavy metals.</w:t>
      </w:r>
    </w:p>
    <w:p>
      <w:pPr>
        <w:numPr>
          <w:ilvl w:val="0"/>
          <w:numId w:val="0"/>
        </w:numPr>
        <w:spacing w:line="360" w:lineRule="auto"/>
        <w:ind w:leftChars="0"/>
        <w:jc w:val="both"/>
        <w:rPr>
          <w:rFonts w:hint="default" w:ascii="Times New Roman" w:hAnsi="Times New Roman" w:eastAsia="Times New Roman" w:cs="Times New Roman"/>
          <w:sz w:val="24"/>
          <w:szCs w:val="24"/>
        </w:rPr>
      </w:pPr>
      <w:r>
        <w:rPr>
          <w:rFonts w:ascii="Times New Roman" w:hAnsi="Times New Roman" w:eastAsia="Times New Roman"/>
          <w:sz w:val="24"/>
        </w:rPr>
        <w:t>Governments should invest in modern water treatment technologies to remove heavy metals from drinking water, especially in areas with high levels of contamination.</w:t>
      </w:r>
    </w:p>
    <w:p>
      <w:pPr>
        <w:numPr>
          <w:ilvl w:val="0"/>
          <w:numId w:val="0"/>
        </w:numPr>
        <w:spacing w:line="360" w:lineRule="auto"/>
        <w:ind w:leftChars="0"/>
        <w:jc w:val="both"/>
        <w:rPr>
          <w:rFonts w:hint="default" w:ascii="Times New Roman" w:hAnsi="Times New Roman" w:eastAsia="Times New Roman" w:cs="Times New Roman"/>
          <w:sz w:val="24"/>
          <w:szCs w:val="24"/>
        </w:rPr>
      </w:pPr>
      <w:r>
        <w:rPr>
          <w:rFonts w:ascii="Times New Roman" w:hAnsi="Times New Roman" w:eastAsia="Times New Roman"/>
          <w:sz w:val="24"/>
        </w:rPr>
        <w:t>Public education and awareness campaigns should be implemented to help people understand good waste disposal practices and the risks associated with heavy metal exposure.</w:t>
      </w:r>
    </w:p>
    <w:p>
      <w:pPr>
        <w:numPr>
          <w:ilvl w:val="0"/>
          <w:numId w:val="0"/>
        </w:numPr>
        <w:spacing w:line="360" w:lineRule="auto"/>
        <w:ind w:leftChars="0"/>
        <w:jc w:val="both"/>
        <w:rPr>
          <w:rFonts w:hint="default" w:ascii="Times New Roman" w:hAnsi="Times New Roman" w:eastAsia="Times New Roman" w:cs="Times New Roman"/>
          <w:sz w:val="24"/>
          <w:szCs w:val="24"/>
        </w:rPr>
      </w:pPr>
      <w:r>
        <w:rPr>
          <w:rFonts w:ascii="Times New Roman" w:hAnsi="Times New Roman" w:eastAsia="Times New Roman"/>
          <w:sz w:val="24"/>
        </w:rPr>
        <w:t>Promote healthy water consumption practices. This can include educating people on the importance of using clean water sources, boiling water before drinking, and storing water in safe and clean containers.</w:t>
      </w:r>
    </w:p>
    <w:p>
      <w:pPr>
        <w:numPr>
          <w:ilvl w:val="0"/>
          <w:numId w:val="0"/>
        </w:numPr>
        <w:spacing w:line="360" w:lineRule="auto"/>
        <w:ind w:leftChars="0"/>
        <w:jc w:val="both"/>
        <w:rPr>
          <w:rFonts w:hint="default" w:ascii="Times New Roman" w:hAnsi="Times New Roman" w:eastAsia="Times New Roman" w:cs="Times New Roman"/>
          <w:sz w:val="24"/>
          <w:szCs w:val="24"/>
        </w:rPr>
      </w:pPr>
      <w:r>
        <w:rPr>
          <w:rFonts w:ascii="Times New Roman" w:hAnsi="Times New Roman" w:eastAsia="Times New Roman"/>
          <w:sz w:val="24"/>
        </w:rPr>
        <w:t>Industries must be held accountable for their waste disposal practices and should be required to implement proper waste management techniques to prevent the release of heavy metals into water sources. In addition, the government must strengthen regulations to monitor industries and enforce penalties for non-compliance with environmental standards.</w:t>
      </w:r>
    </w:p>
    <w:p>
      <w:pPr>
        <w:numPr>
          <w:ilvl w:val="0"/>
          <w:numId w:val="0"/>
        </w:numPr>
        <w:spacing w:line="360" w:lineRule="auto"/>
        <w:ind w:leftChars="0"/>
        <w:jc w:val="both"/>
        <w:rPr>
          <w:rFonts w:hint="default" w:ascii="Times New Roman" w:hAnsi="Times New Roman" w:eastAsia="Times New Roman" w:cs="Times New Roman"/>
          <w:sz w:val="24"/>
          <w:szCs w:val="24"/>
        </w:rPr>
      </w:pPr>
      <w:r>
        <w:rPr>
          <w:rFonts w:ascii="Times New Roman" w:hAnsi="Times New Roman" w:eastAsia="Times New Roman"/>
          <w:sz w:val="24"/>
        </w:rPr>
        <w:t>Additionally, efforts should be made to improve the socioeconomic conditions of people in developing countries to reduce the likelihood of exposure to heavy metals in the first place.</w:t>
      </w: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ind w:left="1125" w:hanging="1125"/>
        <w:jc w:val="both"/>
        <w:rPr>
          <w:rFonts w:hint="default" w:ascii="Times New Roman" w:hAnsi="Times New Roman" w:cs="Times New Roman"/>
          <w:b/>
          <w:bCs/>
          <w:sz w:val="24"/>
          <w:szCs w:val="24"/>
          <w:lang w:val="en-US"/>
        </w:rPr>
      </w:pPr>
    </w:p>
    <w:p>
      <w:pPr>
        <w:spacing w:line="360" w:lineRule="auto"/>
        <w:jc w:val="both"/>
        <w:rPr>
          <w:rFonts w:hint="default" w:ascii="Times New Roman" w:hAnsi="Times New Roman" w:cs="Times New Roman"/>
          <w:b/>
          <w:bCs/>
          <w:sz w:val="24"/>
          <w:szCs w:val="24"/>
          <w:lang w:val="en-US"/>
        </w:rPr>
      </w:pPr>
    </w:p>
    <w:p>
      <w:pPr>
        <w:spacing w:line="360" w:lineRule="auto"/>
        <w:jc w:val="both"/>
        <w:rPr>
          <w:rFonts w:hint="default" w:ascii="Times New Roman" w:hAnsi="Times New Roman" w:cs="Times New Roman"/>
          <w:b/>
          <w:bCs/>
          <w:sz w:val="24"/>
          <w:szCs w:val="24"/>
          <w:lang w:val="en-US"/>
        </w:rPr>
      </w:pPr>
    </w:p>
    <w:p>
      <w:pPr>
        <w:spacing w:line="360" w:lineRule="auto"/>
        <w:jc w:val="both"/>
        <w:rPr>
          <w:rFonts w:ascii="Times New Roman" w:hAnsi="Times New Roman" w:eastAsia="Times New Roman"/>
          <w:sz w:val="24"/>
        </w:rPr>
      </w:pPr>
    </w:p>
    <w:p>
      <w:pPr>
        <w:spacing w:line="360" w:lineRule="auto"/>
        <w:jc w:val="both"/>
        <w:rPr>
          <w:rFonts w:ascii="Times New Roman" w:hAnsi="Times New Roman" w:eastAsia="Times New Roman"/>
          <w:sz w:val="24"/>
        </w:rPr>
      </w:pPr>
    </w:p>
    <w:p>
      <w:pPr>
        <w:spacing w:line="360" w:lineRule="auto"/>
        <w:jc w:val="both"/>
        <w:rPr>
          <w:rFonts w:ascii="Times New Roman" w:hAnsi="Times New Roman" w:eastAsia="Times New Roman"/>
          <w:sz w:val="24"/>
        </w:rPr>
      </w:pPr>
    </w:p>
    <w:p>
      <w:pPr>
        <w:spacing w:line="360" w:lineRule="auto"/>
        <w:jc w:val="both"/>
        <w:rPr>
          <w:rFonts w:ascii="Times New Roman" w:hAnsi="Times New Roman" w:eastAsia="Times New Roman"/>
          <w:sz w:val="24"/>
        </w:rPr>
      </w:pPr>
    </w:p>
    <w:p>
      <w:pPr>
        <w:spacing w:line="360" w:lineRule="auto"/>
        <w:jc w:val="both"/>
        <w:rPr>
          <w:rFonts w:hint="default" w:ascii="Times New Roman" w:hAnsi="Times New Roman" w:cs="Times New Roman"/>
          <w:b/>
          <w:bCs/>
          <w:sz w:val="24"/>
          <w:szCs w:val="24"/>
          <w:lang w:val="en-US"/>
        </w:rPr>
      </w:pPr>
      <w:bookmarkStart w:id="0" w:name="_GoBack"/>
      <w:r>
        <w:rPr>
          <w:rFonts w:ascii="Times New Roman" w:hAnsi="Times New Roman" w:eastAsia="Times New Roman"/>
          <w:b/>
          <w:bCs/>
          <w:sz w:val="24"/>
        </w:rPr>
        <w:t>REFERENCES</w:t>
      </w:r>
      <w:bookmarkEnd w:id="0"/>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Hutton G, Chase C. Water supply, sanitation, and hygiene. In: Mock CN, Nugent R, Kobusingye O, Smith KR, editors. Disease control priorities: improving health and reducing poverty. 3rd ed. Vol. 9. Washington (DC): World Bank; 2017.</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Momodu MA, Anyakora C. Heavy metal contamination of ground water: the Surulere case study. Res J Environ Earth Sci. 2010;2(1):39–43.</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Turkmen D, Bakhshpour M, Akgonullu S, Asir S, Denizli A. Heavy metal ions removal from wastewater using cryogels: a review. Front Sustain. 2022;3:765592.</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Sankhla MS, Kumari M, Nandan M, Kumar R, Agrawal P. Heavy metals contamination in water and their hazardous effect on human health—a review. Int J Curr Microbiol Appl Sci. 2016;5(10):759–66.</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Sylvester CI, Chakrabarty N, Srivastav AL. A review on heavy metal concentration in potable water sources in Nigeria: human health effects and mitigating measures. Expo Health. 2016;8(2):285–304.</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Hunter PR, MacDonald AM, Carter RC. Water supply and health. PLoS Med. 2010;7(11):e1000361.</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Sarmento DR. An analysis of access to improved drinking water and sanitation and distance to the water source in a newly independent country, Timor-Leste: Assessing geographical and socioeconomic disparities [master’s thesis]. Atlanta (GA): Georgia State University; 2015.</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Dahiya V. Heavy metal toxicity of drinking water: A silent killer. Biol Pharm Sci. 2022;19(1):20–5.</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Prashanth L, Kattapagari KK, Chitturi RT, Baddam VR, Prasad LK. A review on role of essential trace elements in health and disease. J Dr NTR Univ Health Sci. 2015;4:75–85.</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Omotoriogun TC, Uyi OO, Egbon IN. The physicochemical characteristics of Ibiekuma River, Ekpoma, Nigeria. J Wetl Ecol. 2012;6:1–6.</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Gautam RK, Sharma SK, Mahiyam S, Chattopadhyaya MC. Contamination of heavy metals in aquatic media: Transport, toxicity and technologies for remediation. In: Sharma SK, editor. Heavy metals in water: Presence, removal and safety. Cambridge: Royal Society of Chemistry; 2014. p. 1–24.</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Shaji E, Santosh M, Sarath KV, Prakash P, Deepchand V, Divya BV. Arsenic contamination of groundwater: A global synopsis with focus on the Indian Peninsula. Geosci Front. 2020;12.</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Fendorf S, Michael HA, Van Geen A. Spatial and temporal variations of groundwater arsenic in South and Southeast Asia. Science. 2010;328(5982):1123–7.</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Pearson M, Jones-Hughes T, Whear R, et al. Are interventions to reduce the impact of arsenic contamination of groundwater on human health in developing countries effective? A systematic review protocol. Environ Evid. 2011;1(1).</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World Health Organization. Guidelines for drinking-water quality. 4th ed. Geneva: World Health Organization; 2011.</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Järup L. Hazards of heavy metal contamination. Br Med Bull. 2003;68:167–182.</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Bawaskar HS, Bawaskar PH, Bawaskar PH. Chronic renal failure associated with heavy metal contamination of drinking water: a clinical report from a small village in Maharashtra. Clin Toxicol (Phila). 2010;48(7):768.</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Kunioka CT, Manso MC, Carvalho M. Association between environmental cadmium exposure and osteoporosis risk in postmenopausal women: a systematic review and meta-analysis. Int J Environ Res Public Health. 2023;20(1):485.</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Bagul VR, Shinde DN, Chavan RP, Patil CL, Pawar RK. New perspective on heavy metal pollution of water. J Chem Pharm Res. 2015;7(12):700–705.</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Orosun M, Tchokossa P, Nwankwo L, Lawal T, Bello S, Ige S. Assessment of heavy metal pollution in drinking water due to mining and smelting activities in Ajaokuta, Nigeria. Niger J Technol Dev. 2016;13(1):31–39.</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Valiente M, Perez G, Avila M, Ouazzani N, Esshaimi M, Mandi L. Heavy metal contamination of soils and water resources Kettara abandoned mine. Am J Environ Sci. 2012;8(3):253.</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Hariprasad N, Dayananda H. Environmental impact due to agricultural runoff containing heavy metals—a review. Int J Sci Res Publ. 2013;3(5).</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 xml:space="preserve">Agency for Toxic Substances and Disease Registry. Toxicological profile for lead. </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United Nations Environment Programme. Waste management in ASEAN countries. Nairobi (KE): UNEP; 2017.</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Bakis R, Tuncan A. An investigation of heavy metal and migration through groundwater from the landfill area of Eskisehir in Turkey. Environ Monit Assess. 2011;176:87–98.</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Emmanuel UC, Chukwudi MI, Monday SS, Anthony AI. Human health risk assessment of heavy metals in drinking water sources in three senatorial districts of Anambra State, Nigeria. Toxicol Rep. 2022;9:869–875.</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Jomova K, Valko M. Advances in metal-induced oxidative stress and human disease. Toxicology. 2011;283(2–3):65–87.</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World Health Organization. Lead poisoning and health [Internet]. Geneva: World Health Organization;2024 [cited 2025 Jun 23]. Available from: https://www.who.int/news-room/fact-sheets/detail/lead-poisoning-and-health</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Flora G, Gupta D, Tiwari A. Toxicity of lead: a review with recent updates. Interdiscip Toxicol. 2012;5(2):47–58.</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Taylor CM, Golding J, Emond AM. Adverse effects of maternal lead levels on birth outcomes in the ALSPAC study: a prospective birth cohort study. BJOG. 2015;122(3):322–328.</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 xml:space="preserve"> Musa OK, Shuaibu MM, Kudamnya EA. Heavy metal concentration in groundwater around Obajana and its environs, Kogi State, North Central Nigeria. Am J Contemp Res. 2013;3:170–177.</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Chowdhury S, Mazumder MAJ, Al-Attas O, Husain T. Heavy metals in drinking water: occurrences, implications, and future needs in developing countries. Sci Total Environ. 2016;569–570:476–488.</w:t>
      </w:r>
    </w:p>
    <w:p>
      <w:pPr>
        <w:keepNext w:val="0"/>
        <w:keepLines w:val="0"/>
        <w:pageBreakBefore w:val="0"/>
        <w:widowControl/>
        <w:numPr>
          <w:ilvl w:val="0"/>
          <w:numId w:val="1"/>
        </w:numPr>
        <w:kinsoku/>
        <w:wordWrap/>
        <w:overflowPunct/>
        <w:topLinePunct w:val="0"/>
        <w:autoSpaceDE/>
        <w:autoSpaceDN/>
        <w:bidi w:val="0"/>
        <w:adjustRightInd/>
        <w:snapToGrid/>
        <w:spacing w:line="360" w:lineRule="auto"/>
        <w:ind w:left="1267" w:leftChars="0" w:hanging="1123" w:firstLineChars="0"/>
        <w:jc w:val="both"/>
        <w:textAlignment w:val="auto"/>
        <w:rPr>
          <w:rFonts w:hint="default" w:ascii="Times New Roman" w:hAnsi="Times New Roman" w:cs="Times New Roman"/>
          <w:sz w:val="24"/>
          <w:szCs w:val="24"/>
        </w:rPr>
      </w:pPr>
      <w:r>
        <w:rPr>
          <w:rFonts w:ascii="Times New Roman" w:hAnsi="Times New Roman" w:eastAsia="Times New Roman"/>
          <w:sz w:val="24"/>
        </w:rPr>
        <w:t xml:space="preserve">World Health Organization, Water, Sanitation and Health Team. Guidelines for drinking-water quality. Vol. 1, Recommendations. 3rd ed. Geneva: World Health Organization 2004.                     </w:t>
      </w:r>
    </w:p>
    <w:p>
      <w:pPr>
        <w:keepNext w:val="0"/>
        <w:keepLines w:val="0"/>
        <w:pageBreakBefore w:val="0"/>
        <w:widowControl/>
        <w:numPr>
          <w:ilvl w:val="0"/>
          <w:numId w:val="0"/>
        </w:numPr>
        <w:kinsoku/>
        <w:wordWrap/>
        <w:overflowPunct/>
        <w:topLinePunct w:val="0"/>
        <w:autoSpaceDE/>
        <w:autoSpaceDN/>
        <w:bidi w:val="0"/>
        <w:adjustRightInd/>
        <w:snapToGrid/>
        <w:spacing w:line="360" w:lineRule="auto"/>
        <w:ind w:left="144" w:leftChars="0" w:firstLine="1080" w:firstLineChars="450"/>
        <w:jc w:val="both"/>
        <w:textAlignment w:val="auto"/>
        <w:rPr>
          <w:rFonts w:hint="default" w:ascii="Times New Roman" w:hAnsi="Times New Roman" w:cs="Times New Roman"/>
          <w:sz w:val="24"/>
          <w:szCs w:val="24"/>
        </w:rPr>
      </w:pPr>
      <w:r>
        <w:rPr>
          <w:rFonts w:ascii="Times New Roman" w:hAnsi="Times New Roman" w:eastAsia="Times New Roman"/>
          <w:sz w:val="24"/>
        </w:rPr>
        <w:t xml:space="preserve">Available from: https://iris.who.int/handle/10665/42852                                                                             </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World Health Organization. Guidelines for drinking-water quality. 4th ed. incorporating the first addendum. Geneva: World Health Organization; 2017.</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Foppen JW, Schijven JF. Evaluation of data from the literature on the transport and survival of Escherichia coli and thermotolerant coliforms in aquifers under saturated conditions. Water Res. 2006;40(3):401–26.</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REALWater. Kenya institutional framework for water supply. Washington (DC): United States Agency for International Development (USAID); 2022. Available from; https://www.rural-water-supply.net/en/resources/1182-kenya-institutional-framework-for-water-supply</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United States Agency for International Development (USAID). Kenya water resources profile overview: Water Resources Profile Series. Washington (DC): USAID; 2021. Available from:  https://winrock.org/resources/kenya-water-resources-profile-overview/</w:t>
      </w:r>
    </w:p>
    <w:p>
      <w:pPr>
        <w:numPr>
          <w:ilvl w:val="0"/>
          <w:numId w:val="1"/>
        </w:numPr>
        <w:spacing w:line="360" w:lineRule="auto"/>
        <w:ind w:left="1345" w:leftChars="0" w:hanging="1125" w:firstLineChars="0"/>
        <w:jc w:val="both"/>
        <w:rPr>
          <w:rFonts w:hint="default" w:ascii="Times New Roman" w:hAnsi="Times New Roman" w:cs="Times New Roman"/>
          <w:sz w:val="24"/>
          <w:szCs w:val="24"/>
          <w:lang w:val="en-US"/>
        </w:rPr>
      </w:pPr>
      <w:r>
        <w:rPr>
          <w:rFonts w:ascii="Times New Roman" w:hAnsi="Times New Roman" w:eastAsia="Times New Roman"/>
          <w:sz w:val="24"/>
        </w:rPr>
        <w:t>Water Resources Authority (WRA). Water resources impact report: A report to the public from the Water Resources Authority, Kenya, 2016/2017. Nairobi (Kenya): Water Resources Authority; 2017. Available from: https://wra.go.ke/download/water-resources-impact-report-2016-2017/</w:t>
      </w:r>
    </w:p>
    <w:p>
      <w:pPr>
        <w:numPr>
          <w:ilvl w:val="0"/>
          <w:numId w:val="1"/>
        </w:numPr>
        <w:spacing w:line="360" w:lineRule="auto"/>
        <w:ind w:left="1345" w:leftChars="0" w:hanging="1125" w:firstLineChars="0"/>
        <w:jc w:val="both"/>
        <w:rPr>
          <w:rFonts w:hint="default" w:ascii="Times New Roman" w:hAnsi="Times New Roman" w:cs="Times New Roman"/>
          <w:sz w:val="24"/>
          <w:szCs w:val="24"/>
          <w:lang w:val="en-US"/>
        </w:rPr>
      </w:pPr>
      <w:r>
        <w:rPr>
          <w:rFonts w:ascii="Times New Roman" w:hAnsi="Times New Roman" w:eastAsia="Times New Roman"/>
          <w:sz w:val="24"/>
        </w:rPr>
        <w:t xml:space="preserve">Ministry of Water Resources, Works and Housing, Government of Ghana. National Drinking Water Quality Management Framework for Ghana: “Prevention is Better than Cure”. Accra: Ministry of Water Resources, Works and Housing; 2015. Availablefrom:https://www.gwcl.com.gh/national_drinking_water_quality__management_framework.pdf </w:t>
      </w:r>
    </w:p>
    <w:p>
      <w:pPr>
        <w:numPr>
          <w:ilvl w:val="0"/>
          <w:numId w:val="1"/>
        </w:numPr>
        <w:spacing w:line="360" w:lineRule="auto"/>
        <w:ind w:left="1345" w:leftChars="0" w:hanging="1125" w:firstLineChars="0"/>
        <w:jc w:val="both"/>
        <w:rPr>
          <w:rFonts w:hint="default" w:ascii="Times New Roman" w:hAnsi="Times New Roman" w:cs="Times New Roman"/>
          <w:sz w:val="24"/>
          <w:szCs w:val="24"/>
          <w:lang w:val="en-US"/>
        </w:rPr>
      </w:pPr>
      <w:r>
        <w:rPr>
          <w:rFonts w:ascii="Times New Roman" w:hAnsi="Times New Roman" w:eastAsia="Times New Roman"/>
          <w:sz w:val="24"/>
        </w:rPr>
        <w:t>Ghana Health Service. Annual Report 2015. Accra: Ghana Health Service; 2015. Available from: https://www.afro.who.int/sites/default/files/2017-05/annual-report-2015--wco-ghana-.pdf</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Government of India, Ministry of Jal Shakti, Department of Drinking Water &amp; Sanitation. Drinking Water Quality Monitoring &amp; Surveillance Framework and Guidelines. New Delhi: National Jal Jeevan Mission; 2021.</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Oliveira Júnior A, Magalhães TB, Mata RND, Santos FSG, Oliveira DC, Carvalho JLB, Araújo WN. Drinking Water Quality Surveillance Information System (SISAGUA): characteristics, evolution and applicability. Epidemiol Serv Saude. 2019;28(1):e2018117.</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Faria CP, Almendra R, Dias GS, Santana P, do Céu Sousa M, Bessa de Freitas M. Evaluation of the drinking water quality surveillance system in the metropolitan region of Rio de Janeiro. J Water Health. 2021;19(2):306–321.</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Akinde SB, Olaitan JO, Fasunloye T. Water shortages and drinking water quality in rural Southwest Nigeria: Issues and sustainable solutions. Pan Afr J Life Sci. 2019;2(1):85–93.</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Kaoje AU, Yahaya M, Raji O, Hadiza M, Adenekan S. Drinking water quality, sanitation and hygiene practices in a rural community of Sokoto State, Nigeria. Int J Med Sci Public Health. 2018;8(1):78–85.</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Ighalo JO, Adeniyi AG. A comprehensive review of water quality monitoring and assessment in Nigeria. Chemosphere. 2020;260:127569.</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Standard Organization of Nigeria. Nigerian Standard for Drinking Water Quality. NIS 554:2015. Lagos: SON; 2015.</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Ishaku HT, Majid MR, Ajayi AP, Haruna A. Water supply dilemma in Nigerian rural communities: Looking towards the sky for an answer. J Water Resour Prot. 2011;3:598–606.</w:t>
      </w:r>
    </w:p>
    <w:p>
      <w:pPr>
        <w:numPr>
          <w:ilvl w:val="0"/>
          <w:numId w:val="1"/>
        </w:numPr>
        <w:spacing w:line="360" w:lineRule="auto"/>
        <w:ind w:left="1345" w:leftChars="0" w:hanging="1125" w:firstLineChars="0"/>
        <w:jc w:val="both"/>
        <w:rPr>
          <w:rFonts w:hint="default" w:ascii="Times New Roman" w:hAnsi="Times New Roman" w:cs="Times New Roman"/>
          <w:sz w:val="24"/>
          <w:szCs w:val="24"/>
        </w:rPr>
      </w:pPr>
      <w:r>
        <w:rPr>
          <w:rFonts w:ascii="Times New Roman" w:hAnsi="Times New Roman" w:eastAsia="Times New Roman"/>
          <w:sz w:val="24"/>
        </w:rPr>
        <w:t>Peletz R, Kisiangani J, Bonham M, Ronoh P, Delaire C, Kumpel E, Marks S, Khush R. Why do water quality monitoring programs succeed or fail? A qualitative comparative analysis of regulated testing systems in sub-Saharan Africa. Int J Hyg Environ Health. 2018;221(6):907–920.</w:t>
      </w:r>
    </w:p>
    <w:p>
      <w:pPr>
        <w:numPr>
          <w:ilvl w:val="0"/>
          <w:numId w:val="0"/>
        </w:numPr>
        <w:spacing w:line="360" w:lineRule="auto"/>
        <w:ind w:left="220" w:leftChars="0"/>
        <w:jc w:val="both"/>
        <w:rPr>
          <w:rFonts w:hint="default" w:ascii="Times New Roman" w:hAnsi="Times New Roman" w:cs="Times New Roman"/>
          <w:sz w:val="24"/>
          <w:szCs w:val="24"/>
        </w:rPr>
      </w:pPr>
    </w:p>
    <w:p>
      <w:pPr>
        <w:spacing w:line="360" w:lineRule="auto"/>
        <w:jc w:val="both"/>
        <w:rPr>
          <w:rFonts w:hint="default" w:ascii="Times New Roman" w:hAnsi="Times New Roman" w:eastAsia="Times New Roman" w:cs="Times New Roman"/>
          <w:sz w:val="24"/>
          <w:szCs w:val="24"/>
        </w:rPr>
      </w:pPr>
    </w:p>
    <w:sectPr>
      <w:footerReference r:id="rId3" w:type="default"/>
      <w:pgSz w:w="11906" w:h="16838"/>
      <w:pgMar w:top="1440" w:right="1440" w:bottom="1440" w:left="144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0000000000000000000"/>
    <w:charset w:val="86"/>
    <w:family w:val="auto"/>
    <w:pitch w:val="default"/>
    <w:sig w:usb0="00000000" w:usb1="00000000" w:usb2="00000000" w:usb3="00000000" w:csb0="00000000" w:csb1="00000000"/>
  </w:font>
  <w:font w:name="Wingdings">
    <w:altName w:val="Wingdings"/>
    <w:panose1 w:val="05000000000000000000"/>
    <w:charset w:val="00"/>
    <w:family w:val="auto"/>
    <w:pitch w:val="default"/>
    <w:sig w:usb0="00000000" w:usb1="10000000" w:usb2="00000000" w:usb3="00000000" w:csb0="80000000" w:csb1="00000000"/>
  </w:font>
  <w:font w:name="Arial">
    <w:altName w:val="Arial"/>
    <w:panose1 w:val="020B0604020202020204"/>
    <w:charset w:val="00"/>
    <w:family w:val="swiss"/>
    <w:pitch w:val="default"/>
    <w:sig w:usb0="20007A87" w:usb1="80000000" w:usb2="00000008" w:usb3="00000000" w:csb0="000001FF" w:csb1="00000000"/>
  </w:font>
  <w:font w:name="黑体">
    <w:altName w:val="SimHei"/>
    <w:panose1 w:val="02010600030101010101"/>
    <w:charset w:val="00"/>
    <w:family w:val="auto"/>
    <w:pitch w:val="default"/>
    <w:sig w:usb0="00000001" w:usb1="080E0000" w:usb2="00000010" w:usb3="00000000" w:csb0="00040000" w:csb1="00000000"/>
  </w:font>
  <w:font w:name="Courier New">
    <w:altName w:val="Courier New"/>
    <w:panose1 w:val="02070309020205020404"/>
    <w:charset w:val="00"/>
    <w:family w:val="modern"/>
    <w:pitch w:val="default"/>
    <w:sig w:usb0="20007A87" w:usb1="80000000" w:usb2="00000008" w:usb3="00000000" w:csb0="000001FF" w:csb1="00000000"/>
  </w:font>
  <w:font w:name="Cambria">
    <w:panose1 w:val="02040503050406030204"/>
    <w:charset w:val="00"/>
    <w:family w:val="roman"/>
    <w:pitch w:val="default"/>
    <w:sig w:usb0="00000000" w:usb1="00000000" w:usb2="00000000" w:usb3="00000000" w:csb0="0000019F" w:csb1="00000000"/>
  </w:font>
  <w:font w:name="Calibri">
    <w:panose1 w:val="020F0502020204030204"/>
    <w:charset w:val="00"/>
    <w:family w:val="swiss"/>
    <w:pitch w:val="default"/>
    <w:sig w:usb0="00000000" w:usb1="00000000" w:usb2="00000001" w:usb3="00000000" w:csb0="0000019F" w:csb1="00000000"/>
  </w:font>
  <w:font w:name="SimSun">
    <w:panose1 w:val="02010600030101010101"/>
    <w:charset w:val="86"/>
    <w:family w:val="auto"/>
    <w:pitch w:val="default"/>
    <w:sig w:usb0="00000000" w:usb1="00000000" w:usb2="00000006" w:usb3="00000000" w:csb0="00040001" w:csb1="00000000"/>
  </w:font>
  <w:font w:name="等线">
    <w:altName w:val="Microsoft YaHei"/>
    <w:panose1 w:val="00000000000000000000"/>
    <w:charset w:val="86"/>
    <w:family w:val="auto"/>
    <w:pitch w:val="default"/>
    <w:sig w:usb0="00000000" w:usb1="00000000" w:usb2="00000000" w:usb3="00000000" w:csb0="00000000" w:csb1="00000000"/>
  </w:font>
  <w:font w:name="SimHei">
    <w:altName w:val="SimSun"/>
    <w:panose1 w:val="02010600030101010101"/>
    <w:charset w:val="86"/>
    <w:family w:val="modern"/>
    <w:pitch w:val="default"/>
    <w:sig w:usb0="00000000" w:usb1="00000000" w:usb2="00000010" w:usb3="00000000" w:csb0="00040000" w:csb1="00000000"/>
  </w:font>
  <w:font w:name="Tahoma">
    <w:panose1 w:val="020B0604030504040204"/>
    <w:charset w:val="00"/>
    <w:family w:val="swiss"/>
    <w:pitch w:val="default"/>
    <w:sig w:usb0="00000000" w:usb1="00000000" w:usb2="00000029" w:usb3="00000000" w:csb0="200101FF" w:csb1="20280000"/>
  </w:font>
  <w:font w:name="Microsoft YaHei">
    <w:panose1 w:val="020B0503020204020204"/>
    <w:charset w:val="86"/>
    <w:family w:val="auto"/>
    <w:pitch w:val="default"/>
    <w:sig w:usb0="00000000" w:usb1="00000000" w:usb2="00000016" w:usb3="00000000" w:csb0="0004001F" w:csb1="00000000"/>
  </w:font>
  <w:font w:name="Segoe UI">
    <w:panose1 w:val="020B0502040204020203"/>
    <w:charset w:val="00"/>
    <w:family w:val="auto"/>
    <w:pitch w:val="default"/>
    <w:sig w:usb0="00000000" w:usb1="00000000" w:usb2="00000009" w:usb3="00000000" w:csb0="200001FF" w:csb1="00000000"/>
  </w:font>
  <w:font w:name="-webkit-standard">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zSVju0AAAAAUBAAAPAAAAAAAAAAEAIAAAACIAAABkcnMvZG93bnJldi54&#10;bWxQSwECFAAUAAAACACHTuJA2hmdFQICAAASBAAADgAAAAAAAAABACAAAAAfAQAAZHJzL2Uyb0Rv&#10;Yy54bWxQSwUGAAAAAAYABgBZAQAAkwU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1A25C2"/>
    <w:multiLevelType w:val="multilevel"/>
    <w:tmpl w:val="4C1A25C2"/>
    <w:lvl w:ilvl="0" w:tentative="0">
      <w:start w:val="1"/>
      <w:numFmt w:val="decimal"/>
      <w:suff w:val="space"/>
      <w:lvlText w:val="%1."/>
      <w:lvlJc w:val="left"/>
      <w:pPr>
        <w:ind w:left="220"/>
      </w:pPr>
    </w:lvl>
    <w:lvl w:ilvl="1" w:tentative="0">
      <w:start w:val="1"/>
      <w:numFmt w:val="lowerLetter"/>
      <w:lvlText w:val="%2)"/>
      <w:lvlJc w:val="left"/>
      <w:pPr>
        <w:tabs>
          <w:tab w:val="left" w:pos="840"/>
        </w:tabs>
        <w:ind w:left="1060" w:leftChars="0" w:hanging="420" w:firstLineChars="0"/>
      </w:pPr>
      <w:rPr>
        <w:rFonts w:hint="default"/>
      </w:rPr>
    </w:lvl>
    <w:lvl w:ilvl="2" w:tentative="0">
      <w:start w:val="1"/>
      <w:numFmt w:val="lowerRoman"/>
      <w:lvlText w:val="%3."/>
      <w:lvlJc w:val="left"/>
      <w:pPr>
        <w:tabs>
          <w:tab w:val="left" w:pos="1260"/>
        </w:tabs>
        <w:ind w:left="1480" w:leftChars="0" w:hanging="420" w:firstLineChars="0"/>
      </w:pPr>
      <w:rPr>
        <w:rFonts w:hint="default"/>
      </w:rPr>
    </w:lvl>
    <w:lvl w:ilvl="3" w:tentative="0">
      <w:start w:val="1"/>
      <w:numFmt w:val="decimal"/>
      <w:lvlText w:val="%4."/>
      <w:lvlJc w:val="left"/>
      <w:pPr>
        <w:tabs>
          <w:tab w:val="left" w:pos="1680"/>
        </w:tabs>
        <w:ind w:left="1900" w:leftChars="0" w:hanging="420" w:firstLineChars="0"/>
      </w:pPr>
      <w:rPr>
        <w:rFonts w:hint="default"/>
      </w:rPr>
    </w:lvl>
    <w:lvl w:ilvl="4" w:tentative="0">
      <w:start w:val="1"/>
      <w:numFmt w:val="lowerLetter"/>
      <w:lvlText w:val="%5)"/>
      <w:lvlJc w:val="left"/>
      <w:pPr>
        <w:tabs>
          <w:tab w:val="left" w:pos="2100"/>
        </w:tabs>
        <w:ind w:left="2320" w:leftChars="0" w:hanging="420" w:firstLineChars="0"/>
      </w:pPr>
      <w:rPr>
        <w:rFonts w:hint="default"/>
      </w:rPr>
    </w:lvl>
    <w:lvl w:ilvl="5" w:tentative="0">
      <w:start w:val="1"/>
      <w:numFmt w:val="lowerRoman"/>
      <w:lvlText w:val="%6."/>
      <w:lvlJc w:val="left"/>
      <w:pPr>
        <w:tabs>
          <w:tab w:val="left" w:pos="2520"/>
        </w:tabs>
        <w:ind w:left="2740" w:leftChars="0" w:hanging="420" w:firstLineChars="0"/>
      </w:pPr>
      <w:rPr>
        <w:rFonts w:hint="default"/>
      </w:rPr>
    </w:lvl>
    <w:lvl w:ilvl="6" w:tentative="0">
      <w:start w:val="1"/>
      <w:numFmt w:val="decimal"/>
      <w:lvlText w:val="%7."/>
      <w:lvlJc w:val="left"/>
      <w:pPr>
        <w:tabs>
          <w:tab w:val="left" w:pos="2940"/>
        </w:tabs>
        <w:ind w:left="3160" w:leftChars="0" w:hanging="420" w:firstLineChars="0"/>
      </w:pPr>
      <w:rPr>
        <w:rFonts w:hint="default"/>
      </w:rPr>
    </w:lvl>
    <w:lvl w:ilvl="7" w:tentative="0">
      <w:start w:val="1"/>
      <w:numFmt w:val="lowerLetter"/>
      <w:lvlText w:val="%8)"/>
      <w:lvlJc w:val="left"/>
      <w:pPr>
        <w:tabs>
          <w:tab w:val="left" w:pos="3360"/>
        </w:tabs>
        <w:ind w:left="3580" w:leftChars="0" w:hanging="420" w:firstLineChars="0"/>
      </w:pPr>
      <w:rPr>
        <w:rFonts w:hint="default"/>
      </w:rPr>
    </w:lvl>
    <w:lvl w:ilvl="8" w:tentative="0">
      <w:start w:val="1"/>
      <w:numFmt w:val="lowerRoman"/>
      <w:lvlText w:val="%9."/>
      <w:lvlJc w:val="left"/>
      <w:pPr>
        <w:tabs>
          <w:tab w:val="left" w:pos="3780"/>
        </w:tabs>
        <w:ind w:left="4000" w:leftChars="0" w:hanging="420"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displayHorizontalDrawingGridEvery w:val="1"/>
  <w:displayVerticalDrawingGridEvery w:val="1"/>
  <w:doNotShadeFormData w:val="1"/>
  <w:noPunctuationKerning w:val="1"/>
  <w:characterSpacingControl w:val="doNotCompress"/>
  <w:doNotValidateAgainstSchema/>
  <w:doNotDemarcateInvalidXml/>
  <w:compat>
    <w:ulTrailSpace/>
    <w:doNotBreakWrappedTables/>
    <w:doNotWrapTextWithPunct/>
    <w:doNotUseEastAsian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SimSun" w:cs="Times New Roman"/>
      <w:sz w:val="22"/>
      <w:szCs w:val="22"/>
      <w:lang w:val="en-US" w:eastAsia="zh-CN" w:bidi="ar-SA"/>
    </w:rPr>
  </w:style>
  <w:style w:type="paragraph" w:styleId="2">
    <w:name w:val="heading 1"/>
    <w:basedOn w:val="1"/>
    <w:next w:val="1"/>
    <w:link w:val="1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0"/>
    <w:qFormat/>
    <w:uiPriority w:val="0"/>
    <w:pPr>
      <w:keepNext/>
      <w:keepLines/>
      <w:spacing w:before="260" w:after="260" w:line="416" w:lineRule="auto"/>
      <w:outlineLvl w:val="1"/>
    </w:pPr>
    <w:rPr>
      <w:rFonts w:ascii="Arial" w:hAnsi="Arial" w:eastAsia="SimHei"/>
      <w:b/>
      <w:bCs/>
      <w:sz w:val="32"/>
      <w:szCs w:val="32"/>
    </w:rPr>
  </w:style>
  <w:style w:type="paragraph" w:styleId="4">
    <w:name w:val="heading 3"/>
    <w:basedOn w:val="1"/>
    <w:next w:val="1"/>
    <w:link w:val="21"/>
    <w:qFormat/>
    <w:uiPriority w:val="0"/>
    <w:pPr>
      <w:keepNext/>
      <w:keepLines/>
      <w:spacing w:before="260" w:after="260" w:line="416" w:lineRule="auto"/>
      <w:outlineLvl w:val="2"/>
    </w:pPr>
    <w:rPr>
      <w:b/>
      <w:bCs/>
      <w:sz w:val="32"/>
      <w:szCs w:val="32"/>
    </w:rPr>
  </w:style>
  <w:style w:type="character" w:default="1" w:styleId="11">
    <w:name w:val="Default Paragraph Font"/>
    <w:unhideWhenUsed/>
    <w:qFormat/>
    <w:uiPriority w:val="1"/>
  </w:style>
  <w:style w:type="table" w:default="1" w:styleId="16">
    <w:name w:val="Normal Table"/>
    <w:unhideWhenUsed/>
    <w:qFormat/>
    <w:uiPriority w:val="99"/>
    <w:tblPr>
      <w:tblLayout w:type="fixed"/>
      <w:tblCellMar>
        <w:top w:w="0" w:type="dxa"/>
        <w:left w:w="108" w:type="dxa"/>
        <w:bottom w:w="0" w:type="dxa"/>
        <w:right w:w="108" w:type="dxa"/>
      </w:tblCellMar>
    </w:tblPr>
  </w:style>
  <w:style w:type="paragraph" w:styleId="5">
    <w:name w:val="Balloon Text"/>
    <w:basedOn w:val="1"/>
    <w:link w:val="22"/>
    <w:qFormat/>
    <w:uiPriority w:val="0"/>
    <w:pPr>
      <w:spacing w:after="0" w:line="240" w:lineRule="auto"/>
    </w:pPr>
    <w:rPr>
      <w:rFonts w:ascii="Tahoma" w:hAnsi="Tahoma" w:cs="Tahoma"/>
      <w:sz w:val="16"/>
      <w:szCs w:val="16"/>
    </w:rPr>
  </w:style>
  <w:style w:type="paragraph" w:styleId="6">
    <w:name w:val="annotation text"/>
    <w:basedOn w:val="1"/>
    <w:link w:val="18"/>
    <w:qFormat/>
    <w:uiPriority w:val="0"/>
    <w:rPr>
      <w:sz w:val="20"/>
      <w:szCs w:val="20"/>
    </w:rPr>
  </w:style>
  <w:style w:type="paragraph" w:styleId="7">
    <w:name w:val="annotation subject"/>
    <w:basedOn w:val="6"/>
    <w:next w:val="6"/>
    <w:link w:val="17"/>
    <w:qFormat/>
    <w:uiPriority w:val="0"/>
    <w:rPr>
      <w:b/>
      <w:bCs/>
    </w:rPr>
  </w:style>
  <w:style w:type="paragraph" w:styleId="8">
    <w:name w:val="footer"/>
    <w:basedOn w:val="1"/>
    <w:uiPriority w:val="0"/>
    <w:pPr>
      <w:tabs>
        <w:tab w:val="center" w:pos="4153"/>
        <w:tab w:val="right" w:pos="8306"/>
      </w:tabs>
      <w:snapToGrid w:val="0"/>
      <w:jc w:val="left"/>
    </w:pPr>
    <w:rPr>
      <w:sz w:val="18"/>
      <w:szCs w:val="18"/>
    </w:rPr>
  </w:style>
  <w:style w:type="paragraph" w:styleId="9">
    <w:name w:val="header"/>
    <w:basedOn w:val="1"/>
    <w:uiPriority w:val="0"/>
    <w:pPr>
      <w:tabs>
        <w:tab w:val="center" w:pos="4153"/>
        <w:tab w:val="right" w:pos="8306"/>
      </w:tabs>
      <w:snapToGrid w:val="0"/>
    </w:pPr>
    <w:rPr>
      <w:sz w:val="18"/>
      <w:szCs w:val="18"/>
    </w:rPr>
  </w:style>
  <w:style w:type="paragraph" w:styleId="10">
    <w:name w:val="Normal (Web)"/>
    <w:qFormat/>
    <w:uiPriority w:val="0"/>
    <w:pPr>
      <w:spacing w:beforeAutospacing="1" w:after="100" w:afterAutospacing="1" w:line="259" w:lineRule="auto"/>
    </w:pPr>
    <w:rPr>
      <w:rFonts w:ascii="Times New Roman" w:hAnsi="Times New Roman" w:eastAsia="SimSun" w:cs="Times New Roman"/>
      <w:sz w:val="24"/>
      <w:szCs w:val="24"/>
      <w:lang w:val="en-US" w:eastAsia="zh-CN" w:bidi="ar-SA"/>
    </w:rPr>
  </w:style>
  <w:style w:type="character" w:styleId="12">
    <w:name w:val="annotation reference"/>
    <w:qFormat/>
    <w:uiPriority w:val="0"/>
    <w:rPr>
      <w:rFonts w:ascii="Calibri" w:hAnsi="Calibri" w:eastAsia="SimSun" w:cs="Times New Roman"/>
      <w:sz w:val="16"/>
      <w:szCs w:val="16"/>
    </w:rPr>
  </w:style>
  <w:style w:type="character" w:styleId="13">
    <w:name w:val="Emphasis"/>
    <w:qFormat/>
    <w:uiPriority w:val="0"/>
    <w:rPr>
      <w:rFonts w:ascii="Calibri" w:hAnsi="Calibri" w:eastAsia="SimSun" w:cs="Times New Roman"/>
      <w:i/>
      <w:iCs/>
    </w:rPr>
  </w:style>
  <w:style w:type="character" w:styleId="14">
    <w:name w:val="Hyperlink"/>
    <w:qFormat/>
    <w:uiPriority w:val="0"/>
    <w:rPr>
      <w:rFonts w:ascii="Calibri" w:hAnsi="Calibri" w:eastAsia="SimSun" w:cs="Times New Roman"/>
      <w:color w:val="0000FF"/>
      <w:u w:val="single"/>
    </w:rPr>
  </w:style>
  <w:style w:type="character" w:styleId="15">
    <w:name w:val="Strong"/>
    <w:basedOn w:val="11"/>
    <w:qFormat/>
    <w:uiPriority w:val="0"/>
    <w:rPr>
      <w:b/>
      <w:bCs/>
    </w:rPr>
  </w:style>
  <w:style w:type="character" w:customStyle="1" w:styleId="17">
    <w:name w:val="Comment Subject Char"/>
    <w:link w:val="7"/>
    <w:qFormat/>
    <w:uiPriority w:val="0"/>
    <w:rPr>
      <w:rFonts w:ascii="Calibri" w:hAnsi="Calibri" w:eastAsia="SimSun" w:cs="Times New Roman"/>
      <w:b/>
      <w:bCs/>
      <w:lang w:val="en-US" w:eastAsia="zh-CN"/>
    </w:rPr>
  </w:style>
  <w:style w:type="character" w:customStyle="1" w:styleId="18">
    <w:name w:val="Comment Text Char"/>
    <w:link w:val="6"/>
    <w:qFormat/>
    <w:uiPriority w:val="0"/>
    <w:rPr>
      <w:rFonts w:ascii="Calibri" w:hAnsi="Calibri" w:eastAsia="SimSun" w:cs="Times New Roman"/>
      <w:lang w:val="en-US" w:eastAsia="zh-CN"/>
    </w:rPr>
  </w:style>
  <w:style w:type="character" w:customStyle="1" w:styleId="19">
    <w:name w:val="Heading 1 Char"/>
    <w:link w:val="2"/>
    <w:qFormat/>
    <w:uiPriority w:val="0"/>
    <w:rPr>
      <w:b/>
      <w:bCs/>
      <w:kern w:val="44"/>
      <w:sz w:val="44"/>
      <w:szCs w:val="44"/>
    </w:rPr>
  </w:style>
  <w:style w:type="character" w:customStyle="1" w:styleId="20">
    <w:name w:val="Heading 2 Char"/>
    <w:link w:val="3"/>
    <w:qFormat/>
    <w:uiPriority w:val="0"/>
    <w:rPr>
      <w:rFonts w:ascii="Arial" w:hAnsi="Arial" w:eastAsia="SimHei"/>
      <w:b/>
      <w:bCs/>
      <w:sz w:val="32"/>
      <w:szCs w:val="32"/>
    </w:rPr>
  </w:style>
  <w:style w:type="character" w:customStyle="1" w:styleId="21">
    <w:name w:val="Heading 3 Char"/>
    <w:link w:val="4"/>
    <w:qFormat/>
    <w:uiPriority w:val="0"/>
    <w:rPr>
      <w:b/>
      <w:bCs/>
      <w:sz w:val="32"/>
      <w:szCs w:val="32"/>
    </w:rPr>
  </w:style>
  <w:style w:type="character" w:customStyle="1" w:styleId="22">
    <w:name w:val="Balloon Text Char"/>
    <w:link w:val="5"/>
    <w:qFormat/>
    <w:uiPriority w:val="0"/>
    <w:rPr>
      <w:rFonts w:ascii="Tahoma" w:hAnsi="Tahoma" w:eastAsia="SimSun" w:cs="Tahoma"/>
      <w:sz w:val="16"/>
      <w:szCs w:val="16"/>
      <w:lang w:val="en-US" w:eastAsia="zh-CN"/>
    </w:rPr>
  </w:style>
  <w:style w:type="paragraph" w:customStyle="1" w:styleId="23">
    <w:name w:val="List Paragraph1"/>
    <w:basedOn w:val="1"/>
    <w:qFormat/>
    <w:uiPriority w:val="0"/>
    <w:pPr>
      <w:ind w:left="720"/>
      <w:contextualSpacing/>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23</Pages>
  <Words>6943</Words>
  <Characters>39581</Characters>
  <Lines>329</Lines>
  <Paragraphs>92</Paragraphs>
  <ScaleCrop>false</ScaleCrop>
  <LinksUpToDate>false</LinksUpToDate>
  <CharactersWithSpaces>46432</CharactersWithSpaces>
  <Application>WPS Office_0.0.0.0_F1E327BC-269C-435d-A152-05C5408002CA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2023-05-05T09:14:00Z</dcterms:created>
  <dc:creator>Infinix X626</dc:creator>
  <cp:lastModifiedBy>iPhone</cp:lastModifiedBy>
  <dcterms:modified xsi:type="dcterms:W3CDTF">2025-06-23T23:43:20Z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C8D572D7481187728E3744647EBA36FD</vt:lpwstr>
  </property>
  <property fmtid="{D5CDD505-2E9C-101B-9397-08002B2CF9AE}" pid="3" name="KSOProductBuildVer">
    <vt:lpwstr>1033-11.33.82</vt:lpwstr>
  </property>
</Properties>
</file>